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Times New Roman" w:cs="Times New Roman" w:eastAsia="Times New Roman" w:hAnsi="Times New Roman"/>
          <w:b/>
          <w:bCs/>
          <w:i w:val="false"/>
          <w:iCs w:val="false"/>
          <w:color w:val="000000"/>
          <w:sz w:val="32"/>
          <w:szCs w:val="32"/>
        </w:rPr>
        <w:t xml:space="preserve">Cover letter and contribution statement</w:t>
      </w:r>
    </w:p>
    <w:p>
      <w:pPr>
        <w:spacing w:after="80" w:before="0" w:line="276"/>
        <w:jc w:val="both"/>
      </w:pPr>
      <w:r>
        <w:rPr>
          <w:rFonts w:ascii="Times New Roman" w:cs="Times New Roman" w:eastAsia="Times New Roman" w:hAnsi="Times New Roman"/>
          <w:b w:val="false"/>
          <w:bCs w:val="false"/>
          <w:i w:val="false"/>
          <w:iCs w:val="false"/>
          <w:color w:val="000000"/>
          <w:sz w:val="22"/>
          <w:szCs w:val="22"/>
        </w:rPr>
        <w:t xml:space="preserve">Senior Editor, Information Systems Research</w:t>
      </w:r>
    </w:p>
    <w:p>
      <w:pPr>
        <w:spacing w:after="200" w:before="0" w:line="276"/>
        <w:jc w:val="both"/>
      </w:pPr>
      <w:r>
        <w:rPr>
          <w:rFonts w:ascii="Times New Roman" w:cs="Times New Roman" w:eastAsia="Times New Roman" w:hAnsi="Times New Roman"/>
          <w:b w:val="false"/>
          <w:bCs w:val="false"/>
          <w:i w:val="false"/>
          <w:iCs w:val="false"/>
          <w:color w:val="000000"/>
          <w:sz w:val="22"/>
          <w:szCs w:val="22"/>
        </w:rPr>
        <w:t xml:space="preserve">Please consider the enclosed Research Note, “The Sampling Temperature Is Not the Decision State: Effective Decision Temperature and the Governance of LLM Agents.” Author identifiers have been removed from the manuscript for double-anonymous review, and the abstract is under 300 words. This letter also contains the contribution statement required since June 1, 2023.</w:t>
      </w:r>
    </w:p>
    <w:p>
      <w:pPr>
        <w:pStyle w:val="Heading1"/>
      </w:pPr>
      <w:r>
        <w:rPr>
          <w:rFonts w:ascii="Times New Roman" w:cs="Times New Roman" w:eastAsia="Times New Roman" w:hAnsi="Times New Roman"/>
          <w:b/>
          <w:bCs/>
          <w:i w:val="false"/>
          <w:iCs w:val="false"/>
          <w:color w:val="1F4E79"/>
          <w:sz w:val="26"/>
          <w:szCs w:val="26"/>
        </w:rPr>
        <w:t xml:space="preserve">Contribution statement (under 500 words)</w:t>
      </w:r>
    </w:p>
    <w:p>
      <w:pPr>
        <w:spacing w:after="160" w:before="0" w:line="276"/>
        <w:jc w:val="both"/>
      </w:pPr>
      <w:r>
        <w:rPr>
          <w:rFonts w:ascii="Times New Roman" w:cs="Times New Roman" w:eastAsia="Times New Roman" w:hAnsi="Times New Roman"/>
          <w:b w:val="false"/>
          <w:bCs w:val="false"/>
          <w:i w:val="false"/>
          <w:iCs w:val="false"/>
          <w:color w:val="000000"/>
          <w:sz w:val="22"/>
          <w:szCs w:val="22"/>
        </w:rPr>
        <w:t xml:space="preserve">The note contributes to information systems research on delegation to agentic artifacts (Baird &amp; Maruping, 2021; Berente, Gu, Recker, &amp; Santhanam, 2021). That literature assigns rights and responsibilities on evidence of capability and treats autonomy, learning, and inscrutability as the managerial problem. What it does not offer the organization is a construct for the decision state an agent is in when a task is left with it. We supply one.</w:t>
      </w:r>
    </w:p>
    <w:p>
      <w:pPr>
        <w:spacing w:after="160" w:before="0" w:line="276"/>
        <w:jc w:val="both"/>
      </w:pPr>
      <w:r>
        <w:rPr>
          <w:rFonts w:ascii="Times New Roman" w:cs="Times New Roman" w:eastAsia="Times New Roman" w:hAnsi="Times New Roman"/>
          <w:b w:val="false"/>
          <w:bCs w:val="false"/>
          <w:i w:val="false"/>
          <w:iCs w:val="false"/>
          <w:color w:val="000000"/>
          <w:sz w:val="22"/>
          <w:szCs w:val="22"/>
        </w:rPr>
        <w:t xml:space="preserve">The bridge we build is a formal correspondence, not a metaphor with felt experience. Sampling a token from a softmax is a random-utility choice with Gumbel-distributed shocks, and so it follows the logit rule of quantal response theory (McFadden, 1974; McKelvey &amp; Palfrey, 1995). We define effective decision temperature, Teff, as the temperature at which observed tokens are best explained by a clean-context reference valuation of the same task. Teff is identified only because the reference differs from the sampling distribution. Entropy describes concentration, while Teff describes whether concentrated choices track task value. Rigid failure is low entropy with elevated Teff.</w:t>
      </w:r>
    </w:p>
    <w:p>
      <w:pPr>
        <w:spacing w:after="160" w:before="0" w:line="276"/>
        <w:jc w:val="both"/>
      </w:pPr>
      <w:r>
        <w:rPr>
          <w:rFonts w:ascii="Times New Roman" w:cs="Times New Roman" w:eastAsia="Times New Roman" w:hAnsi="Times New Roman"/>
          <w:b w:val="false"/>
          <w:bCs w:val="false"/>
          <w:i w:val="false"/>
          <w:iCs w:val="false"/>
          <w:color w:val="000000"/>
          <w:sz w:val="22"/>
          <w:szCs w:val="22"/>
        </w:rPr>
        <w:t xml:space="preserve">Four propositions follow, and we state the performance prediction conditionally rather than as a general law of temperature. Pressure raises Teff above the nominal sampling temperature. An inverted-U in accuracy appears only when an off-path attractor is sticky at low temperature and escapable at moderate temperature. Content contamination strengthens pressure when it sits near a dominant token. A context reset addresses context-level distortion but not a change in weights. State-contingent delegation is an implication of observable states, conditional on oversight capacity, reversibility, error costs, and alarm trust; it is not a tested finding.</w:t>
      </w:r>
    </w:p>
    <w:p>
      <w:pPr>
        <w:spacing w:after="160" w:before="0" w:line="276"/>
        <w:jc w:val="both"/>
      </w:pPr>
      <w:r>
        <w:rPr>
          <w:rFonts w:ascii="Times New Roman" w:cs="Times New Roman" w:eastAsia="Times New Roman" w:hAnsi="Times New Roman"/>
          <w:b w:val="false"/>
          <w:bCs w:val="false"/>
          <w:i w:val="false"/>
          <w:iCs w:val="false"/>
          <w:color w:val="000000"/>
          <w:sz w:val="22"/>
          <w:szCs w:val="22"/>
        </w:rPr>
        <w:t xml:space="preserve">A two-stage illustration shows that the indicators can be computed. On synthetic logits, Teff separates from nominal temperature under pressure, and the inverted-U appears only for an attractor built to be sticky and escapable. On SmolLM2-135M-Instruct, the same rule reads next-token log-probabilities. At a nominal T = 0.15, clean Teff is about 0.05 and pressure Teff is about 3, with lock-in to a repeated letter. No accuracy inverted-U appears, because the planted error is either absorbed or too sticky to escape. The operational point is that a dashboard reporting only the decoding parameter misreads the agent’s decision state.</w:t>
      </w:r>
    </w:p>
    <w:p>
      <w:pPr>
        <w:spacing w:after="160" w:before="0" w:line="276"/>
        <w:jc w:val="both"/>
      </w:pPr>
      <w:r>
        <w:rPr>
          <w:rFonts w:ascii="Times New Roman" w:cs="Times New Roman" w:eastAsia="Times New Roman" w:hAnsi="Times New Roman"/>
          <w:b w:val="false"/>
          <w:bCs w:val="false"/>
          <w:i w:val="false"/>
          <w:iCs w:val="false"/>
          <w:color w:val="000000"/>
          <w:sz w:val="22"/>
          <w:szCs w:val="22"/>
        </w:rPr>
        <w:t xml:space="preserve">For practice and policy, the note argues against taking a use statistic or a sampling hyperparameter as evidence that delegated work is under control. Incident playbooks that always reset, or that retrain whenever output looks wrong, do not match the source of the distortion. The broader discourse on generative-agent governance needs a state variable that can be estimated, along with a clear statement of what occupation-level or network claims would require. The note specifies those tests but does not claim to have run them.</w:t>
      </w:r>
    </w:p>
    <w:p>
      <w:pPr>
        <w:pStyle w:val="Heading1"/>
      </w:pPr>
      <w:r>
        <w:rPr>
          <w:rFonts w:ascii="Times New Roman" w:cs="Times New Roman" w:eastAsia="Times New Roman" w:hAnsi="Times New Roman"/>
          <w:b/>
          <w:bCs/>
          <w:i w:val="false"/>
          <w:iCs w:val="false"/>
          <w:color w:val="1F4E79"/>
          <w:sz w:val="26"/>
          <w:szCs w:val="26"/>
        </w:rPr>
        <w:t xml:space="preserve">Suggested Senior Editors</w:t>
      </w:r>
    </w:p>
    <w:p>
      <w:pPr>
        <w:spacing w:after="160" w:before="0" w:line="276"/>
        <w:jc w:val="both"/>
      </w:pPr>
      <w:r>
        <w:rPr>
          <w:rFonts w:ascii="Times New Roman" w:cs="Times New Roman" w:eastAsia="Times New Roman" w:hAnsi="Times New Roman"/>
          <w:b w:val="false"/>
          <w:bCs w:val="false"/>
          <w:i w:val="false"/>
          <w:iCs w:val="false"/>
          <w:color w:val="000000"/>
          <w:sz w:val="22"/>
          <w:szCs w:val="22"/>
        </w:rPr>
        <w:t xml:space="preserve">The ScholarOne form asks for two preferred Senior Editors. Please nominate editors whose portfolios cover AI in organizations, digital artifacts, or IS design and governance, and avoid anyone at the authors’ institution or a recent coauthor. Replace the placeholders below before upload.</w:t>
      </w:r>
    </w:p>
    <w:p>
      <w:pPr>
        <w:spacing w:after="80" w:before="0" w:line="276"/>
        <w:jc w:val="both"/>
      </w:pPr>
      <w:r>
        <w:rPr>
          <w:rFonts w:ascii="Times New Roman" w:cs="Times New Roman" w:eastAsia="Times New Roman" w:hAnsi="Times New Roman"/>
          <w:b w:val="false"/>
          <w:bCs w:val="false"/>
          <w:i w:val="false"/>
          <w:iCs w:val="false"/>
          <w:color w:val="000000"/>
          <w:sz w:val="22"/>
          <w:szCs w:val="22"/>
        </w:rPr>
        <w:t xml:space="preserve">Preferred SE 1: [name, affiliation, one-sentence fit].</w:t>
      </w:r>
    </w:p>
    <w:p>
      <w:pPr>
        <w:spacing w:after="200" w:before="0" w:line="276"/>
        <w:jc w:val="both"/>
      </w:pPr>
      <w:r>
        <w:rPr>
          <w:rFonts w:ascii="Times New Roman" w:cs="Times New Roman" w:eastAsia="Times New Roman" w:hAnsi="Times New Roman"/>
          <w:b w:val="false"/>
          <w:bCs w:val="false"/>
          <w:i w:val="false"/>
          <w:iCs w:val="false"/>
          <w:color w:val="000000"/>
          <w:sz w:val="22"/>
          <w:szCs w:val="22"/>
        </w:rPr>
        <w:t xml:space="preserve">Preferred SE 2: [name, affiliation, one-sentence fit].</w:t>
      </w:r>
    </w:p>
    <w:p>
      <w:pPr>
        <w:pStyle w:val="Heading1"/>
      </w:pPr>
      <w:r>
        <w:rPr>
          <w:rFonts w:ascii="Times New Roman" w:cs="Times New Roman" w:eastAsia="Times New Roman" w:hAnsi="Times New Roman"/>
          <w:b/>
          <w:bCs/>
          <w:i w:val="false"/>
          <w:iCs w:val="false"/>
          <w:color w:val="1F4E79"/>
          <w:sz w:val="26"/>
          <w:szCs w:val="26"/>
        </w:rPr>
        <w:t xml:space="preserve">Article type and certifications</w:t>
      </w:r>
    </w:p>
    <w:p>
      <w:pPr>
        <w:spacing w:after="200" w:before="0" w:line="276"/>
        <w:jc w:val="both"/>
      </w:pPr>
      <w:r>
        <w:rPr>
          <w:rFonts w:ascii="Times New Roman" w:cs="Times New Roman" w:eastAsia="Times New Roman" w:hAnsi="Times New Roman"/>
          <w:b w:val="false"/>
          <w:bCs w:val="false"/>
          <w:i w:val="false"/>
          <w:iCs w:val="false"/>
          <w:color w:val="000000"/>
          <w:sz w:val="22"/>
          <w:szCs w:val="22"/>
        </w:rPr>
        <w:t xml:space="preserve">Article type: Research Note. The manuscript is not a special-issue submission, has not previously been submitted to Information Systems Research, and is not under review elsewhere. Generative AI was used to help revise structure and prose; the authors reviewed the text, the reported cell means, and the code paths, and they take responsibility for the content. Code and cell-level files for the open-weight runs will be deposited on acceptance, or in an anonymized repository at submission if the office requires it. The clean-context reference must be recomputed on any rerun, since Teff estimated from the sampling logits recovers only nominal temperature.</w:t>
      </w:r>
    </w:p>
    <w:p>
      <w:pPr>
        <w:pStyle w:val="Heading1"/>
      </w:pPr>
      <w:r>
        <w:rPr>
          <w:rFonts w:ascii="Times New Roman" w:cs="Times New Roman" w:eastAsia="Times New Roman" w:hAnsi="Times New Roman"/>
          <w:b/>
          <w:bCs/>
          <w:i w:val="false"/>
          <w:iCs w:val="false"/>
          <w:color w:val="1F4E79"/>
          <w:sz w:val="26"/>
          <w:szCs w:val="26"/>
        </w:rPr>
        <w:t xml:space="preserve">What this revision deliberately does not claim</w:t>
      </w:r>
    </w:p>
    <w:p>
      <w:pPr>
        <w:spacing w:after="160" w:before="0" w:line="276"/>
        <w:jc w:val="both"/>
      </w:pPr>
      <w:r>
        <w:rPr>
          <w:rFonts w:ascii="Times New Roman" w:cs="Times New Roman" w:eastAsia="Times New Roman" w:hAnsi="Times New Roman"/>
          <w:b w:val="false"/>
          <w:bCs w:val="false"/>
          <w:i w:val="false"/>
          <w:iCs w:val="false"/>
          <w:color w:val="000000"/>
          <w:sz w:val="22"/>
          <w:szCs w:val="22"/>
        </w:rPr>
        <w:t xml:space="preserve">An earlier draft framed the paper as a theory of multi-agent stability governance, with eight propositions and three design principles, and attached a 135M measurement note as illustration. That package asked Information Systems Research to accept untested network and delegation propositions as contributions. This version narrows the claim to the identification of Teff. It states the inverted-U as a boundary regime rather than a failed general law, replaces affective language with content contamination, and moves contagion and circuit breakers to an agenda table. The SmolLM2 alphabet task remains a measurement check and is not evidence about organizational delegation. We would rather have the note reviewed on that narrower claim than desk-rejected over a title the data cannot support.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b w:val="false"/>
        <w:bCs w:val="false"/>
        <w:i w:val="false"/>
        <w:iCs w:val="false"/>
        <w:color w:val="666666"/>
        <w:sz w:val="16"/>
        <w:szCs w:val="16"/>
      </w:rPr>
      <w:t xml:space="preserve">Page </w:t>
    </w:r>
    <w:r>
      <w:rPr>
        <w:rFonts w:ascii="Times New Roman" w:cs="Times New Roman" w:eastAsia="Times New Roman" w:hAnsi="Times New Roman"/>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1"/>
      </w:pBdr>
      <w:spacing w:after="120"/>
    </w:pPr>
    <w:r>
      <w:rPr>
        <w:rFonts w:ascii="Times New Roman" w:cs="Times New Roman" w:eastAsia="Times New Roman" w:hAnsi="Times New Roman"/>
        <w:b w:val="false"/>
        <w:bCs w:val="false"/>
        <w:i/>
        <w:iCs/>
        <w:color w:val="1F4E79"/>
        <w:sz w:val="18"/>
        <w:szCs w:val="18"/>
      </w:rPr>
      <w:t xml:space="preserve">Cover letter  ·  Information Systems Research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Times New Roman" w:cs="Times New Roman" w:eastAsia="Times New Roman" w:hAnsi="Times New Roman"/>
      <w:b/>
      <w:bCs/>
      <w:color w:val="1F4E79"/>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2026-10-04T22:43:59.350Z</dcterms:created>
  <dcterms:modified xsi:type="dcterms:W3CDTF">2026-10-04T22:43:59.350Z</dcterms:modified>
</cp:coreProperties>
</file>

<file path=docProps/custom.xml><?xml version="1.0" encoding="utf-8"?>
<Properties xmlns="http://schemas.openxmlformats.org/officeDocument/2006/custom-properties" xmlns:vt="http://schemas.openxmlformats.org/officeDocument/2006/docPropsVTypes"/>
</file>