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[Author names and affiliations are on the separate title page.]</w:t>
      </w:r>
    </w:p>
    <w:p>
      <w:pPr>
        <w:pStyle w:val="BodyText"/>
      </w:pPr>
      <w:r>
        <w:rPr>
          <w:iCs/>
          <w:i/>
        </w:rPr>
        <w:t xml:space="preserve">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human coders. The models agree with the humans at κ = 0.50 and over-label escalation; four further runs under the humans’ own codebook do not improve this. On human labels, oil moves in the posts’ direction within 30 minutes by +1.05% after de-escalation posts (n = 29), more than at drift-matched placebo times. For escalation posts the estimate is +0.48% (n = 16) when the lead investigator resolved the coders’ disagreements; when an independent third coder and the two coders resolve them it is +0.45% (n = 10, p = 0.08) because the escalation class shrinks from 41 to 28 posts. Model-labelled escalation estimates are smaller (0.17% to 0.35%), but their difference from the human estimates is not reliably detectable. The move is preceded by drift and its excess over the preceding 30 minutes is not reliably separable from it. The case shows that agreement with human readers, not between model runs, is the evidence a labelling needs, and that the escalation class is the ambiguous one.</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de-escalation posts are followed by a directional move in oil, larger than at matched placebo times; escalation posts are followed by a smaller move whose evidence depends on who resolved the coders’ disagreements. The escalation response is smaller under every model label set we tried, but its difference from the human estimate is detectable at most for the original labels and not under independent adjudication.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the escalation result is weaker when disagreements are resolved by an independent third coder).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first adjudicated from the text by the lead investigator, who knew the research question; 23.6% of all final labels, and 66% of the final escalation labels, are adjudicated (11% of the de-escalation labels). Because that is a researcher’s judgement, a third coder who did not know the research question or any market result and had not seen the earlier labels afterwards labelled the 45 items on which the two coders had disagreed, mixed with 15 items on which they had agreed, in random order, text only; the third coder was a third-year undergraduate student of computer science at the authors’ university, knowledgeable about computing but without training in information systems, who remembered the event [confirm that the third coder was not told the research question]; the plan was written before the sheet was sent (Section 4.5). We report the investigator-adjudicated labels, the labels in which the majority of the two coders and the third coder decides (</w:t>
      </w:r>
      <w:r>
        <w:t xml:space="preserve">“</w:t>
      </w:r>
      <w:r>
        <w:t xml:space="preserve">v3 final</w:t>
      </w:r>
      <w:r>
        <w:t xml:space="preserve">”</w:t>
      </w:r>
      <w:r>
        <w:t xml:space="preserve">), the coder-consensus subsample and the adjudicated subsample separately. The two coders were doctoral students in information systems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 Against the independent v3 labels the models’ escalation precision is lower still (0.35 for model 1, 0.32 for the v2 majority; κ 0.48 and 0.49), and the difference between the v3-final and model-label escalation estimates is +0.28 (day-clustered CI −0.07 to 0.68; p = 0.11) and +0.13 (CI −0.26 to 0.54; p = 0.51): not detectable.</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 and the third coder.</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We therefore asked an independent third coder to label the 45 disputed items. The third coder agrees with the investigator’s labels on 44% of them (κ = 0.23) and with coder A and coder B at κ = 0.13 and 0.23; on 15 control items on which the coders had agreed the third coder agrees with the consensus at κ = 0.45 (67%), above the floor we set (0.40) but not high. The investigator labelled 27 of the 45 items escalation, the third coder 14 (de-escalation 14, mixed 10, other 7). With the majority of the two coders and the third coder as the final label (v3 final; 11 of the 45 items have three different labels and were set to mixed or other by the rule fixed in advance), 24 final labels change, the escalation class shrinks from 41 to 28 posts, and mixed grows from 25 to 34; no de-escalation label changes. The de-escalation response is unchanged (n = 32 events; mean +0.94%, median 0.46%; day-clustered CI 0.39 to 1.76; p = 0.0003). The escalation response under v3 final is +0.45% on 10 events (median 0.36%; day-clustered CI of the mean 0.03 to 0.89, so it passes the criterion we set, but the median’s CI includes zero and the two-sided Wilcoxon p is 0.084). The escalation result is therefore consistent in sign and size across the label sets but its statistical support comes from a few events and from the investigator’s labels; against the independent adjudication it is weak.</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Label 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Investigator final</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v3 final (third coder in the majority)</w:t>
            </w:r>
          </w:p>
        </w:tc>
        <w:tc>
          <w:tcPr/>
          <w:p>
            <w:pPr>
              <w:pStyle w:val="Compact"/>
              <w:jc w:val="left"/>
            </w:pPr>
            <w:r>
              <w:t xml:space="preserve">32; 0.94 (0.39, 1.76); p = .0003</w:t>
            </w:r>
          </w:p>
        </w:tc>
        <w:tc>
          <w:tcPr/>
          <w:p>
            <w:pPr>
              <w:pStyle w:val="Compact"/>
              <w:jc w:val="left"/>
            </w:pPr>
            <w:r>
              <w:t xml:space="preserve">10; 0.45 (0.03, 0.89); p = .084</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items only (investigator labels)</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label set: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 The third coder’s own labels for the 45 items give 10 escalation events with the same estimate (+0.45%, p = .084).</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third-coder adjudication was planned before the sheet was sent;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escalation estimate (0.17% to 0.35%) is smaller than the human one (0.45% to 0.48%); the difference is borderline for the original labels against the investigator’s labels (p = 0.038, one of twelve contrasts) and not detectable otherwise, including against the independently adjudicated labels. Fourth, the escalation class is the ambiguous one: two thirds of its labels were resolved by the investigator, an independent third coder agrees with the investigator on 44% of the disputed items, and under independent adjudication the class shrinks from 41 to 28 posts and the estimate rests on 10 events (+0.45%; p = 0.084).</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investigator who first adjudicated the coders’ disagreements knew the hypotheses and decided 66% of the escalation labels; an independent third coder, an undergraduate computer-science student without information-systems training and a noisy rater (κ = 0.45 on control items), changed 24 final labels and left the escalation estimate on 10 events. The two coders did not know the hypotheses and had no interest in oil prices, but they are from the authors’ department and remembered the course of the war.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several independent coders who resolve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by more than at comparable hours, and with posts labelled escalation by a smaller amount whose support depends on who resolved the coders’ disagreements; the model labels that suggested a one-sided response over-labelled escalation, and a clearer codebook did not repair that. The escalation response is the ambiguous one and is weak under independent adjudication, and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an anonymized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Independent third-coder adjudication</w:t>
            </w:r>
          </w:p>
        </w:tc>
        <w:tc>
          <w:tcPr/>
          <w:p>
            <w:pPr>
              <w:pStyle w:val="Compact"/>
              <w:jc w:val="left"/>
            </w:pPr>
            <w:r>
              <w:t xml:space="preserve">hf/ANALYSIS_PLAN_THIRD_CODER.md</w:t>
            </w:r>
          </w:p>
        </w:tc>
        <w:tc>
          <w:tcPr/>
          <w:p>
            <w:pPr>
              <w:pStyle w:val="Compact"/>
              <w:jc w:val="left"/>
            </w:pPr>
            <w:r>
              <w:t xml:space="preserve">Third coder κ 0.23 with the investigator’s labels on 45 disputed items, κ 0.45 on controls; escalation class 41 → 28; escalation estimate +0.45% on 10 events (CI 0.03–0.89; Wilcoxon p = .084); de-escalation unchanged</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an anonymized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information systems,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A third coder, a third-year undergraduate computer-science student, later coded the 45 disputed items and 15 control items in random order from a separate sheet with the same codebook and instructions (Section 4.5).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2026-10-15T02:06:21Z</dcterms:created>
  <dcterms:modified xsi:type="dcterms:W3CDTF">2026-10-15T02:06:21Z</dcterms:modified>
</cp:coreProperties>
</file>

<file path=docProps/custom.xml><?xml version="1.0" encoding="utf-8"?>
<Properties xmlns="http://schemas.openxmlformats.org/officeDocument/2006/custom-properties" xmlns:vt="http://schemas.openxmlformats.org/officeDocument/2006/docPropsVTypes"/>
</file>