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w:t>
      </w:r>
    </w:p>
    <w:p>
      <w:pPr>
        <w:pStyle w:val="BodyText"/>
      </w:pPr>
      <w:r>
        <w:t xml:space="preserve">Editor,</w:t>
      </w:r>
      <w:r>
        <w:t xml:space="preserve"> </w:t>
      </w:r>
      <w:r>
        <w:rPr>
          <w:iCs/>
          <w:i/>
        </w:rPr>
        <w:t xml:space="preserve">International Journal of Research in Marketing</w:t>
      </w:r>
    </w:p>
    <w:p>
      <w:pPr>
        <w:pStyle w:val="BodyText"/>
      </w:pPr>
      <w:r>
        <w:t xml:space="preserve">Dear Editor,</w:t>
      </w:r>
    </w:p>
    <w:p>
      <w:pPr>
        <w:pStyle w:val="BodyText"/>
      </w:pPr>
      <w:r>
        <w:t xml:space="preserve">Please consider</w:t>
      </w:r>
      <w:r>
        <w:t xml:space="preserve"> </w:t>
      </w:r>
      <w:r>
        <w:t xml:space="preserve">“</w:t>
      </w:r>
      <w:r>
        <w:t xml:space="preserve">Do Influencers Pay? Limited Attention, Engagement Elasticity, and Simulation-Based Pre-Tests for Seeding Decisions</w:t>
      </w:r>
      <w:r>
        <w:t xml:space="preserve">”</w:t>
      </w:r>
      <w:r>
        <w:t xml:space="preserve"> </w:t>
      </w:r>
      <w:r>
        <w:t xml:space="preserve">for publication in IJRM.</w:t>
      </w:r>
    </w:p>
    <w:p>
      <w:pPr>
        <w:pStyle w:val="BodyText"/>
      </w:pPr>
      <w:r>
        <w:t xml:space="preserve">Marketers increasingly pre-test influencer campaigns in agent-based simulators, including those with LLM-driven agents, before choosing between a few influencers and many ordinary users. The marketing literature on such models has focused on specifying and validating the agents. We show that the recommendation also depends on three choices outside the agent model: the metric used to compare plans, the mechanism that schedules agent actions, and the assumed relation between an account’s audience size and follower attention, which we formalize as an engagement elasticity β.</w:t>
      </w:r>
    </w:p>
    <w:p>
      <w:pPr>
        <w:pStyle w:val="BodyText"/>
      </w:pPr>
      <w:r>
        <w:t xml:space="preserve">Using an event-driven simulator and decision-theoretic criteria, we find that the familiar scale-versus-speed trade-off is an artifact of scale-normalized speed metrics, that alternative schedulers roughly double absolute differences between plans, and that the ranking of influencer and grassroots seeding reverses at modest elasticities, with thresholds that a first-generation exposure argument predicts. On 209,890 posts from six Weibo campaigns we estimate β at 0.66 (95% CI 0.63 to 0.68), well above those thresholds. We turn a long-running qualitative debate (influentials versus ordinary users) into an estimable quantity, and we state the limits openly: the simulator is rule-based and uncalibrated, and the estimate is descriptive and biased upward by known features of the data.</w:t>
      </w:r>
    </w:p>
    <w:p>
      <w:pPr>
        <w:pStyle w:val="BodyText"/>
      </w:pPr>
      <w:r>
        <w:t xml:space="preserve">The paper fits IJRM’s interest in innovative, timely research for marketing scholars and practitioners: it speaks to marketing researchers and agencies that use simulation, extends the agent-based modeling tradition in the journal (Rand and Rust, 2011) to LLM-agent simulators, and offers three concrete principles for pre-tests. It is not a replication or a minor extension; it identifies a new source of error in a fast-growing practice. [AUTHOR TO COMPLETE, optional: Associate Editors or Editorial Review Board members you consider well suited to handle the manuscript.]</w:t>
      </w:r>
    </w:p>
    <w:p>
      <w:pPr>
        <w:pStyle w:val="BodyText"/>
      </w:pPr>
      <w:r>
        <w:t xml:space="preserve">Sincerely,</w:t>
      </w:r>
    </w:p>
    <w:p>
      <w:pPr>
        <w:pStyle w:val="BodyText"/>
      </w:pPr>
      <w:r>
        <w:t xml:space="preserve">[Name]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asciiTheme="majorHAnsi" w:cs="Times New Roman" w:cstheme="majorBidi" w:eastAsia="Times New Roman" w:eastAsiaTheme="majorEastAsia" w:hAnsi="Times New Roman" w:hAnsiTheme="majorHAnsi"/>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imes New Roman"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imes New Roman"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imes New Roman"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2026-10-24T22:54:02Z</dcterms:created>
  <dcterms:modified xsi:type="dcterms:W3CDTF">2026-10-24T22:54:02Z</dcterms:modified>
</cp:coreProperties>
</file>

<file path=docProps/custom.xml><?xml version="1.0" encoding="utf-8"?>
<Properties xmlns="http://schemas.openxmlformats.org/officeDocument/2006/custom-properties" xmlns:vt="http://schemas.openxmlformats.org/officeDocument/2006/docPropsVTypes"/>
</file>