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b8ea49ac719ce9fb01752757b715e3875d4f778"/>
    <w:p>
      <w:pPr>
        <w:pStyle w:val="Heading1"/>
      </w:pPr>
      <w:r>
        <w:t xml:space="preserve">Human Validation Reverses the Headline: Presidential Posts and Oil Prices in the 2026 Hormuz Closure</w:t>
      </w:r>
    </w:p>
    <w:p>
      <w:pPr>
        <w:pStyle w:val="FirstParagraph"/>
      </w:pPr>
      <w:r>
        <w:t xml:space="preserve">Ook Lee</w:t>
      </w:r>
      <w:r>
        <w:br/>
      </w:r>
      <w:r>
        <w:t xml:space="preserve">Department of Information System, Hanyang University, Seoul, Korea</w:t>
      </w:r>
      <w:r>
        <w:br/>
      </w:r>
      <w:r>
        <w:t xml:space="preserve">ooklee@hanyang.ac.kr (corresponding author)</w:t>
      </w:r>
    </w:p>
    <w:p>
      <w:pPr>
        <w:pStyle w:val="BodyText"/>
      </w:pPr>
      <w:r>
        <w:rPr>
          <w:iCs/>
          <w:i/>
        </w:rPr>
        <w:t xml:space="preserve">Manuscript prepared for submission to MIS Quarterly (version 3). Bracketed items are placeholders to be completed before submission. Analyses carry a status (confirmatory, amended, exploratory) given in Table 5 and Appendix A; the plans are files in the authors’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Heads of state announce policy on social platforms, and researchers increasingly label such posts with large language models. We ask whether that labelling changes what an event study finds, using 4,838 posts from the U.S. president’s platform (March–October 2026) and the closure of the Strait of Hormuz. Posting is overdispersed and follows volatile hours, so posting times are not exogenous. A first analysis with model-coded labels showed oil falling 1.29% (median 0.31%) over two hours after de-escalation posts and no response to escalation posts. Two humans then labelled all 191 war-period keyword posts (agreement κ = 0.51, 0.69, 0.61 across three rounds), and the model agreed with them only at κ = 0.50; only 36% of its escalation labels were escalation. On human labels, WTI tick data show a directional move of +1.05% within 30 minutes after de-escalation posts (n = 29, median 0.47%) and +0.48% after escalation posts (n = 16), both larger than at matched placebo times, so</w:t>
      </w:r>
      <w:r>
        <w:t xml:space="preserve"> </w:t>
      </w:r>
      <w:r>
        <w:t xml:space="preserve">“</w:t>
      </w:r>
      <w:r>
        <w:t xml:space="preserve">no response to escalation</w:t>
      </w:r>
      <w:r>
        <w:t xml:space="preserve">”</w:t>
      </w:r>
      <w:r>
        <w:t xml:space="preserve"> </w:t>
      </w:r>
      <w:r>
        <w:t xml:space="preserve">was a labelling artifact. The move is preceded by drift in the hour before the post; over 5 to 15 minutes the post-period move is distinguishable from it, over an hour it is not. An information-theoretic account that motivated the study is not supported in its pre-registered tests. The case shows how a model-labelling workflow without human validation can produce a false headline.</w:t>
      </w:r>
    </w:p>
    <w:p>
      <w:pPr>
        <w:pStyle w:val="BodyText"/>
      </w:pPr>
      <w:r>
        <w:rPr>
          <w:bCs/>
          <w:b/>
        </w:rPr>
        <w:t xml:space="preserve">Keywords:</w:t>
      </w:r>
      <w:r>
        <w:t xml:space="preserve"> </w:t>
      </w:r>
      <w:r>
        <w:t xml:space="preserve">social media, executive communication, event study, large language models as coders, measurement validity, financial markets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therefore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and take the labels as given. Agreement between two runs of a model measures its consistency and says nothing about validity; whether the labels agree with human readers is rarely reported alongside the event-study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four contributions. First, we document that posting is overdispersed and follows volatile hours, so event studies that treat posting times as random are fragile. Second, we show that a model-labelled analysis gave a one-sided answer (a response to de-escalation, none to escalation) that human labelling reverses: on human labels both classes are followed by a directional move in oil, larger than at matched placebo times, and the model’s escalation label was correct for only about one post in three. Third, we report which part of the human-label result is robust (the direction of the post-period move, in every variant we tried) and which is not (its separation from pre-post drift beyond short windows). Fourth, we report a test of an information-theoretic account of why posts matter that motivated the study; its pre-registered propositions are not supported, and we say so. The paper does not identify a causal effect of posts on prices.</w:t>
      </w:r>
    </w:p>
    <w:p>
      <w:pPr>
        <w:pStyle w:val="BodyText"/>
      </w:pPr>
      <w:r>
        <w:t xml:space="preserve">Section 2 states the account and its propositions. Section 3 describes the data and design. Section 4 reports results. Section 5 discusses contributions and limits. Exploratory and model-labelled analyses are in the appendices.</w:t>
      </w:r>
    </w:p>
    <w:bookmarkEnd w:id="21"/>
    <w:bookmarkStart w:id="22" w:name="an-information-theoretic-motivation"/>
    <w:p>
      <w:pPr>
        <w:pStyle w:val="Heading2"/>
      </w:pPr>
      <w:r>
        <w:t xml:space="preserve">2. An Information-Theoretic Motivation</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pre-registered operationalizations: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w:t>
      </w:r>
      <w:r>
        <w:t xml:space="preserve"> </w:t>
      </w:r>
      <w:r>
        <w:t xml:space="preserve">Each post was classified by two independent runs of a large language model that received only the post text, for direction (escalation, de-escalation, mixed, other). The two runs are copies of one model; their agreement (κ = 0.74 on the human-validation sample, 0.62–0.96 elsewhere) measures consistency. The headline analysis of the first stage (Section 4.2) uses the first run’s labels.</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adjudicated from the text by the principal investigator, who knew the research question; 23.6% of the final labels are adjudicated. We use the consensus-only subsample as a robustness check (Section 4.4). The two coders were doctoral students in the Department of Information System at Hanyang University with extensive training in the field; neither had seen market data. [State whether they knew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 The magnitude outcome used for the propositions is |z|, the absolute return divided by the volatility of the preceding 300 bars (hourly) or of the preceding 60 daily returns scaled to the window (tick-level samples).</w:t>
      </w:r>
    </w:p>
    <w:bookmarkEnd w:id="25"/>
    <w:bookmarkStart w:id="26" w:name="measures-of-information"/>
    <w:p>
      <w:pPr>
        <w:pStyle w:val="Heading3"/>
      </w:pPr>
      <w:r>
        <w:t xml:space="preserve">3.4 Measures of information</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Section 4.5.</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confirmatory (plan preceded the relevant outcome and was not amended), amended, exploratory or post hoc (Table 5).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w:t>
      </w:r>
    </w:p>
    <w:bookmarkEnd w:id="27"/>
    <w:bookmarkEnd w:id="28"/>
    <w:bookmarkStart w:id="41" w:name="results"/>
    <w:p>
      <w:pPr>
        <w:pStyle w:val="Heading2"/>
      </w:pPr>
      <w:r>
        <w:t xml:space="preserve">4. Results</w:t>
      </w:r>
    </w:p>
    <w:bookmarkStart w:id="32"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de-escalation posts (57 in the war period)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A homogeneous Poisson process is rejected in every series we examined, including 2017–2021 Twitter and a second account, and daily conflict events remove at most a quarter of the dispersion (Appendix D).</w:t>
      </w:r>
    </w:p>
    <w:p>
      <w:pPr>
        <w:pStyle w:val="CaptionedFigure"/>
      </w:pPr>
      <w:r>
        <w:drawing>
          <wp:inline>
            <wp:extent cx="5334000" cy="2066925"/>
            <wp:effectExtent b="0" l="0" r="0" t="0"/>
            <wp:docPr descr="Figure 1" title="" id="30" name="Picture"/>
            <a:graphic>
              <a:graphicData uri="http://schemas.openxmlformats.org/drawingml/2006/picture">
                <pic:pic>
                  <pic:nvPicPr>
                    <pic:cNvPr descr="figs/fig1_arrivals.png" id="31" name="Picture"/>
                    <pic:cNvPicPr>
                      <a:picLocks noChangeArrowheads="1" noChangeAspect="1"/>
                    </pic:cNvPicPr>
                  </pic:nvPicPr>
                  <pic:blipFill>
                    <a:blip r:embed="rId29"/>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1</w:t>
      </w:r>
    </w:p>
    <w:p>
      <w:pPr>
        <w:pStyle w:val="BodyText"/>
      </w:pPr>
      <w:r>
        <w:rPr>
          <w:iCs/>
          <w:i/>
        </w:rPr>
        <w:t xml:space="preserve">Figure 1. Iran-related posts with threat terms (n = 108). A: observed daily counts versus Poisson and negative binomial fits. B: weekly counts.</w:t>
      </w:r>
    </w:p>
    <w:bookmarkEnd w:id="32"/>
    <w:bookmarkStart w:id="36"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CaptionedFigure"/>
      </w:pPr>
      <w:r>
        <w:drawing>
          <wp:inline>
            <wp:extent cx="5334000" cy="2200275"/>
            <wp:effectExtent b="0" l="0" r="0" t="0"/>
            <wp:docPr descr="Figure 2" title="" id="34" name="Picture"/>
            <a:graphic>
              <a:graphicData uri="http://schemas.openxmlformats.org/drawingml/2006/picture">
                <pic:pic>
                  <pic:nvPicPr>
                    <pic:cNvPr descr="figs/fig2_event_time.png" id="35" name="Picture"/>
                    <pic:cNvPicPr>
                      <a:picLocks noChangeArrowheads="1" noChangeAspect="1"/>
                    </pic:cNvPicPr>
                  </pic:nvPicPr>
                  <pic:blipFill>
                    <a:blip r:embed="rId33"/>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WTI path around war-period posts: de-escalation n = 33; escalation n = 27 with complete windows. A: mean ± 1 SE. B: median.</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w:t>
      </w:r>
    </w:p>
    <w:bookmarkEnd w:id="36"/>
    <w:bookmarkStart w:id="37"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Its de-escalation label is right for 21 of 33 posts (precision 0.64), and its escalation label is right for 10 of 28 (precision 0.36). In round 3, the remaining 130 war-period keyword posts were labelled (humans κ = 0.61 on 129 posts with two labels). Across all 191 posts the final human labels are 79 other, 46 de-escalation, 41 escalation and 25 mixed; the model agrees with them at κ = 0.50, and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run 1 vs humans κ</w:t>
            </w:r>
          </w:p>
        </w:tc>
        <w:tc>
          <w:tcPr/>
          <w:p>
            <w:pPr>
              <w:pStyle w:val="Compact"/>
              <w:jc w:val="left"/>
            </w:pPr>
            <w:r>
              <w:t xml:space="preserve">Model de-escalation / 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(consensus, 97 posts)</w:t>
            </w:r>
          </w:p>
        </w:tc>
        <w:tc>
          <w:tcPr/>
          <w:p>
            <w:pPr>
              <w:pStyle w:val="Compact"/>
              <w:jc w:val="left"/>
            </w:pPr>
            <w:r>
              <w:t xml:space="preserve">0.52 / not reported</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0.64 / 0.36</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not computed</w:t>
            </w:r>
          </w:p>
        </w:tc>
      </w:tr>
      <w:tr>
        <w:tc>
          <w:tcPr/>
          <w:p>
            <w:pPr>
              <w:pStyle w:val="Compact"/>
              <w:jc w:val="left"/>
            </w:pPr>
            <w:r>
              <w:t xml:space="preserve">All war-period</w:t>
            </w:r>
          </w:p>
        </w:tc>
        <w:tc>
          <w:tcPr/>
          <w:p>
            <w:pPr>
              <w:pStyle w:val="Compact"/>
              <w:jc w:val="left"/>
            </w:pPr>
            <w:r>
              <w:t xml:space="preserve">191</w:t>
            </w:r>
          </w:p>
        </w:tc>
        <w:tc>
          <w:tcPr/>
          <w:p>
            <w:pPr>
              <w:pStyle w:val="Compact"/>
              <w:jc w:val="left"/>
            </w:pPr>
            <w:r>
              <w:t xml:space="preserve">0.67 (190 with two labels)</w:t>
            </w:r>
          </w:p>
        </w:tc>
        <w:tc>
          <w:tcPr/>
          <w:p>
            <w:pPr>
              <w:pStyle w:val="Compact"/>
              <w:jc w:val="left"/>
            </w:pPr>
            <w:r>
              <w:t xml:space="preserve">0.50</w:t>
            </w:r>
          </w:p>
        </w:tc>
        <w:tc>
          <w:tcPr/>
          <w:p>
            <w:pPr>
              <w:pStyle w:val="Compact"/>
              <w:jc w:val="left"/>
            </w:pPr>
            <w:r>
              <w:t xml:space="preserve">—</w:t>
            </w:r>
          </w:p>
        </w:tc>
      </w:tr>
    </w:tbl>
    <w:p>
      <w:pPr>
        <w:pStyle w:val="BodyText"/>
      </w:pPr>
      <w:r>
        <w:rPr>
          <w:iCs/>
          <w:i/>
        </w:rPr>
        <w:t xml:space="preserve">Table 1. Agreement between human coders and between model and humans. Model run 2 reaches 0.56 in round 1.</w:t>
      </w:r>
    </w:p>
    <w:p>
      <w:pPr>
        <w:pStyle w:val="BodyText"/>
      </w:pPr>
      <w:r>
        <w:t xml:space="preserve">The labelling is noisy in a way that the high agreement between model runs conceals. Because the effects we study are small relative to the noise in oil returns, label noise is first-order.</w:t>
      </w:r>
    </w:p>
    <w:bookmarkEnd w:id="37"/>
    <w:bookmarkStart w:id="38" w:name="Xb66c2e863ed1ea500f91045a8adbd84fe486861"/>
    <w:p>
      <w:pPr>
        <w:pStyle w:val="Heading3"/>
      </w:pPr>
      <w:r>
        <w:t xml:space="preserve">4.4 Human-labelled posts and tick-level results</w:t>
      </w:r>
    </w:p>
    <w:p>
      <w:pPr>
        <w:pStyle w:val="FirstParagraph"/>
      </w:pPr>
      <w:r>
        <w:t xml:space="preserve">We rebuilt the signal set from the human labels over all 191 posts (cluster filter; market open at the post and 30 minutes later). The reconciliation is in Table 2.</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(placebo sample)</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2. Sample reconciliation (human labels). 83% of the 23 signal posts without a window were made on weekends or with the market closed, against 29% of all signal posts: the result does not extend to weekend announcements.</w:t>
      </w:r>
    </w:p>
    <w:p>
      <w:pPr>
        <w:pStyle w:val="BodyText"/>
      </w:pPr>
      <w:r>
        <w:t xml:space="preserve">For de-escalation posts the directional WTI return is +0.67% at five minutes and +1.05% at 30 minutes (n = 29; median 0.47%; one-sided Wilcoxon p = 0.0002; week-block 95% CI 0.42 to 1.79). For escalation posts it is +0.48% at 30 minutes (n = 16; median 0.40%; p = 0.0065; CI 0.10 to 0.84), against +0.17% (p = 0.26) when the model’s escalation label is used. The difference between the two directions is not distinguishable from zero (Mann–Whitney p = 0.20, exploratory). The</w:t>
      </w:r>
      <w:r>
        <w:t xml:space="preserve"> </w:t>
      </w:r>
      <w:r>
        <w:t xml:space="preserve">“</w:t>
      </w:r>
      <w:r>
        <w:t xml:space="preserve">no response to escalation</w:t>
      </w:r>
      <w:r>
        <w:t xml:space="preserve">”</w:t>
      </w:r>
      <w:r>
        <w:t xml:space="preserve"> </w:t>
      </w:r>
      <w:r>
        <w:t xml:space="preserve">of Section 4.2 therefore applied to the model’s escalation label, not to escalation as humans see it. Quote quality does not explain the result: the median bid–ask spread is 0.05 on a price near 89.6, and the median absolute 30-minute move (0.46) is about nine spreads.</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26 de-escalation and 14 escalation posts). The mean directional 30-minute return after the post is +0.62% for de-escalation and +0.53% for escalation, against placebo means of +0.05% and 95th percentiles of 0.22% and 0.26% (shares of draws at least as large below 0.0001 and 0.0003).</w:t>
      </w:r>
    </w:p>
    <w:p>
      <w:pPr>
        <w:pStyle w:val="BodyText"/>
      </w:pPr>
      <w:r>
        <w:rPr>
          <w:iCs/>
          <w:i/>
        </w:rPr>
        <w:t xml:space="preserve">Pre-post drift.</w:t>
      </w:r>
      <w:r>
        <w:t xml:space="preserve"> </w:t>
      </w:r>
      <w:r>
        <w:t xml:space="preserve">The 30 minutes before the post also exceed the placebo for de-escalation (+0.57%; +0.86% over the preceding hour; both below 0.0001) and, on the 30-minute window only, for escalation (+0.29%, p = 0.016); tick counts in the half hour before a de-escalation post are 28% above comparable hours. We describe this as drift larger than in comparable hours whose cause is not identified: the market may be reacting to news that the post then repeats, or the same event may move both. It does not show leakage or any party’s conduct. Whether the outside source reported a decision before the post makes no difference to the drift (30 events, p = 0.90; Appendix E).</w:t>
      </w:r>
    </w:p>
    <w:p>
      <w:pPr>
        <w:pStyle w:val="BodyText"/>
      </w:pPr>
      <w:r>
        <w:rPr>
          <w:iCs/>
          <w:i/>
        </w:rPr>
        <w:t xml:space="preserve">Robustness.</w:t>
      </w:r>
      <w:r>
        <w:t xml:space="preserve"> </w:t>
      </w:r>
      <w:r>
        <w:t xml:space="preserve">Table 3 varies one feature at a time. The direction of the post-period move is positive and one-sided significant in every variant for both classes, including when the events on 23 March and 7 April are dropped (de-escalation mean 0.80%, median 0.48%) and when only posts on which both coders already agreed are used. The median is stable at 0.4 to 0.5%; the mean is pulled by a few events (the three largest de-escalation events, 2.7%, 3.3% and 10.5%, make up 54% of the summed move; leave-one-event-out means range from 0.71 to 1.12). The excess of the 30 minutes after a post over the 30 minutes before is borderline (de-escalation p between 0.026 and 0.063 across cluster rules; escalation 0.044 to 0.097) and depends on the window: over 5 and 15 minutes the post move is not preceded by drift (pre-window means −0.05% and 0.00%; paired excess +0.72 and +0.76 points, p = 0.003 and 0.005), whereas over 60 minutes the earlier drift has caught up (paired −0.15, p = 0.37). The statement we can defend is the short-window one.</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(.030)</w:t>
            </w:r>
          </w:p>
        </w:tc>
        <w:tc>
          <w:tcPr/>
          <w:p>
            <w:pPr>
              <w:pStyle w:val="Compact"/>
              <w:jc w:val="left"/>
            </w:pPr>
            <w:r>
              <w:t xml:space="preserve">16, 0.48 (0.40), +0.26 (.058)</w:t>
            </w:r>
          </w:p>
        </w:tc>
      </w:tr>
      <w:tr>
        <w:tc>
          <w:tcPr/>
          <w:p>
            <w:pPr>
              <w:pStyle w:val="Compact"/>
              <w:jc w:val="left"/>
            </w:pPr>
            <w:r>
              <w:t xml:space="preserve">No cluster filter</w:t>
            </w:r>
          </w:p>
        </w:tc>
        <w:tc>
          <w:tcPr/>
          <w:p>
            <w:pPr>
              <w:pStyle w:val="Compact"/>
              <w:jc w:val="left"/>
            </w:pPr>
            <w:r>
              <w:t xml:space="preserve">34, 0.91 (0.46), +0.44 (.026)</w:t>
            </w:r>
          </w:p>
        </w:tc>
        <w:tc>
          <w:tcPr/>
          <w:p>
            <w:pPr>
              <w:pStyle w:val="Compact"/>
              <w:jc w:val="left"/>
            </w:pPr>
            <w:r>
              <w:t xml:space="preserve">19, 0.46 (0.35), +0.23 (.071)</w:t>
            </w:r>
          </w:p>
        </w:tc>
      </w:tr>
      <w:tr>
        <w:tc>
          <w:tcPr/>
          <w:p>
            <w:pPr>
              <w:pStyle w:val="Compact"/>
              <w:jc w:val="left"/>
            </w:pPr>
            <w:r>
              <w:t xml:space="preserve">6-hour filter</w:t>
            </w:r>
          </w:p>
        </w:tc>
        <w:tc>
          <w:tcPr/>
          <w:p>
            <w:pPr>
              <w:pStyle w:val="Compact"/>
              <w:jc w:val="left"/>
            </w:pPr>
            <w:r>
              <w:t xml:space="preserve">25, 1.08 (0.49), +0.42 (.063)</w:t>
            </w:r>
          </w:p>
        </w:tc>
        <w:tc>
          <w:tcPr/>
          <w:p>
            <w:pPr>
              <w:pStyle w:val="Compact"/>
              <w:jc w:val="left"/>
            </w:pPr>
            <w:r>
              <w:t xml:space="preserve">14, 0.54 (0.50), +0.27 (.097)</w:t>
            </w:r>
          </w:p>
        </w:tc>
      </w:tr>
      <w:tr>
        <w:tc>
          <w:tcPr/>
          <w:p>
            <w:pPr>
              <w:pStyle w:val="Compact"/>
              <w:jc w:val="left"/>
            </w:pPr>
            <w:r>
              <w:t xml:space="preserve">Both coders agreed before adjudication</w:t>
            </w:r>
          </w:p>
        </w:tc>
        <w:tc>
          <w:tcPr/>
          <w:p>
            <w:pPr>
              <w:pStyle w:val="Compact"/>
              <w:jc w:val="left"/>
            </w:pPr>
            <w:r>
              <w:t xml:space="preserve">28, 1.03 (0.47), +0.44 (.045)</w:t>
            </w:r>
          </w:p>
        </w:tc>
        <w:tc>
          <w:tcPr/>
          <w:p>
            <w:pPr>
              <w:pStyle w:val="Compact"/>
              <w:jc w:val="left"/>
            </w:pPr>
            <w:r>
              <w:t xml:space="preserve">7, 0.71 (0.54), +0.44 (.078)</w:t>
            </w:r>
          </w:p>
        </w:tc>
      </w:tr>
      <w:tr>
        <w:tc>
          <w:tcPr/>
          <w:p>
            <w:pPr>
              <w:pStyle w:val="Compact"/>
              <w:jc w:val="left"/>
            </w:pPr>
            <w:r>
              <w:t xml:space="preserve">Window 5 minutes</w:t>
            </w:r>
          </w:p>
        </w:tc>
        <w:tc>
          <w:tcPr/>
          <w:p>
            <w:pPr>
              <w:pStyle w:val="Compact"/>
              <w:jc w:val="left"/>
            </w:pPr>
            <w:r>
              <w:t xml:space="preserve">29, 0.67 (0.21), +0.72 (.003)</w:t>
            </w:r>
          </w:p>
        </w:tc>
        <w:tc>
          <w:tcPr/>
          <w:p>
            <w:pPr>
              <w:pStyle w:val="Compact"/>
              <w:jc w:val="left"/>
            </w:pPr>
            <w:r>
              <w:t xml:space="preserve">16, 0.46 (0.19), +0.38 (.096)</w:t>
            </w:r>
          </w:p>
        </w:tc>
      </w:tr>
      <w:tr>
        <w:tc>
          <w:tcPr/>
          <w:p>
            <w:pPr>
              <w:pStyle w:val="Compact"/>
              <w:jc w:val="left"/>
            </w:pPr>
            <w:r>
              <w:t xml:space="preserve">Window 15 minutes</w:t>
            </w:r>
          </w:p>
        </w:tc>
        <w:tc>
          <w:tcPr/>
          <w:p>
            <w:pPr>
              <w:pStyle w:val="Compact"/>
              <w:jc w:val="left"/>
            </w:pPr>
            <w:r>
              <w:t xml:space="preserve">29, 0.76 (0.60), +0.76 (.005)</w:t>
            </w:r>
          </w:p>
        </w:tc>
        <w:tc>
          <w:tcPr/>
          <w:p>
            <w:pPr>
              <w:pStyle w:val="Compact"/>
              <w:jc w:val="left"/>
            </w:pPr>
            <w:r>
              <w:t xml:space="preserve">16, 0.57 (0.42), +0.36 (.019)</w:t>
            </w:r>
          </w:p>
        </w:tc>
      </w:tr>
      <w:tr>
        <w:tc>
          <w:tcPr/>
          <w:p>
            <w:pPr>
              <w:pStyle w:val="Compact"/>
              <w:jc w:val="left"/>
            </w:pPr>
            <w:r>
              <w:t xml:space="preserve">Window 60 minutes</w:t>
            </w:r>
          </w:p>
        </w:tc>
        <w:tc>
          <w:tcPr/>
          <w:p>
            <w:pPr>
              <w:pStyle w:val="Compact"/>
              <w:jc w:val="left"/>
            </w:pPr>
            <w:r>
              <w:t xml:space="preserve">28, 1.18 (0.42), −0.15 (.365)</w:t>
            </w:r>
          </w:p>
        </w:tc>
        <w:tc>
          <w:tcPr/>
          <w:p>
            <w:pPr>
              <w:pStyle w:val="Compact"/>
              <w:jc w:val="left"/>
            </w:pPr>
            <w:r>
              <w:t xml:space="preserve">16, 0.48 (0.40), +0.44 (.086)</w:t>
            </w:r>
          </w:p>
        </w:tc>
      </w:tr>
      <w:tr>
        <w:tc>
          <w:tcPr/>
          <w:p>
            <w:pPr>
              <w:pStyle w:val="Compact"/>
              <w:jc w:val="left"/>
            </w:pPr>
            <w:r>
              <w:t xml:space="preserve">Drop 23 March and 7 April</w:t>
            </w:r>
          </w:p>
        </w:tc>
        <w:tc>
          <w:tcPr/>
          <w:p>
            <w:pPr>
              <w:pStyle w:val="Compact"/>
              <w:jc w:val="left"/>
            </w:pPr>
            <w:r>
              <w:t xml:space="preserve">26, 0.80 (0.48), +0.49 (.025)</w:t>
            </w:r>
          </w:p>
        </w:tc>
        <w:tc>
          <w:tcPr/>
          <w:p>
            <w:pPr>
              <w:pStyle w:val="Compact"/>
              <w:jc w:val="left"/>
            </w:pPr>
            <w:r>
              <w:t xml:space="preserve">16, 0.48 (0.40), +0.26 (.058)</w:t>
            </w:r>
          </w:p>
        </w:tc>
      </w:tr>
    </w:tbl>
    <w:p>
      <w:pPr>
        <w:pStyle w:val="BodyText"/>
      </w:pPr>
      <w:r>
        <w:rPr>
          <w:iCs/>
          <w:i/>
        </w:rPr>
        <w:t xml:space="preserve">Table 3. Robustness of the human-label tick-level result (mean directional returns in percent; p from one-sided Wilcoxon tests of post &gt;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 is too small to call this</w:t>
      </w:r>
      <w:r>
        <w:t xml:space="preserve"> </w:t>
      </w:r>
      <w:r>
        <w:t xml:space="preserve">“</w:t>
      </w:r>
      <w:r>
        <w:t xml:space="preserve">no response</w:t>
      </w:r>
      <w:r>
        <w:t xml:space="preserve">”</w:t>
      </w:r>
      <w:r>
        <w:t xml:space="preserve">.</w:t>
      </w:r>
    </w:p>
    <w:bookmarkEnd w:id="38"/>
    <w:bookmarkStart w:id="39" w:name="X2fa4eb6c5141e0b6310a0cbc31f8b523321249a"/>
    <w:p>
      <w:pPr>
        <w:pStyle w:val="Heading3"/>
      </w:pPr>
      <w:r>
        <w:t xml:space="preserve">4.5 Tests of the information-theoretic propositions</w:t>
      </w:r>
    </w:p>
    <w:p>
      <w:pPr>
        <w:pStyle w:val="FirstParagraph"/>
      </w:pPr>
      <w:r>
        <w:t xml:space="preserve">Table 4 reports the pre-registered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4. Pre-registered information-theoretic tests (ANALYSIS_PLAN_INFO.md; ANALYSIS_PLAN_TWITTER.md; ANALYSIS_PLAN_TARIFF.md).</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 The only coefficient that clears its threshold, prior uncertainty in the tariff tweets, is the one that volatility persistence predicts without any account of information (Section 3.4),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 We conclude that these pre-registered tests do not support the propositions.</w:t>
      </w:r>
    </w:p>
    <w:bookmarkEnd w:id="39"/>
    <w:bookmarkStart w:id="40" w:name="status-of-the-reported-results"/>
    <w:p>
      <w:pPr>
        <w:pStyle w:val="Heading3"/>
      </w:pPr>
      <w:r>
        <w:t xml:space="preserve">4.6 Status of the reported results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Confirmatory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4.4</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Tick-level human-label direction, 5 and 30 minutes (4.4)</w:t>
            </w:r>
          </w:p>
        </w:tc>
        <w:tc>
          <w:tcPr/>
          <w:p>
            <w:pPr>
              <w:pStyle w:val="Compact"/>
              <w:jc w:val="left"/>
            </w:pPr>
            <w:r>
              <w:t xml:space="preserve">Amended (primary sample redefined after round 2)</w:t>
            </w:r>
          </w:p>
        </w:tc>
      </w:tr>
      <w:tr>
        <w:tc>
          <w:tcPr/>
          <w:p>
            <w:pPr>
              <w:pStyle w:val="Compact"/>
              <w:jc w:val="left"/>
            </w:pPr>
            <w:r>
              <w:t xml:space="preserve">Post − pre excess at 30 minutes (4.4)</w:t>
            </w:r>
          </w:p>
        </w:tc>
        <w:tc>
          <w:tcPr/>
          <w:p>
            <w:pPr>
              <w:pStyle w:val="Compact"/>
              <w:jc w:val="left"/>
            </w:pPr>
            <w:r>
              <w:t xml:space="preserve">Amended; borderline in robustness</w:t>
            </w:r>
          </w:p>
        </w:tc>
      </w:tr>
      <w:tr>
        <w:tc>
          <w:tcPr/>
          <w:p>
            <w:pPr>
              <w:pStyle w:val="Compact"/>
              <w:jc w:val="left"/>
            </w:pPr>
            <w:r>
              <w:t xml:space="preserve">Placebo and pre-post drift (4.4)</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Robustness variants (Table 3)</w:t>
            </w:r>
          </w:p>
        </w:tc>
        <w:tc>
          <w:tcPr/>
          <w:p>
            <w:pPr>
              <w:pStyle w:val="Compact"/>
              <w:jc w:val="left"/>
            </w:pPr>
            <w:r>
              <w:t xml:space="preserve">Planned before computation; unadjusted</w:t>
            </w:r>
          </w:p>
        </w:tc>
      </w:tr>
      <w:tr>
        <w:tc>
          <w:tcPr/>
          <w:p>
            <w:pPr>
              <w:pStyle w:val="Compact"/>
              <w:jc w:val="left"/>
            </w:pPr>
            <w:r>
              <w:t xml:space="preserve">P1–P3 (4.5)</w:t>
            </w:r>
          </w:p>
        </w:tc>
        <w:tc>
          <w:tcPr/>
          <w:p>
            <w:pPr>
              <w:pStyle w:val="Compact"/>
              <w:jc w:val="left"/>
            </w:pPr>
            <w:r>
              <w:t xml:space="preserve">Confirmatory (pre-registered; not supported)</w:t>
            </w:r>
          </w:p>
        </w:tc>
      </w:tr>
      <w:tr>
        <w:tc>
          <w:tcPr/>
          <w:p>
            <w:pPr>
              <w:pStyle w:val="Compact"/>
              <w:jc w:val="left"/>
            </w:pPr>
            <w:r>
              <w:t xml:space="preserve">P4 (4.5)</w:t>
            </w:r>
          </w:p>
        </w:tc>
        <w:tc>
          <w:tcPr/>
          <w:p>
            <w:pPr>
              <w:pStyle w:val="Compact"/>
              <w:jc w:val="left"/>
            </w:pPr>
            <w:r>
              <w:t xml:space="preserve">Confirmatory;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5. Status of results in the main text.</w:t>
      </w:r>
    </w:p>
    <w:bookmarkEnd w:id="40"/>
    <w:bookmarkEnd w:id="41"/>
    <w:bookmarkStart w:id="46" w:name="discussion"/>
    <w:p>
      <w:pPr>
        <w:pStyle w:val="Heading2"/>
      </w:pPr>
      <w:r>
        <w:t xml:space="preserve">5. Discussion</w:t>
      </w:r>
    </w:p>
    <w:bookmarkStart w:id="42" w:name="what-the-evidence-supports"/>
    <w:p>
      <w:pPr>
        <w:pStyle w:val="Heading3"/>
      </w:pPr>
      <w:r>
        <w:t xml:space="preserve">5.1 What the evidence supports</w:t>
      </w:r>
    </w:p>
    <w:p>
      <w:pPr>
        <w:pStyle w:val="FirstParagraph"/>
      </w:pPr>
      <w:r>
        <w:t xml:space="preserve">The evidence supports four statements. First, platform speech by a head of state arrives as an overdispersed, bursty process that follows volatile market hours, so event-study designs that treat posting times as random overstate their identification. Second, during the closure, oil moves in the direction of posts that humans label de-escalation (about +1.05% over 30 minutes; median 0.47%) and, at about half the size, of posts that humans label escalation (+0.48%); the direction of this move is robust to the choices we varied, it exceeds the move at matched placebo times, and, for de-escalation posts, over 5 and 15 minutes it is not preceded by drift. Third, over longer windows it cannot be separated from drift that precedes the post, so the evidence is of co-movement, not of an effect of the post. Fourth, the labels that gave the first-stage asymmetry were wrong in a way that reversed one of its conclusions: only 36% of the model’s escalation labels were escalation in human judgment.</w:t>
      </w:r>
    </w:p>
    <w:p>
      <w:pPr>
        <w:pStyle w:val="BodyText"/>
      </w:pPr>
      <w:r>
        <w:t xml:space="preserve">The information-theoretic propositions that we tested in advance do not hold: novelty, the interaction and timing surprisal (Appendix E) do not predict the size of the reaction in any sample, and prior uncertainty does so only where it is confounded with volatility clustering.</w:t>
      </w:r>
    </w:p>
    <w:bookmarkEnd w:id="42"/>
    <w:bookmarkStart w:id="43" w:name="contributions"/>
    <w:p>
      <w:pPr>
        <w:pStyle w:val="Heading3"/>
      </w:pPr>
      <w:r>
        <w:t xml:space="preserve">5.2 Contributions</w:t>
      </w:r>
    </w:p>
    <w:p>
      <w:pPr>
        <w:pStyle w:val="FirstParagraph"/>
      </w:pPr>
      <w:r>
        <w:t xml:space="preserve">The paper’s main contribution is a worked example, with the full audit trail, of how model labelling can reverse an event-study headline. Agreement between two runs of a model was high (κ 0.62 to 0.96) throughout, but agreement with humans was moderate to weak (0.29 to 0.56), the model’s escalation label was mostly wrong, and the first-stage conclusion that escalation posts do not move oil was an artifact. For IS research that uses language models as measurement instruments, the lesson is practical: report validity against human coders by class, not only inter-run consistency, before attaching market outcomes to the labels, and treat the labelling decisions as researcher degrees of freedom. A second contribution is descriptive: a documented case in which posting timing is endogenous, and in which oil moves with posts within minutes without us being able to say that the post is the news. A third is a record of negative results: the pre-registered propositions derived from an information-theoretic account were mostly not supported, and the two instances in which they appeared to be (mutual information; prior uncertainty in tariff tweets) do not survive scrutiny.</w:t>
      </w:r>
    </w:p>
    <w:p>
      <w:pPr>
        <w:pStyle w:val="BodyText"/>
      </w:pPr>
      <w:r>
        <w:t xml:space="preserve">The paper does not offer a theory of platform-mediated speech. No platform feature varies in our data, and everything we find would be the same if the same statements had been issued by press release; what the platform changes is the volume of posts and the availability of timestamps, which is what makes the measurement possible.</w:t>
      </w:r>
    </w:p>
    <w:bookmarkEnd w:id="43"/>
    <w:bookmarkStart w:id="44"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CFD, not exchange futures). Two events supply a large part of the mean, and 83% of signal posts without a market window were made on weekends or off-hours, so the result does not extend to weekend announcements. The labels are not independent of the investigator: adjudication by the principal investigator is not blind to the hypotheses. The two human coders agree at κ = 0.51 to 0.69, which limits what any human-label result can claim, and the original coder instruments are model runs. The primary sample was redefined after seeing label quality and outcomes, and the pre-registration is a transparency device, not an independent registry. Prior uncertainty and novelty are proxies that are not the market’s information set. The 2017–2021 samples and tariff results use model labels that humans accept for only about half of the model-agreed signals (Appendix E), and human labels for the oil sample were not collected. The arrival-process and event-explanation analyses in Appendix D were run after the main results were seen.</w:t>
      </w:r>
    </w:p>
    <w:bookmarkEnd w:id="44"/>
    <w:bookmarkStart w:id="45" w:name="future-research"/>
    <w:p>
      <w:pPr>
        <w:pStyle w:val="Heading3"/>
      </w:pPr>
      <w:r>
        <w:t xml:space="preserve">5.4 Future research</w:t>
      </w:r>
    </w:p>
    <w:p>
      <w:pPr>
        <w:pStyle w:val="FirstParagraph"/>
      </w:pPr>
      <w:r>
        <w:t xml:space="preserve">The most informative next steps are replication on other episodes with human-validated labels, exchange-futures data, and a continuous measure of the physical constraint (tanker transits, insurance spreads, term structure) as a measure of prior uncertainty. A comparison between accounts of people who use posts to influence others and matched ordinary accounts is specified (ANALYSIS_PLAN_ACCOUNTS.md) and has not been run because suitable data have not been established.</w:t>
      </w:r>
    </w:p>
    <w:bookmarkEnd w:id="45"/>
    <w:bookmarkEnd w:id="46"/>
    <w:bookmarkStart w:id="47" w:name="conclusion"/>
    <w:p>
      <w:pPr>
        <w:pStyle w:val="Heading2"/>
      </w:pPr>
      <w:r>
        <w:t xml:space="preserve">6. Conclusion</w:t>
      </w:r>
    </w:p>
    <w:p>
      <w:pPr>
        <w:pStyle w:val="FirstParagraph"/>
      </w:pPr>
      <w:r>
        <w:t xml:space="preserve">In the 2026 Hormuz closure, oil moved with posts that humans labelled de-escalation and escalation, within minutes, by more than at comparable hours, and the model-labelled analysis that suggested a one-sided response was wrong because the model’s escalation label was mostly incorrect. The co-movement cannot be separated from earlier drift beyond short windows, and the information-theoretic propositions we pre-registered are not supported. We offer the case as an audited example of why model labels need human validation before they are attached to market outcomes.</w:t>
      </w:r>
    </w:p>
    <w:p>
      <w:r>
        <w:pict>
          <v:rect style="width:0;height:1.5pt" o:hralign="center" o:hrstd="t" o:hr="t"/>
        </w:pict>
      </w:r>
    </w:p>
    <w:bookmarkEnd w:id="47"/>
    <w:bookmarkStart w:id="48"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the project repository; the post archive and market data come from public sources [add anonymous repository DOI for review].</w:t>
      </w:r>
    </w:p>
    <w:bookmarkEnd w:id="48"/>
    <w:bookmarkStart w:id="49" w:name="references"/>
    <w:p>
      <w:pPr>
        <w:pStyle w:val="Heading2"/>
      </w:pPr>
      <w:r>
        <w:t xml:space="preserve">References</w:t>
      </w:r>
    </w:p>
    <w:p>
      <w:pPr>
        <w:pStyle w:val="FirstParagraph"/>
      </w:pPr>
      <w:r>
        <w:t xml:space="preserve">[On 14 October 2026 the journal articles, the Clauset chapter, the Leetaru and Schrodt paper and Richardson (1960) were checked against Crossref, publisher or library records. The textbooks (Austin, Cameron and Trivedi, Cover and Thomas, Searle) and Holm (1979) were not machine-checked and should be confirmed against the originals before submission.]</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bookmarkEnd w:id="49"/>
    <w:bookmarkStart w:id="50" w:name="appendix-a.-analysis-plans-and-outcomes"/>
    <w:p>
      <w:pPr>
        <w:pStyle w:val="Heading2"/>
      </w:pPr>
      <w:r>
        <w:t xml:space="preserve">Appendix A. Analysis plans and outcomes</w:t>
      </w:r>
    </w:p>
    <w:p>
      <w:pPr>
        <w:pStyle w:val="FirstParagraph"/>
      </w:pPr>
      <w:r>
        <w:t xml:space="preserve">Plans are files in the authors’ repository, dated 13–14 October 2026 in the commit history; the status of each result (confirmatory, amended, exploratory) is in Table 5.</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(de-escalation +0.62 vs placebo 95th pct 0.22; escalation +0.53 vs 0.26); H8a: pre-post drift also exceeds placebo for de-escalation (+0.57, +0.86)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supported for de-escalation (p = 0.0002, 0.030); escalation +0.48% (p = 0.007)</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3)</w:t>
            </w:r>
          </w:p>
        </w:tc>
      </w:tr>
    </w:tbl>
    <w:bookmarkEnd w:id="50"/>
    <w:bookmarkStart w:id="51" w:name="appendix-b.-coding-protocol"/>
    <w:p>
      <w:pPr>
        <w:pStyle w:val="Heading2"/>
      </w:pPr>
      <w:r>
        <w:t xml:space="preserve">Appendix B. Coding protocol</w:t>
      </w:r>
    </w:p>
    <w:p>
      <w:pPr>
        <w:pStyle w:val="FirstParagraph"/>
      </w:pPr>
      <w:r>
        <w:t xml:space="preserve">[Summary of direction and type definitions, blind-coding instructions, the primary-label rule, reconciliation of content-analysis codebooks, the model and prompt provenance, and a reference to the repository files.]</w:t>
      </w:r>
    </w:p>
    <w:bookmarkEnd w:id="51"/>
    <w:bookmarkStart w:id="52"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Details are in RESULTS_HUMAN.md and RESULTS_HUMAN61.md.</w:t>
      </w:r>
    </w:p>
    <w:bookmarkEnd w:id="52"/>
    <w:bookmarkStart w:id="56" w:name="X7a2b0a026ac61b487ce1e6f8f1f69ad89ee9f8b"/>
    <w:p>
      <w:pPr>
        <w:pStyle w:val="Heading2"/>
      </w:pPr>
      <w:r>
        <w:t xml:space="preserve">Appendix D. Exploratory analyses of arrival, events and other self-timed events</w:t>
      </w:r>
    </w:p>
    <w:p>
      <w:pPr>
        <w:pStyle w:val="FirstParagraph"/>
      </w:pPr>
      <w:r>
        <w:t xml:space="preserve">These analyses were run after the main results were seen. Their definitions were fixed in dated plans before the relevant data were downloaded or parsed (Appendix A), but none is confirmatory.</w:t>
      </w:r>
    </w:p>
    <w:bookmarkStart w:id="53"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pre-registered comparison with matched ordinary accounts is specified (ANALYSIS_PLAN_ACCOUNTS.md)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pre-registered; RESULTS_ARRIVALS_MODELS.md).</w:t>
      </w:r>
    </w:p>
    <w:bookmarkEnd w:id="53"/>
    <w:bookmarkStart w:id="54"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(ANALYSIS_PLAN_EVENTS.md).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4"/>
    <w:bookmarkStart w:id="55"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(ANALYSIS_PLAN_LLM_RELEASES.md; ANALYSIS_PLAN_LLM_STOCK.md).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4.4)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5"/>
    <w:bookmarkEnd w:id="56"/>
    <w:bookmarkStart w:id="65"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pre-registered test of the proposition that would have made sense of it (P6) was rejected in the opposite direction (E.5).</w:t>
      </w:r>
    </w:p>
    <w:p>
      <w:pPr>
        <w:pStyle w:val="CaptionedFigure"/>
      </w:pPr>
      <w:r>
        <w:drawing>
          <wp:inline>
            <wp:extent cx="5334000" cy="2753032"/>
            <wp:effectExtent b="0" l="0" r="0" t="0"/>
            <wp:docPr descr="Figure 3" title="" id="58" name="Picture"/>
            <a:graphic>
              <a:graphicData uri="http://schemas.openxmlformats.org/drawingml/2006/picture">
                <pic:pic>
                  <pic:nvPicPr>
                    <pic:cNvPr descr="figs/fig3_bar_decomposition.png" id="59" name="Picture"/>
                    <pic:cNvPicPr>
                      <a:picLocks noChangeArrowheads="1" noChangeAspect="1"/>
                    </pic:cNvPicPr>
                  </pic:nvPicPr>
                  <pic:blipFill>
                    <a:blip r:embed="rId57"/>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Directional WTI return by hour relative to the bar k containing the post, model-labelled de-escalation posts (mean ± 1 SE); the hour before the post bar already carries +0.36%.</w:t>
      </w:r>
    </w:p>
    <w:bookmarkStart w:id="60" w:name="e.1-earlier-pre-registered-mechanisms"/>
    <w:p>
      <w:pPr>
        <w:pStyle w:val="Heading3"/>
      </w:pPr>
      <w:r>
        <w:t xml:space="preserve">E.1 Earlier pre-registered mechanisms</w:t>
      </w:r>
    </w:p>
    <w:p>
      <w:pPr>
        <w:pStyle w:val="FirstParagraph"/>
      </w:pPr>
      <w:r>
        <w:t xml:space="preserve">Three mechanisms were pre-registered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pre-registered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0"/>
    <w:bookmarkStart w:id="61"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1"/>
    <w:bookmarkStart w:id="62"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(ANALYSIS_PLAN_TIMING.md,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2"/>
    <w:bookmarkStart w:id="63"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pre-registered (ANALYSIS_PLAN_TWITTER.md,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pre-registered the sign flip, and we offer it as a post hoc reading. P6 turns it into a prediction that is tested on the tariff and trade tweets of the same period, with a plan registered before their returns were examined (ANALYSIS_PLAN_TARIFF.md, Amendment 1); human labels for the oil sample were not collected. Finally, the standardized reaction is larger in the 2026 posts (mean 1.39 against 0.84; exploratory permutation p = 0.002); the comparison is confounded with the war and cannot isolate the platform.</w:t>
      </w:r>
    </w:p>
    <w:bookmarkEnd w:id="63"/>
    <w:bookmarkStart w:id="64"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(ANALYSIS_PLAN_TARIFF.md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64"/>
    <w:bookmarkEnd w:id="65"/>
    <w:bookmarkEnd w:id="66"/>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57" Type="http://schemas.openxmlformats.org/officeDocument/2006/relationships/image" Target="media/rId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2026-10-14T23:00:34Z</dcterms:created>
  <dcterms:modified xsi:type="dcterms:W3CDTF">2026-10-14T23:00:34Z</dcterms:modified>
</cp:coreProperties>
</file>

<file path=docProps/custom.xml><?xml version="1.0" encoding="utf-8"?>
<Properties xmlns="http://schemas.openxmlformats.org/officeDocument/2006/custom-properties" xmlns:vt="http://schemas.openxmlformats.org/officeDocument/2006/docPropsVTypes"/>
</file>