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vendor productizes the use, so that an adopter’s profitable window depends on its suppliers as well as its competitors. When vendors choose how fast to productize, contract terms that limit their use of adopters’ data slow them and raise adopters’ incentive to invest. Competition among vendors speeds productization and weakens the effect of such terms.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bundles two questions that the literature has not always kept apart. The first is Solow’s (1987) observation about aggregate productivity. It now has a largely settled explanation in mismeasurement and in the lagged buildup of expensed intangible complements (Griliches 1994, Brynjolfsson and Hitt 2003, Brynjolfsson et al. 2021). The second question is about profit. Even where IT demonstrably raises productivity, it bears only a weak relationship to firm profitability. Hitt and Brynjolfsson (1996) separated productivity, profitability, and consumer surplus. They found that IT raised the first and the third and left the second unchanged, and they attributed this to competition passing IT gains on to consumers. Later work on IT business value has mostly treated the weak link to profit as a measurement problem awaiting better data. We treat it instead as a prediction to be derived. It is also the half of the paradox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runs as follows. Technology rarely confers advantage by itself, because anyone can buy it, but IT-enabled capabilities embedded in organizational routines can (Clemons and Row 1991, Mata et al. 1995, Bharadwaj 2000, Piccoli and Ives 2005). Complementarity supplies the economic foundation (Milgrom and Roberts 1990). Bresnahan et al. (2002) documented complementarity among IT, workplace reorganization, and skills, and Brynjolfsson et al. (2002) estimated that the market value of IT-intensive firms reflects organizational capital worth roughly ten times their hardware. Imperfect imitability has identifiable sources. Organizational capital builds up through path-dependent processes that cannot be compressed in time (Dierickx and Cool 1989), and causal ambiguity shields it from copying (Lippman and Rumelt 1982). The literature has a well-known weakness, however. Any advantage that persists can be redescribed after the fact as inimitable, which makes the argument tautological. Section 3 addresses this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and Marshall (1890) called such returns quasi-rents. Teece (1986) specified who captures them: innovators profit when the appropriability regime is tight or when they control co-specialized complementary assets. Nordhaus (2004) estimated that innovators in the United States capture only about two percent of the social value of their innovations. For a general-purpose technology (Bresnahan and Trajtenberg 1995), the framework applies twice. It applies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Who captures surplus in a layered market has been studied extensively outside information systems, and our setting borrows from that work in three ways. First, models of vertical differentiation show that a quality leader can price above its rival only by the amount that buyers value the quality difference. Its margin is therefore proportional to the lead and falls to zero when the lead does (Mussa and Rosen 1978, Shaked and Sutton 1982). The developer rent in Proposition 3 applies this logic, with the lead measured on public leaderboards. Second, the literature on vertical chains, which begins with Spengler (1950), analyzes how margins are divided among successive layers. Our division-of-surplus result (Proposition 4) is a decomposition of this kind. It is accounting in nature, and its content lies in how each term moves with the lead, the imitation lag, and downstream competition. Third, work on platforms and complementors shows that platform owners can enter complementors’ markets and that their entry shortens the complementors’ profitable window (Gawer and Henderson 2007, Zhu and Liu 2018, Rochet and Tirole 2003). Proposition 5 builds on this result. A vendor’s productization of a use reduces the expected rent of the complement builder that created it.</w:t>
      </w:r>
    </w:p>
    <w:bookmarkEnd w:id="24"/>
    <w:bookmarkStart w:id="25" w:name="evidence-on-large-language-models"/>
    <w:p>
      <w:pPr>
        <w:pStyle w:val="Heading2"/>
      </w:pPr>
      <w:r>
        <w:t xml:space="preserve">2.5 Evidence on large language models</w:t>
      </w:r>
    </w:p>
    <w:p>
      <w:pPr>
        <w:pStyle w:val="FirstParagraph"/>
      </w:pPr>
      <w:r>
        <w:t xml:space="preserve">The evidence on LLMs so far sits mostly at the task level and at the developer level, and little of it concerns firm profit. Field and laboratory studies find large productivity effects. Brynjolfsson et al. (2025) report a 14 percent increase in issues resolved per hour among customer-support agents. Noy and Zhang (2023) find a 40 percent reduction in the time spent on professional writing tasks, Peng et al. (2023) find that programmers complete tasks 55 percent faster, and Dell’Acqua et al. (2023) find gains of 25 to 40 percent on consulting tasks that lie within the model’s capability frontier. Eloundou et al. (2024) estimate that a majority of occupations have at least some tasks exposed to LLMs. Agrawal et al. (2018, 2022) frame AI as a fall in the cost of prediction, so that value accrues to the owners of complements, and Bommasani et al. (2021) describe foundation models as a shared substrate. At the level of the adopting organization the evidence is thinner and less favorable. Humlum and Vestergaard (2025) link Danish adoption surveys to administrative records and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anyone studied them systematically. Rivals match frontier quality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Its payments to Microsoft alone, $17.2 billion, equal about half of its $34 billion of total costs and expenses. Meanwhile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which means that serving cost fell faster than price over that interval.</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we do not use them that way. A run-rate is not a profit, and a hyperscaler’s AI profit is not a developer’s rent. Their role here is to motivate the developer half of the theory and to fix orders of magnitude. The empirical work appears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that produce a homogeneous good sold at price</w:t>
      </w:r>
      <w:r>
        <w:t xml:space="preserve"> </w:t>
      </w:r>
      <m:oMath>
        <m:r>
          <m:t>p</m:t>
        </m:r>
      </m:oMath>
      <w:r>
        <w:t xml:space="preserve">. Firm</w:t>
      </w:r>
      <w:r>
        <w:t xml:space="preserve"> </w:t>
      </w:r>
      <m:oMath>
        <m:r>
          <m:t>j</m:t>
        </m:r>
      </m:oMath>
      <w:r>
        <w:t xml:space="preserve"> </w:t>
      </w:r>
      <w:r>
        <w:t xml:space="preserve">produces output</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bought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 It satisfies</w:t>
      </w:r>
      <w:r>
        <w:t xml:space="preserve"> </w:t>
      </w:r>
      <m:oMath>
        <m:r>
          <m:t>φ</m:t>
        </m:r>
        <m:d>
          <m:dPr>
            <m:begChr m:val="("/>
            <m:endChr m:val=")"/>
            <m:sepChr m:val=""/>
            <m:grow/>
          </m:dPr>
          <m:e>
            <m:r>
              <m:t>L</m:t>
            </m:r>
            <m:r>
              <m:rPr>
                <m:sty m:val="p"/>
              </m:rPr>
              <m:t>,</m:t>
            </m:r>
            <m:r>
              <m:t>0</m:t>
            </m:r>
          </m:e>
        </m:d>
        <m:r>
          <m:rPr>
            <m:sty m:val="p"/>
          </m:rPr>
          <m:t>=</m:t>
        </m:r>
        <m:r>
          <m:t>0</m:t>
        </m:r>
      </m:oMath>
      <w:r>
        <w:t xml:space="preserve"> </w:t>
      </w:r>
      <w:r>
        <w:t xml:space="preserve">and is supermodular, so the marginal product of</w:t>
      </w:r>
      <w:r>
        <w:t xml:space="preserve"> </w:t>
      </w:r>
      <m:oMath>
        <m:r>
          <m:t>L</m:t>
        </m:r>
      </m:oMath>
      <w:r>
        <w:t xml:space="preserve"> </w:t>
      </w:r>
      <w:r>
        <w:t xml:space="preserve">rises with</w:t>
      </w:r>
      <w:r>
        <w:t xml:space="preserve"> </w:t>
      </w:r>
      <m:oMath>
        <m:r>
          <m:t>O</m:t>
        </m:r>
      </m:oMath>
      <w:r>
        <w:t xml:space="preserve"> </w:t>
      </w:r>
      <w:r>
        <w:t xml:space="preserve">and the marginal product of</w:t>
      </w:r>
      <w:r>
        <w:t xml:space="preserve"> </w:t>
      </w:r>
      <m:oMath>
        <m:r>
          <m:t>O</m:t>
        </m:r>
      </m:oMath>
      <w:r>
        <w:t xml:space="preserve"> </w:t>
      </w:r>
      <w:r>
        <w:t xml:space="preserve">rises with</w:t>
      </w:r>
      <w:r>
        <w:t xml:space="preserve"> </w:t>
      </w:r>
      <m:oMath>
        <m:r>
          <m:t>L</m:t>
        </m:r>
      </m:oMath>
      <w:r>
        <w:t xml:space="preserve">. The third argument of</w:t>
      </w:r>
      <w:r>
        <w:t xml:space="preserve"> </w:t>
      </w:r>
      <m:oMath>
        <m:r>
          <m:t>F</m:t>
        </m:r>
      </m:oMath>
      <w:r>
        <w:t xml:space="preserve"> </w:t>
      </w:r>
      <w:r>
        <w:t xml:space="preserve">is the model’s commodity contribution, which any firm can obtain by buying</w:t>
      </w:r>
      <w:r>
        <w:t xml:space="preserve"> </w:t>
      </w:r>
      <m:oMath>
        <m:r>
          <m:t>L</m:t>
        </m:r>
      </m:oMath>
      <w:r>
        <w:t xml:space="preserve">. The fourth argument is the contribution that arises only when the model is combined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reflecting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Developers with comparable infrastructure supply inference at a common marginal cost</w:t>
      </w:r>
      <w:r>
        <w:t xml:space="preserve"> </w:t>
      </w:r>
      <m:oMath>
        <m:r>
          <m:t>m</m:t>
        </m:r>
      </m:oMath>
      <w:r>
        <w:t xml:space="preserv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It is a factor payment and not part of developer rent.</w:t>
      </w:r>
    </w:p>
    <w:p>
      <w:pPr>
        <w:pStyle w:val="BodyText"/>
      </w:pPr>
      <w:r>
        <w:t xml:space="preserve">A</w:t>
      </w:r>
      <w:r>
        <w:t xml:space="preserve"> </w:t>
      </w:r>
      <w:r>
        <w:rPr>
          <w:iCs/>
          <w:i/>
        </w:rPr>
        <w:t xml:space="preserve">vendor</w:t>
      </w:r>
      <w:r>
        <w:t xml:space="preserve"> </w:t>
      </w:r>
      <w:r>
        <w:t xml:space="preserve">is a model developer that sells to adopters. The frontier developer is one such vendor, and Sections 4.3 and 4.4 also consider others.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8, which endogenize the productization rate and add competition among vendors, follow in Sections 4.3 and 4.4. All proofs are in Appendix A.</w:t>
      </w:r>
    </w:p>
    <w:p>
      <w:pPr>
        <w:pStyle w:val="BodyText"/>
      </w:pPr>
      <w:r>
        <w:rPr>
          <w:bCs/>
          <w:b/>
        </w:rPr>
        <w:t xml:space="preserve">Proposition 1 (Adopter zero profit).</w:t>
      </w:r>
      <w:r>
        <w:t xml:space="preserve"> </w:t>
      </w:r>
      <w:r>
        <w:t xml:space="preserve">In a competitive industry in which no adopter holds organizational capital (</w:t>
      </w:r>
      <m:oMath>
        <m:sSub>
          <m:e>
            <m:r>
              <m:t>O</m:t>
            </m:r>
          </m:e>
          <m:sub>
            <m:r>
              <m:t>j</m:t>
            </m:r>
          </m:sub>
        </m:sSub>
        <m:r>
          <m:rPr>
            <m:sty m:val="p"/>
          </m:rPr>
          <m:t>=</m:t>
        </m:r>
        <m:r>
          <m:t>0</m:t>
        </m:r>
      </m:oMath>
      <w:r>
        <w:t xml:space="preserve"> </w:t>
      </w:r>
      <w:r>
        <w:t xml:space="preserve">for all</w:t>
      </w:r>
      <w:r>
        <w:t xml:space="preserve"> </w:t>
      </w:r>
      <m:oMath>
        <m:r>
          <m:t>j</m:t>
        </m:r>
      </m:oMath>
      <w:r>
        <w:t xml:space="preserve">), LLM usage earns no adopter an economic profit. An improvement in the model, or a fall in</w:t>
      </w:r>
      <w:r>
        <w:t xml:space="preserve"> </w:t>
      </w:r>
      <m:oMath>
        <m:sSub>
          <m:e>
            <m:r>
              <m:t>p</m:t>
            </m:r>
          </m:e>
          <m:sub>
            <m:r>
              <m:t>L</m:t>
            </m:r>
          </m:sub>
        </m:sSub>
      </m:oMath>
      <w:r>
        <w:t xml:space="preserve">, 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takes the productization rate</w:t>
      </w:r>
      <w:r>
        <w:t xml:space="preserve"> </w:t>
      </w:r>
      <m:oMath>
        <m:r>
          <m:t>η</m:t>
        </m:r>
      </m:oMath>
      <w:r>
        <w:t xml:space="preserve"> </w:t>
      </w:r>
      <w:r>
        <w:t xml:space="preserve">as given. Here we let the vendor choose it and ask how contract terms affect the choice. The analysis is a reduced-form extension that adds only the structure needed to endogenize</w:t>
      </w:r>
      <w:r>
        <w:t xml:space="preserve"> </w:t>
      </w:r>
      <m:oMath>
        <m:r>
          <m:t>η</m:t>
        </m:r>
      </m:oMath>
      <w:r>
        <w:t xml:space="preserve">. It is a first formalization and not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To keep the problem tractable, we replace the deterministic imitation lag</w:t>
      </w:r>
      <w:r>
        <w:t xml:space="preserve"> </w:t>
      </w:r>
      <m:oMath>
        <m:sSub>
          <m:e>
            <m:r>
              <m:t>τ</m:t>
            </m:r>
          </m:e>
          <m:sub>
            <m:r>
              <m:t>O</m:t>
            </m:r>
          </m:sub>
        </m:sSub>
      </m:oMath>
      <w:r>
        <w:t xml:space="preserve"> </w:t>
      </w:r>
      <w:r>
        <w:t xml:space="preserve">with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w:t>
      </w:r>
      <w:r>
        <w:t xml:space="preserve"> </w:t>
      </w:r>
      <m:oMath>
        <m:r>
          <m:t>η</m:t>
        </m:r>
        <m:r>
          <m:rPr>
            <m:sty m:val="p"/>
          </m:rPr>
          <m:t>=</m:t>
        </m:r>
        <m:d>
          <m:dPr>
            <m:begChr m:val="("/>
            <m:endChr m:val=")"/>
            <m:sepChr m:val=""/>
            <m:grow/>
          </m:dPr>
          <m:e>
            <m:r>
              <m:t>1</m:t>
            </m:r>
            <m:r>
              <m:rPr>
                <m:sty m:val="p"/>
              </m:rPr>
              <m:t>−</m:t>
            </m:r>
            <m:r>
              <m:t>s</m:t>
            </m:r>
          </m:e>
        </m:d>
        <m:r>
          <m:t>e</m:t>
        </m:r>
      </m:oMath>
      <w:r>
        <w:t xml:space="preserve">. Achieving a rate</w:t>
      </w:r>
      <w:r>
        <w:t xml:space="preserve"> </w:t>
      </w:r>
      <m:oMath>
        <m:r>
          <m:t>η</m:t>
        </m:r>
      </m:oMath>
      <w:r>
        <w:t xml:space="preserve"> </w:t>
      </w:r>
      <w:r>
        <w:t xml:space="preserve">therefore costs</w:t>
      </w:r>
      <w:r>
        <w:t xml:space="preserve"> </w:t>
      </w:r>
      <m:oMath>
        <m:d>
          <m:dPr>
            <m:begChr m:val="("/>
            <m:endChr m:val=")"/>
            <m:sepChr m:val=""/>
            <m:grow/>
          </m:dPr>
          <m:e>
            <m:r>
              <m:t>K</m:t>
            </m:r>
            <m:r>
              <m:rPr>
                <m:sty m:val="p"/>
              </m:rPr>
              <m:t>/</m:t>
            </m:r>
            <m:r>
              <m:t>2</m:t>
            </m:r>
          </m:e>
        </m:d>
        <m:sSup>
          <m:e>
            <m:r>
              <m:t>η</m:t>
            </m:r>
          </m:e>
          <m:sup>
            <m:r>
              <m:t>2</m:t>
            </m:r>
          </m:sup>
        </m:sSup>
      </m:oMath>
      <w:r>
        <w:t xml:space="preserve">, where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If the vendor productizes the use, it gains the present value</w:t>
      </w:r>
      <w:r>
        <w:t xml:space="preserve"> </w:t>
      </w:r>
      <m:oMath>
        <m:r>
          <m:t>G</m:t>
        </m:r>
        <m:r>
          <m:rPr>
            <m:sty m:val="p"/>
          </m:rPr>
          <m:t>=</m:t>
        </m:r>
        <m:r>
          <m:t>ϕ</m:t>
        </m:r>
        <m:r>
          <m:t>R</m:t>
        </m:r>
        <m:r>
          <m:rPr>
            <m:sty m:val="p"/>
          </m:rPr>
          <m:t>/</m:t>
        </m:r>
        <m:r>
          <m:t>r</m:t>
        </m:r>
      </m:oMath>
      <w:r>
        <w:t xml:space="preserve">. 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the vendor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runs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the two threats to the adopter’s rent compound. Proposition 7 applies the hold-up logic of Klein et al. (1978) and Grossman and Hart (1986)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In a simulation with randomly drawn parameters, the willingness to pay fell short of the vendor’s loss in about five percent of the draws. We therefore offer the pattern as an illustration and not as a proposition. If it held more generally, the uses most worth protecting would be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and Section 4.4 adds competition among vendors. We still do not model the adopter’s responses, such as concealing the use or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says nothing about how the vendor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may see that a use is valuable and try to build it. We now let</w:t>
      </w:r>
      <w:r>
        <w:t xml:space="preserve"> </w:t>
      </w:r>
      <m:oMath>
        <m:r>
          <m:t>N</m:t>
        </m:r>
      </m:oMath>
      <w:r>
        <w:t xml:space="preserve"> </w:t>
      </w:r>
      <w:r>
        <w:t xml:space="preserve">symmetric vendors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vendor to productize the use earns</w:t>
      </w:r>
      <w:r>
        <w:t xml:space="preserve"> </w:t>
      </w:r>
      <m:oMath>
        <m:r>
          <m:t>G</m:t>
        </m:r>
      </m:oMath>
      <w:r>
        <w:t xml:space="preserve"> </w:t>
      </w:r>
      <w:r>
        <w:t xml:space="preserve">and the others earn nothing, and productization by any vendor ends the adopter’s rent. Imitation by rival adopters continues at rate</w:t>
      </w:r>
      <w:r>
        <w:t xml:space="preserve"> </w:t>
      </w:r>
      <m:oMath>
        <m:r>
          <m:t>μ</m:t>
        </m:r>
      </m:oMath>
      <w:r>
        <w:t xml:space="preserve">. Let</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be 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and they work in the same direction. Each vendor moves faster, because a rival’s progress raises the cost of waiting, and more vendors are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Proposition 7 required only that one vendor’s cost rise with protection. With several vendors, a contract between the adopter and its own supplier binds that supplier alone.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are therefore unaffected by</w:t>
      </w:r>
      <w:r>
        <w:t xml:space="preserve"> </w:t>
      </w:r>
      <m:oMath>
        <m:r>
          <m:t>s</m:t>
        </m:r>
      </m:oMath>
      <w:r>
        <w:t xml:space="preserve">. Table 4 shows what protection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value of the rent flow rises by under ten percent. In simulations with randomly drawn parameters (3,000 draws, up to six outsiders), both the proportional reduction in the total rate and the gain in the adopter’s rent fell with every added outsider, without exception. We report this as a regularity and not as a proposition, because we have no proof for the asymmetric case.</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Bilateral contract terms are therefore most useful where few vendors can see the adopter’s use. In a market with many capable vendors, protection from one supplier does little, and the adopter’s rent depends more on how hard the use is to replicate without its data than on what it has negotiated. This reinforces the role of the organizational capital that makes a use difficult to copy (Section 3.3). It also suggests that protection would have to be industry-wide, for example through norms or regulation, to be effective in such markets.</w:t>
      </w:r>
    </w:p>
    <w:p>
      <w:pPr>
        <w:pStyle w:val="BodyText"/>
      </w:pPr>
      <w:r>
        <w:t xml:space="preserve">The limits noted in Section 4.3 apply here as well. Vendors are symmetric apart from their access to the adopter’s data, each vendor’s rate is constant, and a vendor whose rival wins earns nothing. Letting the winner share the use, or letting vendors differentiate their offerings, would soften the race.</w:t>
      </w:r>
    </w:p>
    <w:bookmarkEnd w:id="35"/>
    <w:bookmarkStart w:id="36" w:name="comparative-statics"/>
    <w:p>
      <w:pPr>
        <w:pStyle w:val="Heading2"/>
      </w:pPr>
      <w:r>
        <w:t xml:space="preserve">4.5 Comparative statics</w:t>
      </w:r>
    </w:p>
    <w:p>
      <w:pPr>
        <w:pStyle w:val="FirstParagraph"/>
      </w:pPr>
      <w:r>
        <w:t xml:space="preserve">Seven predictions follow from the propositions. The empirical work in Sections 5 and 6 can address only the first three.</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such terms weakens as the number of vendors able to build the same use grows (Proposition 8 and Table 4).</w:t>
      </w:r>
    </w:p>
    <w:p>
      <w:pPr>
        <w:pStyle w:val="FirstParagraph"/>
      </w:pPr>
      <w:r>
        <w:t xml:space="preserve">Predictions 4 to 7 are not tested here. Predictions 6 and 7 bear directly on managerial choices about data-use terms and fine-tuning ownership, which we take up in Section 7, but they cannot be examined with public data because contract terms are not observed.</w:t>
      </w:r>
    </w:p>
    <w:bookmarkEnd w:id="36"/>
    <w:bookmarkStart w:id="37" w:name="what-is-specific-to-llms"/>
    <w:p>
      <w:pPr>
        <w:pStyle w:val="Heading2"/>
      </w:pPr>
      <w:r>
        <w:t xml:space="preserve">4.6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w:t>
      </w:r>
      <w:r>
        <w:t xml:space="preserve"> </w:t>
      </w:r>
      <m:oMath>
        <m:sSub>
          <m:e>
            <m:r>
              <m:t>F</m:t>
            </m:r>
          </m:e>
          <m:sub>
            <m:r>
              <m:t>T</m:t>
            </m:r>
          </m:sub>
        </m:sSub>
      </m:oMath>
      <w:r>
        <w:t xml:space="preserve"> </w:t>
      </w:r>
      <w:r>
        <w:t xml:space="preserve">of producing a frontier model, so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about three to four months for open-weight models relative to the closed frontier (Emberson 2025, Epoch AI 2026), which places the developer close to the zero-rent corner of Proposition 3. The same model serves the complement builder and its competitors on posted terms, which is what makes the adopter’s position commodity-like in the first place. And vendors can and do move into the complement layer, which is the situation Propositions 5 to 8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Table 5 assigns each object of the model an empirical counterpart in public data. The mapping is interpretive. We do not recover structural parameters, and the figures in Table 1 are not regression inputs.</w:t>
      </w:r>
    </w:p>
    <w:p>
      <w:pPr>
        <w:pStyle w:val="BodyText"/>
      </w:pPr>
      <w:r>
        <w:rPr>
          <w:bCs/>
          <w:b/>
        </w:rPr>
        <w:t xml:space="preserve">Table 5.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39"/>
    <w:bookmarkStart w:id="40" w:name="empirical-implications"/>
    <w:p>
      <w:pPr>
        <w:pStyle w:val="Heading2"/>
      </w:pPr>
      <w:r>
        <w:t xml:space="preserve">5.2 Empirical implications</w:t>
      </w:r>
    </w:p>
    <w:p>
      <w:pPr>
        <w:pStyle w:val="FirstParagraph"/>
      </w:pPr>
      <w:r>
        <w:t xml:space="preserve">Predictions 1 and 3 of Section 4.5, together with the transience of complement rents (Corollary 2), yield five hypotheses. H1a and H1b follow from prediction 1, H2 and H3 from prediction 3, and H4 from Corollary 2. We state all five to show how the theory would be tested, but the public data available to us bear on only some of them. Section 6 examines H3 and H4, along with a lab-month association that is related to H1a and H1b without testing them. We leave H1a, H1b, and H2 to future work.</w:t>
      </w:r>
    </w:p>
    <w:p>
      <w:pPr>
        <w:pStyle w:val="BodyText"/>
      </w:pPr>
      <w:r>
        <w:rPr>
          <w:iCs/>
          <w:i/>
        </w:rPr>
        <w:t xml:space="preserve">Hypotheses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not a time-invariant indicator. Examples are Copilot for Microsoft 365, Firefly, Now Assist, Cortex, AIP, watsonx, and Charlotte AI (all 2023), and Gemini for Workspace, Agentforce, and Bits AI (all 2024), together with analogues.</w:t>
      </w:r>
    </w:p>
    <w:p>
      <w:pPr>
        <w:pStyle w:val="BodyText"/>
      </w:pPr>
      <w:r>
        <w:rPr>
          <w:bCs/>
          <w:b/>
        </w:rPr>
        <w:t xml:space="preserve">H4.</w:t>
      </w:r>
      <w:r>
        <w:t xml:space="preserve"> </w:t>
      </w:r>
      <w:r>
        <w:t xml:space="preserve">The within-firm margin increment after GA declines as event time lengthens. The hypothesis is disconfirmed by a flat or rising post-GA path, or by a difference between the first post-GA year and the last post-GA bin that cannot be distinguished from zero.</w:t>
      </w:r>
    </w:p>
    <w:p>
      <w:pPr>
        <w:pStyle w:val="BodyText"/>
      </w:pPr>
      <w:r>
        <w:rPr>
          <w:iCs/>
          <w:i/>
        </w:rPr>
        <w:t xml:space="preserve">Hypotheses left to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the model’s endpoints, which is a realized multi-provider price and not a single list card. Where endpoints are unpublished, the change-point list price serves as a fallback. The hypothesis is disconfirmed if the price does not respond to changes in the model’s own lead.</w:t>
      </w:r>
    </w:p>
    <w:p>
      <w:pPr>
        <w:pStyle w:val="BodyText"/>
      </w:pPr>
      <w:r>
        <w:rPr>
          <w:bCs/>
          <w:b/>
        </w:rPr>
        <w:t xml:space="preserve">H1b.</w:t>
      </w:r>
      <w:r>
        <w:t xml:space="preserve"> </w:t>
      </w:r>
      <w:r>
        <w:t xml:space="preserve">Across releases, a model’s launch price is increasing in its quality lead at launch. Proprietary list prices rarely change after launch (Gundlach et al. 2026), so the premium in Proposition 3 may attach mainly at release and fade as cheaper successors arrive, not through repricing. H1b captures this channel. It is disconfirmed if launch price is unrelated to the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The hypothesis is disconfirmed if a time-invariant exposure indicator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does not test the theory: the samples are small, the proxies are coarse, and several hypotheses go untested. Its purpose is to show that the constructs can be measured and to see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these, 102 have at least one live endpoint, and the remaining 69 rely on the list-price fallback. The adopter panel comes from SEC EDGAR XBRL company facts (SEC 2026) and covers 81 firms and 520 firm-years, with staggered GA-year treatment for 21 firms. We coded the GA years by hand from public product dates.</w:t>
      </w:r>
    </w:p>
    <w:bookmarkStart w:id="42" w:name="developer-side"/>
    <w:p>
      <w:pPr>
        <w:pStyle w:val="Heading2"/>
      </w:pPr>
      <w:r>
        <w:t xml:space="preserve">6.1 Developer side</w:t>
      </w:r>
    </w:p>
    <w:p>
      <w:pPr>
        <w:pStyle w:val="FirstParagraph"/>
      </w:pPr>
      <w:r>
        <w:rPr>
          <w:iCs/>
          <w:i/>
        </w:rPr>
        <w:t xml:space="preserve">Lab-month association.</w:t>
      </w:r>
      <w:r>
        <w:t xml:space="preserve"> </w:t>
      </w:r>
      <w:r>
        <w:t xml:space="preserve">We regress log realized flagship price on the lab’s lead, with lab fixed effects and a trend. The coefficient is 0.0099 on the 171 lab-months that include the list-price fallback and 0.0068 on the 102 months with at least one live endpoint. Conventional clustered p-values are below 0.001 and 0.017, respectively. With so few lab clusters, these p-values probably overstate precision (Cameron et al. 2008), so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New releases drive most of the identifying variation, so the estimates do not isolate the premium on a given model. They are associations between a lab’s lead and its flagship price and not tests of H1a or H1b. Those tests need a model-month panel and a release-level panel of launch prices, which we do not estimate here.</w:t>
      </w:r>
    </w:p>
    <w:bookmarkEnd w:id="42"/>
    <w:bookmarkStart w:id="43" w:name="adopter-side"/>
    <w:p>
      <w:pPr>
        <w:pStyle w:val="Heading2"/>
      </w:pPr>
      <w:r>
        <w:t xml:space="preserve">6.2 Adopter side</w:t>
      </w:r>
    </w:p>
    <w:p>
      <w:pPr>
        <w:pStyle w:val="FirstParagraph"/>
      </w:pPr>
      <w:r>
        <w:rPr>
          <w:iCs/>
          <w:i/>
        </w:rPr>
        <w:t xml:space="preserve">H3.</w:t>
      </w:r>
      <w:r>
        <w:t xml:space="preserve"> </w:t>
      </w:r>
      <w:r>
        <w:t xml:space="preserve">We regress operating margin on a post-GA indicator with firm and year fixed effects and standard errors clustered by firm. The post-GA margin increment is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The treated firms are large software incumbents and treatment is staggered, so this estimate may be biased and may reflect margin trends unrelated to AI. We therefore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is −1.2 percentage points at</w:t>
      </w:r>
      <w:r>
        <w:t xml:space="preserve"> </w:t>
      </w:r>
      <m:oMath>
        <m:r>
          <m:t>t</m:t>
        </m:r>
        <m:r>
          <m:rPr>
            <m:sty m:val="p"/>
          </m:rPr>
          <m:t>=</m:t>
        </m:r>
        <m:r>
          <m:rPr>
            <m:sty m:val="p"/>
          </m:rPr>
          <m:t>−</m:t>
        </m:r>
        <m:r>
          <m:t>2</m:t>
        </m:r>
      </m:oMath>
      <w:r>
        <w:t xml:space="preserve"> </w:t>
      </w:r>
      <w:r>
        <w:t xml:space="preserve">(</w:t>
      </w:r>
      <m:oMath>
        <m:r>
          <m:t>p</m:t>
        </m:r>
        <m:r>
          <m:rPr>
            <m:sty m:val="p"/>
          </m:rPr>
          <m:t>=</m:t>
        </m:r>
        <m:r>
          <m:t>0.64</m:t>
        </m:r>
      </m:oMath>
      <w:r>
        <w:t xml:space="preserve">), +4.4 at the GA year (</w:t>
      </w:r>
      <m:oMath>
        <m:r>
          <m:t>p</m:t>
        </m:r>
        <m:r>
          <m:rPr>
            <m:sty m:val="p"/>
          </m:rPr>
          <m:t>=</m:t>
        </m:r>
        <m:r>
          <m:t>0.037</m:t>
        </m:r>
      </m:oMath>
      <w:r>
        <w:t xml:space="preserve">), +6.1 at</w:t>
      </w:r>
      <w:r>
        <w:t xml:space="preserve"> </w:t>
      </w:r>
      <m:oMath>
        <m:r>
          <m:t>t</m:t>
        </m:r>
        <m:r>
          <m:rPr>
            <m:sty m:val="p"/>
          </m:rPr>
          <m:t>+</m:t>
        </m:r>
        <m:r>
          <m:t>1</m:t>
        </m:r>
      </m:oMath>
      <w:r>
        <w:t xml:space="preserve"> </w:t>
      </w:r>
      <w:r>
        <w:t xml:space="preserve">(</w:t>
      </w:r>
      <m:oMath>
        <m:r>
          <m:t>p</m:t>
        </m:r>
        <m:r>
          <m:rPr>
            <m:sty m:val="p"/>
          </m:rPr>
          <m:t>=</m:t>
        </m:r>
        <m:r>
          <m:t>0.021</m:t>
        </m:r>
      </m:oMath>
      <w:r>
        <w:t xml:space="preserve">), +5.3 at</w:t>
      </w:r>
      <w:r>
        <w:t xml:space="preserve"> </w:t>
      </w:r>
      <m:oMath>
        <m:r>
          <m:t>t</m:t>
        </m:r>
        <m:r>
          <m:rPr>
            <m:sty m:val="p"/>
          </m:rPr>
          <m:t>+</m:t>
        </m:r>
        <m:r>
          <m:t>2</m:t>
        </m:r>
      </m:oMath>
      <w:r>
        <w:t xml:space="preserve"> </w:t>
      </w:r>
      <w:r>
        <w:t xml:space="preserve">(</w:t>
      </w:r>
      <m:oMath>
        <m:r>
          <m:t>p</m:t>
        </m:r>
        <m:r>
          <m:rPr>
            <m:sty m:val="p"/>
          </m:rPr>
          <m:t>=</m:t>
        </m:r>
        <m:r>
          <m:t>0.16</m:t>
        </m:r>
      </m:oMath>
      <w:r>
        <w:t xml:space="preserve">), and +2.4 at</w:t>
      </w:r>
      <w:r>
        <w:t xml:space="preserve"> </w:t>
      </w:r>
      <m:oMath>
        <m:r>
          <m:t>t</m:t>
        </m:r>
        <m:r>
          <m:rPr>
            <m:sty m:val="p"/>
          </m:rPr>
          <m:t>+</m:t>
        </m:r>
        <m:r>
          <m:t>3</m:t>
        </m:r>
      </m:oMath>
      <w:r>
        <w:t xml:space="preserve"> </w:t>
      </w:r>
      <w:r>
        <w:t xml:space="preserve">(</w:t>
      </w:r>
      <m:oMath>
        <m:r>
          <m:t>p</m:t>
        </m:r>
        <m:r>
          <m:rPr>
            <m:sty m:val="p"/>
          </m:rPr>
          <m:t>=</m:t>
        </m:r>
        <m:r>
          <m:t>0.59</m:t>
        </m:r>
      </m:oMath>
      <w:r>
        <w:t xml:space="preserve">). The pre-period coefficient is small and indistinguishable from zero. The point estimates peak at</w:t>
      </w:r>
      <w:r>
        <w:t xml:space="preserve"> </w:t>
      </w:r>
      <m:oMath>
        <m:r>
          <m:t>t</m:t>
        </m:r>
        <m:r>
          <m:rPr>
            <m:sty m:val="p"/>
          </m:rPr>
          <m:t>+</m:t>
        </m:r>
        <m:r>
          <m:t>1</m:t>
        </m:r>
      </m:oMath>
      <w:r>
        <w:t xml:space="preserve"> </w:t>
      </w:r>
      <w:r>
        <w:t xml:space="preserve">and fall afterward, which is the direction the theory predicts. But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whether the</w:t>
      </w:r>
      <w:r>
        <w:t xml:space="preserve"> </w:t>
      </w:r>
      <m:oMath>
        <m:r>
          <m:t>t</m:t>
        </m:r>
        <m:r>
          <m:rPr>
            <m:sty m:val="p"/>
          </m:rPr>
          <m:t>+</m:t>
        </m:r>
        <m:r>
          <m:t>1</m:t>
        </m:r>
      </m:oMath>
      <w:r>
        <w:t xml:space="preserve"> </w:t>
      </w:r>
      <w:r>
        <w:t xml:space="preserve">coefficient equals that of the last post-GA bin. The data are therefore inconclusive on H4, and we do not claim that the margin increment decays.</w:t>
      </w:r>
    </w:p>
    <w:bookmarkEnd w:id="43"/>
    <w:bookmarkStart w:id="44" w:name="what-is-and-is-not-identified"/>
    <w:p>
      <w:pPr>
        <w:pStyle w:val="Heading2"/>
      </w:pPr>
      <w:r>
        <w:t xml:space="preserve">6.3 What is and is not identified</w:t>
      </w:r>
    </w:p>
    <w:p>
      <w:pPr>
        <w:pStyle w:val="FirstParagraph"/>
      </w:pPr>
      <w:r>
        <w:t xml:space="preserve">Six restrictions apply. First, the realized price is the mean of provider cards on OpenRouter, not a billed invoice and not a GAAP inference margin. Second, endpoint coverage is incomplete: 102 of the 171 priced months have a live endpoint. Third, GA years come from public product dates and do not measure token spend or retrieval intensity. Fourth, the figures in Table 1 are illustrative and are not regression inputs. Fifth, two-way fixed-effects estimates under staggered timing can be biased when effects differ across cohorts (Goodman-Bacon 2021), and they rest on parallel trends, which we examine only through the pre-GA coefficients of the event study. Sixth, operating margin is an accounting measure and not the economic profit of Proposition 2, and the GA date marks the launch of a product and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8 endogenize the productization rate and show three things: contract terms that limit a vendor’s use of adopters’ data slow it and raise the adopter’s incentive to invest, imitation by rivals and encroachment by vendors are strategic complements, and competition among vendors both speeds productization and weakens the effect of a clause with any one supplier.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8.</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 4 adds that, when many vendors can build the use, a clause with one supplier buys little, so that the adopter’s protection comes mainly from the difficulty of replicating the use. Both tables are illustrations and not estimates.</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and 4.4 are reduced-form: the productization rate is constant, vendors are symmetric apart from their access to the adopter’s data, and the adopter does not respond by hiding the use or switching vendor. Propositions 6 to 8 are not tested, because contract terms and vendor entry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H1a, H1b, and H2 are not tested here, and the evidence on H4 is inconclusive. The evidence reported is best viewed as a first look at the constructs, and it is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2026-10-21T00:30:15Z</dcterms:created>
  <dcterms:modified xsi:type="dcterms:W3CDTF">2026-10-21T00:30:15Z</dcterms:modified>
</cp:coreProperties>
</file>

<file path=docProps/custom.xml><?xml version="1.0" encoding="utf-8"?>
<Properties xmlns="http://schemas.openxmlformats.org/officeDocument/2006/custom-properties" xmlns:vt="http://schemas.openxmlformats.org/officeDocument/2006/docPropsVTypes"/>
</file>