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Organizations increasingly deploy systems built on large language models and are expected to refresh them as the world drifts away from their training data, yet little is known about what triggers a refresh. Release frequency is widely read as a signal of responsive maintenance. Drawing on signaling theory and on the distinction between state-dependent and time-dependent adjustment in price setting, we derive from a Poisson model of accumulating errors when cadence would be a valid signal, and test the implications on weekly issue, release, pull-request, and commit histories for 19 widely used open-source repositories in the LLM tooling ecosystem (3,432 repository-weeks; 2,456 releases). Bug reports show no measurable rise with the time since the last release relative to total issues, although a modest accumulation of up to about 3.9 percent per week cannot be excluded once the post-release burst of attention is absorbed. Release probabilities rise with the volume of user issues but show no significant additional response to bug reports at a given volume, and no detectable response to 38 upstream model launches. The release hazard also tends to rise with the stock of merged changes, although the data cannot cleanly separate that stock from calendar time. Release cadence therefore reflects user activity and accumulated work more clearly than responsiveness to degradation and should not be read as a validated signal of it. Detecting degradation requires performance data that public repositories do not contain, which matters for post-market monitoring and for users of third-party AI tooling.</w:t>
      </w:r>
    </w:p>
    <w:p>
      <w:pPr>
        <w:pStyle w:val="BodyText"/>
      </w:pPr>
      <w:r>
        <w:rPr>
          <w:b/>
          <w:bCs/>
        </w:rPr>
        <w:t xml:space="preserve">Keywords:</w:t>
      </w:r>
      <w:r>
        <w:t xml:space="preserve"> open-source software; artificial intelligence; software maintenance; state-dependent adjustment; time-dependent adjustment; hazard models; signaling theory</w:t>
      </w:r>
    </w:p>
    <w:p>
      <w:pPr>
        <w:pStyle w:val="Heading2"/>
        <w:pageBreakBefore/>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routinely treated by practitioners, buyers, and regulators as evidence that a project is actively maintained and that degradation is being managed. Our results give no support to this inference in the open-source LLM tooling ecosystem. Bug reports show no measurable rise with release age relative to total issues, releases respond to the volume of user issues but not distinguishably to bug reports as such, and they show no detectable response to upstream model launches. Release timing also tends to track the accumulation of merged work. Release cadence therefore looks more like a signal of user activity and development activity than of responsiveness to system deterioration—a distinction that matters for the design of monitoring and governance of deployed AI systems.</w:t>
      </w:r>
    </w:p>
    <w:p>
      <w:pPr>
        <w:pStyle w:val="BodyText"/>
      </w:pPr>
      <w:r>
        <w:t xml:space="preserve">We frame the question as one of signal validity. Release frequency is an observable signal that buyers, auditors, and regulators read as a sign of an unobservable quality, namely how responsively a system is maintained (Spence 1973; Connelly et al. 2011). A signal is informative about that quality only if it differs systematically between responsive and unresponsive maintainers. If release timing responds to degradation, cadence carries information about responsiveness. If release timing follows accumulated work or the calendar, a high cadence is as likely among unresponsive maintainers as among responsive ones, and reading it as evidence of maintenance quality is an error of inference. The distinction between state-dependent and time-dependent adjustment gives this question testable content: state dependence in errors is the condition under which cadence is a valid signal of responsiveness.</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that bug reports do not rise measurably with the age of a release. The pooled slope is close to zero when bug reports are measured relative to total issues (−0.003 per week; 95% CI −0.015 to 0.010), but once the post-release burst of attention is absorbed the interval allows an accumulation of up to about 3.9 percent per week (+0.017; −0.003 to 0.038), so we read the result as weak evidence against an accumulating error state and not as proof of its absence. </w:t>
      </w:r>
    </w:p>
    <w:p>
      <w:pPr>
        <w:pStyle w:val="BodyText"/>
      </w:pPr>
      <w:r>
        <w:t xml:space="preserve">The answer to RQ3 is that release probabilities respond to the volume of user issues but not distinguishably to bug reports as such. With non-bug issues held fixed, one standard deviation more bug reports in the previous week raises the log-odds of a release by 0.26 (wild cluster bootstrap p = 0.01), </w:t>
      </w:r>
      <w:r>
        <w:rPr/>
        <w:t xml:space="preserve">a response of about the same size as that to non-bug issues (0.23)</w:t>
      </w:r>
      <w:r>
        <w:t xml:space="preserve">, and the additional response to bug reports at a given total volume is positive but not significant (0.19; wild cluster bootstrap p = 0.20). Releases show no detectable response to 38 upstream model launches, although release notes often mention a new model after its launch, which suggests that the content of releases responds while their timing does not. </w:t>
      </w:r>
    </w:p>
    <w:p>
      <w:pPr>
        <w:pStyle w:val="BodyText"/>
      </w:pPr>
      <w:r>
        <w: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 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user activity and accumulating work, with no clear sign of accumulating errors and no clear role for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The paper makes four contributions. First, it brings the distinction between state-dependent and time-dependent adjustment to the maintenance of AI software and derives, from a simple Poisson model of accumulating errors, what each class of rule implies for observable data (Section 3). This qualifies models that treat maintenance as a responsive, state-dependent control process by specifying the conditions under which release cadence would be a valid signal of responsiveness to degradation. Second, it connects that distinction to the information systems literature on maintenance, which describes what maintenance consists of and what drives its cost but has not tested whether the timing of maintenance responds to measured deterioration (Section 2.2). It also treats release cadence as a signal whose validity can be tested (Section 2.4). Third, it provides evidence from 19 repositories that releases show no clear relationship to accumulating errors, that they respond to the volume of user issues but not distinguishably to bug reports as such or to upstream launches, and that they tend to follow accumulating work (Section 5). Fourth, it draws out implications for the design of monitoring and governance of deployed AI. Release cadence is not by itself evidence that degradation is being managed, and detecting degradation requires performance data that public repositories do not contain; this has implications for post-market monitoring under frameworks such as the EU AI Act and for organizations that depend on third-party AI components, although our evidence concerns the tooling layer and not deployed models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an aspect that remains untested even as AI systems are increasingly deployed in production: whether the timing of releases responds to degradation.</w:t>
      </w:r>
    </w:p>
    <w:p>
      <w:pPr>
        <w:pStyle w:val="Heading3"/>
      </w:pPr>
      <w:r>
        <w:t xml:space="preserve">2.4 Release Cadence as a Signal of Maintenance Quality</w:t>
      </w:r>
    </w:p>
    <w:p>
      <w:pPr>
        <w:pStyle w:val="BodyText"/>
      </w:pPr>
      <w:r>
        <w:t xml:space="preserve">Signaling theory studies how an observable action conveys information about an unobservable quality when the receiver cannot assess the quality directly (Spence 1973; Connelly et al. 2011). Two conditions make a signal informative: it must be correlated with the quality it is meant to indicate, and it must be costly enough that low-quality senders cannot mimic it. In software markets, buyers, auditors, and regulators routinely use update frequency as a signal of maintenance quality, because how responsively a maintainer deals with problems is hard to observe. For AI components the signal is relied on more heavily still, because degradation is itself hard to observe (Section 3.3). Release frequency is cheap in one important respect: an automated pipeline can publish a release every week whatever the system needs, as the documented procedures of two of our repositories show (Section 5.2). A cheap signal can be informative only if its timing is tied to the quality it is meant to indicate. We therefore test the correlation condition directly, asking whether release timing responds to accumulating errors, bug surges, or upstream shocks. The state-dependent rule of Section 3.2 is the case in which cadence is a valid signal of responsiveness, and the time-dependent rule is the case in which it is not.</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models the bug count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refresh probability is non-decreasing in drift in a discounted dynamic version of the model with unobserved payoff shocks (Rust 1987).</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the age of the release and for either total or non-bug issue volume, which separates a response to defects from a response to user activity in general)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and with 143 to 197 weekly observations per repository an estimate of it would be imprecise, so we do not report one and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Two retained repositories (anthropic-sdk-python and openai-python) document an automated release pull-request pipeline (Section 5.2). We keep them, because the pipeline does not remove the question of when a release is published, and we report the results without them in Section 5.6.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specification (b)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(0.079)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0.013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(0.198)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0.008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0.004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−0.094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−0.048 (0.029)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(0.123)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(0.055)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(1.096)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−0.024 (0.046)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(0.280)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−0.231 (0.066)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(0.153)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(0.166)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0.067 (0.027)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(0.327)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−0.039 (0.054)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(0.120)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0.003 (0.009)</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(0.201)</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Standard errors come from the cycle bootstrap described below, so inference does not rely on the Poisson variance.</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four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 (iv) We compare the observed patterns with the release policies stated in each repository’s contributing guide and release documents.</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on the same quantity in each of the previous three weeks entered jointly, and on the average of the three standardized lags. All regressions are logits that control for the standardized logarithm of issues in the previous week, the age of the release capped at eight weeks, a linear time trend, and repository fixed effects, with standard errors clustered by repository. The issue control is either total issues or non-bug issues, because the two answer different questions. With total issues held fixed, the bug coefficient measures a response to bug reports beyond overall volume. With non-bug issues held fixed, it measures a response to bug reports together with the overall activity that accompanies them, and the coefficient on non-bug issues then shows how large the response to other issues is. We also repeat the regressions on weeks at least two weeks after the previous release, because hot-fixes follow the burst of issues that a release itself provokes. Because there are only 19 clusters, we also report p-values from a wild cluster bootstrap with Webb weights (Cameron et al.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BodyText"/>
      </w:pPr>
      <w:r>
        <w:rPr>
          <w:b/>
          <w:bCs/>
        </w:rPr>
        <w:t xml:space="preserve">Release content.</w:t>
      </w:r>
      <w:r>
        <w:t xml:space="preserve"> Timing and content can differ: a maintainer may ship fixes in releases that were scheduled for other reasons. We code each itemized entry of a release note as a fix if it sits under a heading that contains “fix”, “bug”, or “patch”, or if it contains a fix keyword (fix, bugfix, hotfix, regression, crash, resolve, workaround, patch). We keep releases with at least three itemized entries and regress the share of fix entries on the standardized logarithm of bug reports in the preceding four weeks, controlling for the standardized logarithm of non-bug issues over the same weeks, the logarithm of the weeks since the previous release, a linear trend, and repository fixed effects, with repository-clustered standard errors and wild cluster bootstrap p-values. The classification is by keyword, and Section 5.6 reports a hand check of a random sample.</w:t>
      </w:r>
    </w:p>
    <w:p>
      <w:pPr>
        <w:pStyle w:val="BodyText"/>
      </w:pPr>
      <w:r>
        <w:rPr>
          <w:b/>
          <w:bCs/>
        </w:rPr>
        <w:t xml:space="preserve">Equivalence tests.</w:t>
      </w:r>
      <w:r>
        <w:t xml:space="preserve"> Because several of our results are null, for each of them we report a two one-sided test (TOST) p-value against a smallest effect of interest, the smallest bound at which equivalence would hold at the 5 percent level (the absolute estimate plus 1.645 standard errors), and the minimum detectable effect at 80 percent power (2.8 standard errors). The smallest effects of interest are a 2 percent weekly increase in the bug rate (RQ1); a log-odds of 0.25 per standard deviation of bug reports (RQ3), </w:t>
      </w:r>
      <w:r>
        <w:rPr/>
        <w:t xml:space="preserve">which is about the size of the response to non-bug issues that the data detect (0.23; Section 5.3)</w:t>
      </w:r>
      <w:r>
        <w:t xml:space="preserve">; and 5 percentage points for upstream launches, about one eighth of the pre-launch release rate. These bounds are anchored to the data and are not independent of them, which is why the smallest bound for equivalence is reported as well and readers can apply their own.</w:t>
      </w:r>
    </w:p>
    <w:p>
      <w:pPr>
        <w:pStyle w:val="BodyText"/>
      </w:pPr>
      <w:r>
        <w:rPr>
          <w:b/>
          <w:bCs/>
        </w:rPr>
        <w:t xml:space="preserve">Heterogeneity.</w:t>
      </w:r>
      <w:r>
        <w:t xml:space="preserve"> We repeat the RQ1 and RQ3 analyses (i) excluding the two repositories whose release pipelines are automated (anthropic-sdk-python and openai-python), (ii) separately for the weekly releasers (a median gap of at most one week between release weeks) and for the others, and (iii) by repository category where at least three repositories share a category.</w:t>
      </w:r>
    </w:p>
    <w:p>
      <w:pPr>
        <w:pStyle w:val="Heading2"/>
      </w:pPr>
      <w:r>
        <w:t xml:space="preserve">5 Results</w:t>
      </w:r>
    </w:p>
    <w:p>
      <w:pPr>
        <w:pStyle w:val="Heading3"/>
      </w:pPr>
      <w:r>
        <w:t xml:space="preserve">5.1 RQ1: Bug Reports Show No Measurable Rise with the Age of a Release</w:t>
      </w:r>
    </w:p>
    <w:p>
      <w:pPr>
        <w:pStyle w:val="FirstParagraph"/>
      </w:pPr>
      <w:r>
        <w:t xml:space="preserve">Under specification (b), pooling the 19 repository-level slopes with a random-effects model gives a log-rate slope of bug reports on weeks since release of −0.0029 per week (95% CI −0.015 to 0.010; τ² = 0.0003). Eight of the 19 repository-level slopes are positive. One (Ollama) is significantly positive and two (semantic-kernel and text-generation-inference) are significantly negative, three significant slopes in both directions among 19, somewhat more than the one expected by chance. The interval rules out an increase in the bug rate of more than about 1 percent per week. Because bug reports enter the offset, this estimate is biased toward zero if errors rise, but in our synthetic checks (Section 4.3) the bias was not large enough to hide a planted rise. It is one of the two primary tests of H1.</w:t>
      </w:r>
    </w:p>
    <w:p>
      <w:pPr>
        <w:pStyle w:val="BodyText"/>
      </w:pPr>
      <w:r>
        <w:t xml:space="preserve">Under specification (a), raw bug counts do fall with age: the pooled slope is −0.026 (95% CI −0.050 to −0.002). Once we account for the total number of issues filed, as in (b), the decline disappears. The early surge appears to be a general burst of issue-filing right after a release, driven by attention, announcements, and defects together, and not a change in the share of reports that concern bugs. In the terms of Section 3, specification (a) is therefore uninformative about the error state because of this burst.</w:t>
      </w:r>
    </w:p>
    <w:p>
      <w:pPr>
        <w:pStyle w:val="BodyText"/>
      </w:pPr>
      <w:r>
        <w:t xml:space="preserve">Specification (c), which controls for the log of weekly non-bug issues, gives −0.019 (95% CI −0.040 to 0.002), and specification (d), which adds indicators for the first three weeks after a release, gives +0.017 (95% CI −0.003 to 0.038). Under (d), 11 of the 19 repository-level slopes are positive and two are significantly positive. The slope is not identified for the two weekly releasers with almost no observations beyond the third week (anthropic-sdk-python and autogen, with standard errors above 4), and the random-effects estimate gives them negligible weight. H1 is therefore not supported at conventional levels, but the upper limit of the (d) interval means that an accumulation of up to about 3.9 percent per week in the bug rate cannot be ruled out once the burst of attention is absorbed. The evidence against an accumulating error state is thus weaker than the estimate under (b) alone suggests.</w:t>
      </w:r>
    </w:p>
    <w:p>
      <w:pPr>
        <w:pStyle w:val="Heading3"/>
      </w:pPr>
      <w:r>
        <w:t xml:space="preserve">5.2 RQ2: The Release Hazard Does Not Rise with Age</w:t>
      </w:r>
    </w:p>
    <w:p>
      <w:pPr>
        <w:pStyle w:val="FirstParagraph"/>
      </w:pPr>
      <w:r>
        <w:t xml:space="preserve">The pooled release-hazard logit slope is −0.090 per week of age (95% CI −0.211 to 0.030; </w:t>
      </w:r>
      <w:r>
        <w:rPr>
          <w:i/>
          <w:iCs/>
        </w:rPr>
        <w:t xml:space="preserve">τ²</w:t>
      </w:r>
      <w:r>
        <w:t xml:space="preserve"> = 0.050), which is not distinguishable from zero. Eight of the 19 repository-level slopes are positive. One, for vLLM, is significantly positive at the 5 percent level (a ratio of slope to standard error of about 2.4),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Six repositories have a significantly negative slope, and four of them (anthropic-sdk-python, semantic-kernel, openai-python, and llama_index) are among the seven repositories with a median release cycle of one week, which also publish hot-fixes soon after a release. Excluding the seven weekly releasers gives a pooled slope of 0.040 (95% CI −0.081 to 0.162),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43 percent are classified as hot-fixes, from none in lm-evaluation-harness and FastChat to about 70 percent in Ollama and llama_index. The hot-fix hazard is concentrated in the first week after a release: 36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60 percent of the 2,659 releases raise only the patch component of the previous version, and 71 percent of those appear within seven days of the previous release (median one day).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(19 repositories) pool to 0.073 (95% CI −0.021 to 0.166; τ² = 0.022). Three are significantly positive and one is significantly negative. In the pooled data, by contrast, the share of repository-weeks with a regular release falls from 0.39 at two weeks to 0.25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−0.119 per week for all releases (standard error 0.020; standard deviation of the intercept 0.96). It is −0.044 (0.023) when the seven weekly releasers are excluded and −0.099 (0.028) when only ages of two weeks or more are used. For regular releases measured from the last regular release the slope is 0.003 (0.020), and 0.046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1.03 across the 19 repositories, and 10 of them exceed one, which indicates bursts and gaps. For regular releases only, the median is 0.70 (range 0.33 to 1.76)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we find no clear rise in the error rate.</w:t>
      </w:r>
    </w:p>
    <w:p>
      <w:pPr>
        <w:pStyle w:val="BodyText"/>
      </w:pPr>
      <w:r>
        <w:rPr>
          <w:b/>
          <w:bCs/>
        </w:rPr>
        <w:t xml:space="preserve">Documented release policies.</w:t>
      </w:r>
      <w:r>
        <w:t xml:space="preserve"> None of the contributing guides or release documents we collected states a release calendar. Those of anthropic-sdk-python and openai-python describe an automated release pull-request pipeline that publishes to PyPI, which fits their weekly cadence and frequent hot-fixes. autogen and TRL document manual, maintainer-triggered procedures (a version-bump pull request followed by a tag in autogen; a release branch and a separate branch for patch releases in TRL) without a cadence. The remaining repositories document contribution rules but not how releases are made. Documented policy therefore gives little independent evidence on cadence, and we rely on the release histories.</w:t>
      </w:r>
    </w:p>
    <w:p>
      <w:pPr>
        <w:pStyle w:val="BodyText"/>
      </w:pPr>
      <w:r>
        <w:t xml:space="preserve">Taken together with Section 5.1, the evidence is more consistent with the second explanation in Section 3.3 than with the first: we find no clear accumulating error state to which a state-dependent rule could have responded, and release timing follows user activity and accumulated work, and perhaps the calendar, but not distinguishably errors (Sections 5.3 to 5.5). We cannot exclude that maintainers would also be inattentive if such a state existed.</w:t>
      </w:r>
    </w:p>
    <w:p>
      <w:pPr>
        <w:pStyle w:val="Heading3"/>
      </w:pPr>
      <w:r>
        <w:t xml:space="preserve">5.3 RQ3: Releases Respond to User Activity, with No Distinguishable Extra Response to Bug Reports</w:t>
      </w:r>
    </w:p>
    <w:p>
      <w:pPr>
        <w:pStyle w:val="FirstParagraph"/>
      </w:pPr>
      <w:r>
        <w:t xml:space="preserve">Releases respond to the volume of user issues. With non-bug issues held fixed, one standard deviation more bug reports (in logs) in the previous week raises the log-odds of a release by 0.261 (clustered standard error 0.095; p = 0.01; wild cluster bootstrap p = 0.01). </w:t>
      </w:r>
      <w:r>
        <w:rPr/>
        <w:t xml:space="preserve">One standard deviation more non-bug issues in the same model raises the log-odds by 0.233 (0.082; wild cluster bootstrap p &lt; 0.01), close to the effect of bug reports, so releases follow the overall flow of user reports at least as much as they follow defects.</w:t>
      </w:r>
      <w:r>
        <w:t xml:space="preserve"> The three-week average of bug reports gives 0.332 (0.108; wild cluster bootstrap p = 0.01), and the three lags entered separately give 0.184, 0.096, and 0.055.</w:t>
      </w:r>
    </w:p>
    <w:p>
      <w:pPr>
        <w:pStyle w:val="FirstParagraph"/>
      </w:pPr>
      <w:r>
        <w:t xml:space="preserve">Holding total issues fixed instead, the coefficient on bug reports is 0.191 (0.123; p = 0.12; wild cluster bootstrap p = 0.20) and that on total issues is 0.225 (0.105; wild cluster bootstrap p = 0.04), and the three-week average of bug reports gives 0.272 (0.123; p = 0.03; wild cluster bootstrap p = 0.06). The positive sign leaves room for some response to bug reports beyond overall volume, but it is not significant at the 5 percent level under the wild cluster bootstrap for either measure. An approximate 95 percent interval for the one-week coefficient runs from −0.05 to 0.43 in log-odds, which is compatible with no extra response and with an increase in the odds of a release of up to about 54 percent per standard deviation.</w:t>
      </w:r>
    </w:p>
    <w:p>
      <w:pPr>
        <w:pStyle w:val="FirstParagraph"/>
      </w:pPr>
      <w:r>
        <w:t xml:space="preserve">Hot-fixes do not appear to account for these patterns. Dropping the week right after a release, where hot-fixes follow the burst of issues that the release provokes, gives 0.251 (0.092; wild cluster bootstrap p = 0.03) for the one-week lag and 0.318 (0.098; wild cluster bootstrap p = 0.01) for the three-week average with non-bug issues held fixed, and 0.143 (0.129; wild cluster bootstrap p = 0.32) and 0.218 (0.120; wild cluster bootstrap p = 0.11) with total issues held fixed. The coefficients on non-bug and total issues in these samples are 0.250 (0.078) and 0.303 (0.115). H4 is therefore partly supported: release timing responds to user activity, of which bug reports are a component, but we cannot show that it responds to bug reports as such. The test is more demanding than the age profile, because it asks whether an observable state moves releases, which state dependence requires, and only part of that state is a sign of degradation.</w:t>
      </w:r>
    </w:p>
    <w:p>
      <w:pPr>
        <w:pStyle w:val="Heading3"/>
      </w:pPr>
      <w:r>
        <w:t xml:space="preserve">5.4 RQ3: No Detectable Release Response to Upstream Model Launches</w:t>
      </w:r>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If most are correct, the pattern is consistent with the content of releases responding to a launch while their timing does not: support for a new model is shipped in releases that would probably have appeared anyway. H4 is not supported by the upstream signal either.</w:t>
      </w:r>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3"/>
      </w:pPr>
      <w:r>
        <w:t xml:space="preserve">5.6 Additional Analyses: Release Content, Equivalence, and Heterogeneity</w:t>
      </w:r>
    </w:p>
    <w:p>
      <w:pPr>
        <w:pStyle w:val="BodyText"/>
      </w:pPr>
      <w:r>
        <w:rPr>
          <w:b/>
          <w:bCs/>
        </w:rPr>
        <w:t xml:space="preserve">Release content. </w:t>
      </w:r>
      <w:r>
        <w:t xml:space="preserve">We keep 1,405 releases from all 19 repositories that have at least three itemized entries; on average 32 percent of the entries are fixes. The share of fix entries is, if anything, lower after weeks with more bug reports. One standard deviation more bug reports in the preceding four weeks changes the share by −0.021 (clustered standard error 0.008; p = 0.01; wild cluster bootstrap p = 0.07), controlling for non-bug issues, the time since the previous release, a trend, and repository fixed effects. The sign is opposite to the one a content response would imply, and the wild cluster bootstrap p-value does not reach 5 percent, so we find no evidence that the content of releases responds to bug reports either. A hand check of 12 randomly drawn entries found the three flagged as fixes to be fixes and the nine others to be other changes; this small check says nothing about the recall of the classifier, and the result should be read as exploratory.</w:t>
      </w:r>
    </w:p>
    <w:p>
      <w:pPr>
        <w:pStyle w:val="BodyText"/>
      </w:pPr>
      <w:r>
        <w:rPr>
          <w:b/>
          <w:bCs/>
        </w:rPr>
        <w:t xml:space="preserve">Equivalence. </w:t>
      </w:r>
      <w:r>
        <w:t xml:space="preserve">For the age slope of bug reports under specification (b), the pooled estimate (−0.003, SE 0.006) is statistically equivalent to zero within ±0.02 log points per week (TOST p = 0.004). Equivalence would hold for any bound above 0.013, and the minimum effect detectable with 80 percent power is 0.018. Under specification (d) equivalence at that bound is not established (estimate 0.017, SE 0.010; TOST p = 0.40; equivalence for any bound above 0.035; minimum detectable effect 0.029). For the launch event study the estimate (−0.002, SE 0.018) is equivalent to zero within ±5 percentage points (TOST p = 0.004; smallest bound 0.032; minimum detectable effect 0.050). For the one-week response to bug reports, equivalence within ±0.25 log-odds per standard deviation is not established, with total issues held fixed (estimate 0.191, SE 0.123; TOST p = 0.32; smallest bound 0.39) or with non-bug issues held fixed (0.261, SE 0.095; TOST p = 0.55; smallest bound 0.42), as expected when the estimates are themselves positive. The bounds are anchored to the data, which is why the smallest bound for equivalence is reported as well.</w:t>
      </w:r>
    </w:p>
    <w:p>
      <w:pPr>
        <w:pStyle w:val="BodyText"/>
      </w:pPr>
      <w:r>
        <w:rPr>
          <w:b/>
          <w:bCs/>
        </w:rPr>
        <w:t xml:space="preserve">Heterogeneity. </w:t>
      </w:r>
      <w:r>
        <w:t xml:space="preserve">Excluding the two repositories with automated release pipelines (anthropic-sdk-python and openai-python) leaves the conclusions unchanged. The pooled age slope is −0.003 under specification (b) (95% CI −0.015 to 0.010) and +0.019 under (d) (−0.007 to 0.044), and the coefficient on bug reports with non-bug issues held fixed rises to 0.304 (SE 0.093). The thirteen slower releasers give 0.000 under (b) (−0.009 to 0.009), +0.015 under (d) (−0.006 to 0.034), and 0.211 (SE 0.082) for the response to bug reports. For the six weekly releasers (a median gap of at most one week between release weeks among all collected releases; Table 1 lists seven repositories with a median cycle of one week) the (b) estimate is imprecise (−0.033; −0.104 to 0.038), and the (d) estimate (0.248; 0.077 to 0.418) rests on few observations beyond the third week after a release and is not reliable. Within categories of three repositories the estimates are too imprecise to interpret; agent frameworks show a response to bug reports of 0.709 (SE 0.134) and inference engines an age slope under (d) of 0.045 (0.002 to 0.087), which we treat as exploratory.</w:t>
      </w:r>
    </w:p>
    <w:p>
      <w:pPr>
        <w:pStyle w:val="Heading2"/>
      </w:pPr>
      <w:r>
        <w:t xml:space="preserve">6 Discussion</w:t>
      </w:r>
    </w:p>
    <w:p>
      <w:pPr>
        <w:pStyle w:val="Heading3"/>
      </w:pPr>
      <w:r>
        <w:t xml:space="preserve">6.1 Interpretation</w:t>
      </w:r>
    </w:p>
    <w:p>
      <w:pPr>
        <w:pStyle w:val="FirstParagraph"/>
      </w:pPr>
      <w:r>
        <w:t xml:space="preserve">Releases in these repositories respond to the volume of user activity and, more weakly, to accumulated work, but we find no clear relationship with an accumulating error state.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tends to rise with the stock of merged changes. These findings suggest that the observable timing of maintenance need not form a feedback loop with system deterioration. This qualifies models that treat maintenance as a responsive, state-dependent control process: such models are valid only when an accumulating error state exists and maintainers respond to it, conditions that are not clearly met in these data. The evidence is consistent with release activity in this ecosystem mainly reflecting user activity and the accumulation of development work. This distinction has implications for how information systems researchers conceptualize monitoring, feedback, and control in AI-enabled systems. In particular, treating release cadence as a validated signal of responsiveness conflates development activity with a control response to degradation. </w:t>
      </w:r>
    </w:p>
    <w:p>
      <w:pPr>
        <w:pStyle w:val="FirstParagraph"/>
      </w:pPr>
      <w:r>
        <w:t xml:space="preserve">The repositories therefore resemble firms whose adjustment responds to observable demand and to an accumulating stock of work, as in Sheshinski and Weiss (1977), but the state to which they respond is not clearly accumulated errors. A calendar cadence, as in Taylor (1980), cannot be excluded, because work and calendar time are correlated. Because bug reports build up at most modestly, these data cannot distinguish a maintainer who ignores an accumulating error state from one who has little to respond to. Both readings carry the same practical message. </w:t>
      </w:r>
    </w:p>
    <w:p>
      <w:pPr>
        <w:pStyle w:val="FirstParagraph"/>
      </w:pPr>
      <w:r>
        <w:t xml:space="preserve">In this ecosystem, we find no evidence that release timing is a mechanism through which degradation, if it occurs, would be corrected, although releases do respond to the flow of user reports. In the language of signaling theory, release cadence shows no sign of being a valid signal of responsiveness to degradation: it covaries with user activity in general and not distinguishably with the defects that it is read as indicating.</w:t>
      </w:r>
    </w:p>
    <w:p>
      <w:pPr>
        <w:pStyle w:val="Heading3"/>
      </w:pPr>
      <w:r>
        <w:t xml:space="preserve">6.2 Implications for Policy and Practice</w:t>
      </w:r>
    </w:p>
    <w:p>
      <w:pPr>
        <w:pStyle w:val="FirstParagraph"/>
      </w:pPr>
      <w:r>
        <w:rPr>
          <w:b/>
          <w:bCs/>
        </w:rPr>
        <w:t xml:space="preserve">Release cadence should not be read as a signal of responsiveness.</w:t>
      </w:r>
      <w:r>
        <w:t xml:space="preserve"> A project that releases every week looks actively maintained, but if release timing follows user activity, accumulated work, or the calendar,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user activity, accumulated work, or a calendar. Where degradation is a concern, obligations framed in terms of measured error rates or performance thresholds, rather than update schedules or release cadence, are more likely to produce state-dependent responses. Regulators and auditors may therefore wish to treat release frequency as uninformative about responsiveness and to ask for performance metrics that public repositories do not contain. This inference is indirect, because our repositories are tools rather than deployed models, but it bears most directly on the open-source tooling layer through which many organizations consume LLMs.</w:t>
      </w:r>
    </w:p>
    <w:p>
      <w:pPr>
        <w:pStyle w:val="BodyText"/>
      </w:pPr>
      <w:r>
        <w:rPr>
          <w:b/>
          <w:bCs/>
        </w:rPr>
        <w:t>Maintenance as feedback.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components—such as inference engines, client SDKs, and agent frameworks—should therefore ask whether maintainers respond to measured performance metrics, not how often they release, and may consider contractual or monitoring provisions that require evidence of state-dependent responses rather than cadence alone.</w:t>
      </w:r>
      <w:r>
        <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that track performance drift, standardized error reporting protocols, and research or regulatory access to operators’ error logs and refresh histories are concrete examples. Without such data, neither public repositories nor cadence-based signals can confirm that degradation is being managed, which is why complementary monitoring infrastructure is needed.</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We did not validate the classification against a manually labeled sample, so misclassification remains a limitation.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a hypothesis, give interval estimates, report equivalence tests where the question is whether an effect is small, and avoid claiming that the effects are zero. We also report many specifications without adjusting for multiple comparisons, and the one significant response to bug reports, which appears only when non-bug issues are held fixed, should be read in that light.</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fix entries in release notes is by keyword,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 The package also contains the scripts that produce the empirical estimates in Sections 5.1 to 5.6 and in Table 1, run with fixed random seeds and 999 bootstrap draws.</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rises significantly with age in only one repository. The hazard does tend to rise with the stock of merged changes, although the data cannot cleanly separate that stock from calendar time. Release timing in this ecosystem therefore appears to follow user activity and accumulating work, and we find no clear sign that it follows accumulating errors. The findings suggest that release cadence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The comparative statics of the threshold in the refresh cost and in the speed of drift are those of the closed-form threshold </w:t>
      </w:r>
      <w:r>
        <w:rPr>
          <w:i/>
          <w:iCs/>
        </w:rPr>
        <w:t xml:space="preserve">x</w:t>
      </w:r>
      <w:r>
        <w:t xml:space="preserve">* in Section 3.2, which approximates the undiscounted case. We do not derive the effect of the discount factor here.</w:t>
      </w:r>
    </w:p>
    <w:p/>
    <w:p/>
    <w:p>
      <w:pPr>
        <w:pStyle w:val="Heading2"/>
        <w:pageBreakBefore/>
      </w:pPr>
      <w:r>
        <w:t xml:space="preserve">References</w:t>
      </w:r>
    </w:p>
    <w:p>
      <w:pPr>
        <w:pStyle w:val="Bibliography"/>
      </w:pPr>
      <w:r>
        <w:t xml:space="preserve">Aguirregabiria, V., and Mira, P. 2010. “Dynamic Discrete Choice Structural Models: A Survey,” </w:t>
      </w:r>
      <w:r>
        <w:rPr>
          <w:i/>
          <w:iCs/>
        </w:rPr>
        <w:t xml:space="preserve">Journal of Econometrics</w:t>
      </w:r>
      <w:r>
        <w:t xml:space="preserve"> (156:1), pp. 38–67. https://doi.org/10.1016/j.jeconom.2009.09.007</w:t>
      </w:r>
    </w:p>
    <w:p>
      <w:pPr>
        <w:pStyle w:val="Bibliography"/>
      </w:pPr>
      <w:r>
        <w:t xml:space="preserve">Alvarez, F. E., Lippi, F., and Paciello, L. 2011. “Optimal Price Setting with Observation and Menu Costs,” </w:t>
      </w:r>
      <w:r>
        <w:rPr>
          <w:i/>
          <w:iCs/>
        </w:rPr>
        <w:t xml:space="preserve">Quarterly Journal of Economics</w:t>
      </w:r>
      <w:r>
        <w:t xml:space="preserve"> (126:4), pp. 1909–1960. https://doi.org/10.1093/qje/qjr043</w:t>
      </w:r>
    </w:p>
    <w:p>
      <w:pPr>
        <w:pStyle w:val="Bibliography"/>
      </w:pPr>
      <w:r>
        <w:t xml:space="preserve">Amershi, S., Begel, A., Bird, C., DeLine, R., Gall, H., Kamar, E., Nagappan, N., Nushi, B., and Zimmermann, T. 2019. “Software Engineering for Machine Learning: A Case Study,” in </w:t>
      </w:r>
      <w:r>
        <w:rPr>
          <w:i/>
          <w:iCs/>
        </w:rPr>
        <w:t xml:space="preserve">Proceedings of the 41st International Conference on Software Engineering: Software Engineering in Practice (ICSE-SEIP)</w:t>
      </w:r>
      <w:r>
        <w:t xml:space="preserve">, pp. 291–300. https://doi.org/10.1109/ICSE-SEIP.2019.00042</w:t>
      </w:r>
    </w:p>
    <w:p>
      <w:pPr>
        <w:pStyle w:val="Bibliography"/>
      </w:pPr>
      <w:r>
        <w:t xml:space="preserve">Banker, R. D., Datar, S. M., Kemerer, C. F., and Zweig, D. 1993. “Software Complexity and Maintenance Costs,” </w:t>
      </w:r>
      <w:r>
        <w:rPr>
          <w:i/>
          <w:iCs/>
        </w:rPr>
        <w:t xml:space="preserve">Communications of the ACM</w:t>
      </w:r>
      <w:r>
        <w:t xml:space="preserve"> (36:11), pp. 81–94. https://doi.org/10.1145/163359.163375</w:t>
      </w:r>
    </w:p>
    <w:p>
      <w:pPr>
        <w:pStyle w:val="Bibliography"/>
      </w:pPr>
      <w:r>
        <w:t xml:space="preserve">Barlow, R., and Hunter, L. 1960. “Optimum Preventive Maintenance Policies,” </w:t>
      </w:r>
      <w:r>
        <w:rPr>
          <w:i/>
          <w:iCs/>
        </w:rPr>
        <w:t xml:space="preserve">Operations Research</w:t>
      </w:r>
      <w:r>
        <w:t xml:space="preserve"> (8:1), pp. 90–100. https://doi.org/10.1287/opre.8.1.90</w:t>
      </w:r>
    </w:p>
    <w:p>
      <w:pPr>
        <w:pStyle w:val="Bibliography"/>
      </w:pPr>
      <w:r>
        <w:t xml:space="preserve">Caballero, R. J., and Engel, E. M. R. A. 1999. “Explaining Investment Dynamics in U.S. Manufacturing: A Generalized (S,s) Approach,” </w:t>
      </w:r>
      <w:r>
        <w:rPr>
          <w:i/>
          <w:iCs/>
        </w:rPr>
        <w:t xml:space="preserve">Econometrica</w:t>
      </w:r>
      <w:r>
        <w:t xml:space="preserve"> (67:4), pp. 783–826. https://doi.org/10.1111/1468-0262.00053</w:t>
      </w:r>
    </w:p>
    <w:p>
      <w:pPr>
        <w:pStyle w:val="Bibliography"/>
      </w:pPr>
      <w:r>
        <w:t xml:space="preserve">Calvo, G. A. 1983. “Staggered Prices in a Utility-Maximizing Framework,” </w:t>
      </w:r>
      <w:r>
        <w:rPr>
          <w:i/>
          <w:iCs/>
        </w:rPr>
        <w:t xml:space="preserve">Journal of Monetary Economics</w:t>
      </w:r>
      <w:r>
        <w:t xml:space="preserve"> (12:3), pp. 383–398. https://doi.org/10.1016/0304-3932(83)90060-0</w:t>
      </w:r>
    </w:p>
    <w:p>
      <w:pPr>
        <w:pStyle w:val="Bibliography"/>
      </w:pPr>
      <w:r>
        <w:t xml:space="preserve">Cameron, A. C., Gelbach, J. B., and Miller, D. L. 2008. “Bootstrap-Based Improvements for Inference with Clustered Errors,” </w:t>
      </w:r>
      <w:r>
        <w:rPr>
          <w:i/>
          <w:iCs/>
        </w:rPr>
        <w:t xml:space="preserve">Review of Economics and Statistics</w:t>
      </w:r>
      <w:r>
        <w:t xml:space="preserve"> (90:3), pp. 414–427. https://doi.org/10.1162/rest.90.3.414</w:t>
      </w:r>
    </w:p>
    <w:p>
      <w:pPr>
        <w:pStyle w:val="Bibliography"/>
      </w:pPr>
      <w:r>
        <w:t xml:space="preserve">Chen, L., Zaharia, M., and Zou, J. 2024. “How Is ChatGPT’s Behavior Changing over Time?” </w:t>
      </w:r>
      <w:r>
        <w:rPr>
          <w:i/>
          <w:iCs/>
        </w:rPr>
        <w:t xml:space="preserve">Harvard Data Science Review</w:t>
      </w:r>
      <w:r>
        <w:t xml:space="preserve"> (6:2). https://doi.org/10.1162/99608f92.5317da47</w:t>
      </w:r>
    </w:p>
    <w:p>
      <w:pPr>
        <w:pStyle w:val="Bibliography"/>
      </w:pPr>
      <w:r>
        <w:t xml:space="preserve">Chen, W., Liu, X., Krishnan, V., and Zhu, K. 2026. “Strategic Release and Co-Creation: Empirical Insights for Managing Open-Source Software,” </w:t>
      </w:r>
      <w:r>
        <w:rPr>
          <w:i/>
          <w:iCs/>
        </w:rPr>
        <w:t xml:space="preserve">Information Systems Research</w:t>
      </w:r>
      <w:r>
        <w:t xml:space="preserve"> (articles in advance). https://doi.org/10.1287/isre.2021.0601</w:t>
      </w:r>
    </w:p>
    <w:p>
      <w:pPr>
        <w:pStyle w:val="Bibliography"/>
      </w:pPr>
      <w:r>
        <w:t xml:space="preserve">Connelly, B. L., Certo, S. T., Ireland, R. D., and Reutzel, C. R. 2011. “Signaling Theory: A Review and Assessment,” </w:t>
      </w:r>
      <w:r>
        <w:rPr>
          <w:i/>
          <w:iCs/>
        </w:rPr>
        <w:t xml:space="preserve">Journal of Management</w:t>
      </w:r>
      <w:r>
        <w:t xml:space="preserve"> (37:1), pp. 39–67. https://doi.org/10.1177/0149206310388419</w:t>
      </w:r>
    </w:p>
    <w:p>
      <w:pPr>
        <w:pStyle w:val="Bibliography"/>
      </w:pPr>
      <w:r>
        <w:t xml:space="preserve">DerSimonian, R., and Laird, N. 1986. “Meta-Analysis in Clinical Trials,” </w:t>
      </w:r>
      <w:r>
        <w:rPr>
          <w:i/>
          <w:iCs/>
        </w:rPr>
        <w:t xml:space="preserve">Controlled Clinical Trials</w:t>
      </w:r>
      <w:r>
        <w:t xml:space="preserve"> (7:3), pp. 177–188. https://doi.org/10.1016/0197-2456(86)90046-2</w:t>
      </w:r>
    </w:p>
    <w:p>
      <w:pPr>
        <w:pStyle w:val="Bibliography"/>
      </w:pPr>
      <w:r>
        <w:t xml:space="preserve">Duncan, A. J. 1956. “The Economic Design of X̄ Charts Used to Maintain Current Control of a Process,” </w:t>
      </w:r>
      <w:r>
        <w:rPr>
          <w:i/>
          <w:iCs/>
        </w:rPr>
        <w:t xml:space="preserve">Journal of the American Statistical Association</w:t>
      </w:r>
      <w:r>
        <w:t xml:space="preserve"> (51:274), pp. 228–242. https://doi.org/10.2307/2281343</w:t>
      </w:r>
    </w:p>
    <w:p>
      <w:pPr>
        <w:pStyle w:val="Bibliography"/>
      </w:pPr>
      <w:r>
        <w:t xml:space="preserve">Gama, J., Žliobaitė, I., Bifet, A., Pechenizkiy, M., and Bouchachia, A. 2014. “A Survey on Concept Drift Adaptation,” </w:t>
      </w:r>
      <w:r>
        <w:rPr>
          <w:i/>
          <w:iCs/>
        </w:rPr>
        <w:t xml:space="preserve">ACM Computing Surveys</w:t>
      </w:r>
      <w:r>
        <w:t xml:space="preserve"> (46:4), Article 44. https://doi.org/10.1145/2523813</w:t>
      </w:r>
    </w:p>
    <w:p>
      <w:pPr>
        <w:pStyle w:val="Bibliography"/>
      </w:pPr>
      <w:r>
        <w:t xml:space="preserve">Gourieroux, C., Monfort, A., and Trognon, A. 1984. “Pseudo Maximum Likelihood Methods: Applications to Poisson Models,” </w:t>
      </w:r>
      <w:r>
        <w:rPr>
          <w:i/>
          <w:iCs/>
        </w:rPr>
        <w:t xml:space="preserve">Econometrica</w:t>
      </w:r>
      <w:r>
        <w:t xml:space="preserve"> (52:3), pp. 701–720. https://doi.org/10.2307/1913472</w:t>
      </w:r>
    </w:p>
    <w:p>
      <w:pPr>
        <w:pStyle w:val="Bibliography"/>
      </w:pPr>
      <w:r>
        <w:t xml:space="preserve">Heckman, J., and Singer, B. 1984. “A Method for Minimizing the Impact of Distributional Assumptions in Econometric Models for Duration Data,” </w:t>
      </w:r>
      <w:r>
        <w:rPr>
          <w:i/>
          <w:iCs/>
        </w:rPr>
        <w:t xml:space="preserve">Econometrica</w:t>
      </w:r>
      <w:r>
        <w:t xml:space="preserve"> (52:2), pp. 271–320. https://doi.org/10.2307/1911491</w:t>
      </w:r>
    </w:p>
    <w:p>
      <w:pPr>
        <w:pStyle w:val="Bibliography"/>
      </w:pPr>
      <w:r>
        <w:t xml:space="preserve">Hotz, V. J., and Miller, R. A. 1993. “Conditional Choice Probabilities and the Estimation of Dynamic Models,” </w:t>
      </w:r>
      <w:r>
        <w:rPr>
          <w:i/>
          <w:iCs/>
        </w:rPr>
        <w:t xml:space="preserve">Review of Economic Studies</w:t>
      </w:r>
      <w:r>
        <w:t xml:space="preserve"> (60:3), pp. 497–529. https://doi.org/10.2307/2298122</w:t>
      </w:r>
    </w:p>
    <w:p>
      <w:pPr>
        <w:pStyle w:val="Bibliography"/>
      </w:pPr>
      <w:r>
        <w:t xml:space="preserve">Jenkins, S. P. 1995. “Easy Estimation Methods for Discrete-Time Duration Models,” </w:t>
      </w:r>
      <w:r>
        <w:rPr>
          <w:i/>
          <w:iCs/>
        </w:rPr>
        <w:t xml:space="preserve">Oxford Bulletin of Economics and Statistics</w:t>
      </w:r>
      <w:r>
        <w:t xml:space="preserve"> (57:1), pp. 129–138. https://doi.org/10.1111/j.1468-0084.1995.tb00031.x</w:t>
      </w:r>
    </w:p>
    <w:p>
      <w:pPr>
        <w:pStyle w:val="Bibliography"/>
      </w:pPr>
      <w:r>
        <w:t xml:space="preserve">Kemerer, C. F., and Slaughter, S. 1999. “An Empirical Approach to Studying Software Evolution,” </w:t>
      </w:r>
      <w:r>
        <w:rPr>
          <w:i/>
          <w:iCs/>
        </w:rPr>
        <w:t xml:space="preserve">IEEE Transactions on Software Engineering</w:t>
      </w:r>
      <w:r>
        <w:t xml:space="preserve"> (25:4), pp. 493–509. https://doi.org/10.1109/32.799945</w:t>
      </w:r>
    </w:p>
    <w:p>
      <w:pPr>
        <w:pStyle w:val="Bibliography"/>
      </w:pPr>
      <w:r>
        <w:t xml:space="preserve">Khomh, F., Dhaliwal, T., Zou, Y., and Adams, B. 2012. “Do Faster Releases Improve Software Quality? An Empirical Case Study of Mozilla Firefox,” in </w:t>
      </w:r>
      <w:r>
        <w:rPr>
          <w:i/>
          <w:iCs/>
        </w:rPr>
        <w:t xml:space="preserve">Proceedings of the 9th IEEE Working Conference on Mining Software Repositories (MSR)</w:t>
      </w:r>
      <w:r>
        <w:t xml:space="preserve">, pp. 179–188. https://doi.org/10.1109/MSR.2012.6224279</w:t>
      </w:r>
    </w:p>
    <w:p>
      <w:pPr>
        <w:pStyle w:val="Bibliography"/>
      </w:pPr>
      <w:r>
        <w:t xml:space="preserve">Klenow, P. J., and Kryvtsov, O. 2008. “State-Dependent or Time-Dependent Pricing: Does It Matter for Recent U.S. Inflation?” </w:t>
      </w:r>
      <w:r>
        <w:rPr>
          <w:i/>
          <w:iCs/>
        </w:rPr>
        <w:t xml:space="preserve">Quarterly Journal of Economics</w:t>
      </w:r>
      <w:r>
        <w:t xml:space="preserve"> (123:3), pp. 863–904. https://doi.org/10.1162/qjec.2008.123.3.863</w:t>
      </w:r>
    </w:p>
    <w:p>
      <w:pPr>
        <w:pStyle w:val="Bibliography"/>
      </w:pPr>
      <w:r>
        <w:t xml:space="preserve">Lazaridou, A., Kuncoro, A., Gribovskaya, E., Agrawal, D., Liska, A., Terzi, T., Gimenez, M., de Masson d’Autume, C., Kocisky, T., Ruder, S., Yogatama, D., Cao, K., Young, S., and Blunsom, P. 2021. “Mind the Gap: Assessing Temporal Generalization in Neural Language Models,” in </w:t>
      </w:r>
      <w:r>
        <w:rPr>
          <w:i/>
          <w:iCs/>
        </w:rPr>
        <w:t xml:space="preserve">Advances in Neural Information Processing Systems</w:t>
      </w:r>
      <w:r>
        <w:t xml:space="preserve"> (34).</w:t>
      </w:r>
    </w:p>
    <w:p>
      <w:pPr>
        <w:pStyle w:val="Bibliography"/>
      </w:pPr>
      <w:r>
        <w:t xml:space="preserve">Lehman, M. M. 1980. “Programs, Life Cycles, and Laws of Software Evolution,” </w:t>
      </w:r>
      <w:r>
        <w:rPr>
          <w:i/>
          <w:iCs/>
        </w:rPr>
        <w:t xml:space="preserve">Proceedings of the IEEE</w:t>
      </w:r>
      <w:r>
        <w:t xml:space="preserve"> (68:9), pp. 1060–1076. https://doi.org/10.1109/PROC.1980.11805</w:t>
      </w:r>
    </w:p>
    <w:p>
      <w:pPr>
        <w:pStyle w:val="Bibliography"/>
      </w:pPr>
      <w:r>
        <w:t xml:space="preserve">Lerner, J., and Tirole, J. 2002. “Some Simple Economics of Open Source,” </w:t>
      </w:r>
      <w:r>
        <w:rPr>
          <w:i/>
          <w:iCs/>
        </w:rPr>
        <w:t xml:space="preserve">Journal of Industrial Economics</w:t>
      </w:r>
      <w:r>
        <w:t xml:space="preserve"> (50:2), pp. 197–234. https://doi.org/10.1111/1467-6451.00174</w:t>
      </w:r>
    </w:p>
    <w:p>
      <w:pPr>
        <w:pStyle w:val="Bibliography"/>
      </w:pPr>
      <w:r>
        <w:t xml:space="preserve">Luu, K., Khashabi, D., Gururangan, S., Mandyam, K., and Smith, N. A. 2022. “Time Waits for No One! Analysis and Challenges of Temporal Misalignment,” in </w:t>
      </w:r>
      <w:r>
        <w:rPr>
          <w:i/>
          <w:iCs/>
        </w:rPr>
        <w:t xml:space="preserve">Proceedings of the 2022 Conference of the North American Chapter of the Association for Computational Linguistics (NAACL)</w:t>
      </w:r>
      <w:r>
        <w:t xml:space="preserve">, pp. 5944–5958. https://doi.org/10.18653/v1/2022.naacl-main.435</w:t>
      </w:r>
    </w:p>
    <w:p>
      <w:pPr>
        <w:pStyle w:val="Bibliography"/>
      </w:pPr>
      <w:r>
        <w:t xml:space="preserve">Mankiw, N. G., and Reis, R. 2002. “Sticky Information versus Sticky Prices: A Proposal to Replace the New Keynesian Phillips Curve,” </w:t>
      </w:r>
      <w:r>
        <w:rPr>
          <w:i/>
          <w:iCs/>
        </w:rPr>
        <w:t xml:space="preserve">Quarterly Journal of Economics</w:t>
      </w:r>
      <w:r>
        <w:t xml:space="preserve"> (117:4), pp. 1295–1328. https://doi.org/10.1162/003355302320935034</w:t>
      </w:r>
    </w:p>
    <w:p>
      <w:pPr>
        <w:pStyle w:val="Bibliography"/>
      </w:pPr>
      <w:r>
        <w:t xml:space="preserve">Nakamura, E., and Steinsson, J. 2008. “Five Facts about Prices: A Reevaluation of Menu Cost Models,” </w:t>
      </w:r>
      <w:r>
        <w:rPr>
          <w:i/>
          <w:iCs/>
        </w:rPr>
        <w:t xml:space="preserve">Quarterly Journal of Economics</w:t>
      </w:r>
      <w:r>
        <w:t xml:space="preserve"> (123:4), pp. 1415–1464. https://doi.org/10.1162/qjec.2008.123.4.1415</w:t>
      </w:r>
    </w:p>
    <w:p>
      <w:pPr>
        <w:pStyle w:val="Bibliography"/>
      </w:pPr>
      <w:r>
        <w:t xml:space="preserve">Reis, R. 2006. “Inattentive Producers,” </w:t>
      </w:r>
      <w:r>
        <w:rPr>
          <w:i/>
          <w:iCs/>
        </w:rPr>
        <w:t xml:space="preserve">Review of Economic Studies</w:t>
      </w:r>
      <w:r>
        <w:t xml:space="preserve"> (73:3), pp. 793–821. https://doi.org/10.1111/j.1467-937X.2006.00396.x</w:t>
      </w:r>
    </w:p>
    <w:p>
      <w:pPr>
        <w:pStyle w:val="Bibliography"/>
      </w:pPr>
      <w:r>
        <w:t xml:space="preserve">Rust, J. 1987. “Optimal Replacement of GMC Bus Engines: An Empirical Model of Harold Zurcher,” </w:t>
      </w:r>
      <w:r>
        <w:rPr>
          <w:i/>
          <w:iCs/>
        </w:rPr>
        <w:t xml:space="preserve">Econometrica</w:t>
      </w:r>
      <w:r>
        <w:t xml:space="preserve"> (55:5), pp. 999–1033. https://doi.org/10.2307/1911259</w:t>
      </w:r>
    </w:p>
    <w:p>
      <w:pPr>
        <w:pStyle w:val="Bibliography"/>
      </w:pPr>
      <w:r>
        <w:t xml:space="preserve">Sculley, D., Holt, G., Golovin, D., Davydov, E., Phillips, T., Ebner, D., Chaudhary, V., Young, M., Crespo, J.-F., and Dennison, D. 2015. “Hidden Technical Debt in Machine Learning Systems,” in </w:t>
      </w:r>
      <w:r>
        <w:rPr>
          <w:i/>
          <w:iCs/>
        </w:rPr>
        <w:t xml:space="preserve">Advances in Neural Information Processing Systems</w:t>
      </w:r>
      <w:r>
        <w:t xml:space="preserve"> (28), pp. 2503–2511.</w:t>
      </w:r>
    </w:p>
    <w:p>
      <w:pPr>
        <w:pStyle w:val="Bibliography"/>
      </w:pPr>
      <w:r>
        <w:t xml:space="preserve">Sheshinski, E., and Weiss, Y. 1977. “Inflation and Costs of Price Adjustment,” </w:t>
      </w:r>
      <w:r>
        <w:rPr>
          <w:i/>
          <w:iCs/>
        </w:rPr>
        <w:t xml:space="preserve">Review of Economic Studies</w:t>
      </w:r>
      <w:r>
        <w:t xml:space="preserve"> (44:2), pp. 287–303. https://doi.org/10.2307/2297067</w:t>
      </w:r>
    </w:p>
    <w:p>
      <w:pPr>
        <w:pStyle w:val="Bibliography"/>
      </w:pPr>
      <w:r>
        <w:t xml:space="preserve">Sims, C. A. 2003. “Implications of Rational Inattention,” </w:t>
      </w:r>
      <w:r>
        <w:rPr>
          <w:i/>
          <w:iCs/>
        </w:rPr>
        <w:t xml:space="preserve">Journal of Monetary Economics</w:t>
      </w:r>
      <w:r>
        <w:t xml:space="preserve"> (50:3), pp. 665–690. https://doi.org/10.1016/S0304-3932(03)00029-1</w:t>
      </w:r>
    </w:p>
    <w:p>
      <w:pPr>
        <w:pStyle w:val="Bibliography"/>
      </w:pPr>
      <w:r>
        <w:t xml:space="preserve">Song, F., Agarwal, A., and Wen, W. 2026. “The Impact of Generative AI on Collaborative Open-Source Software Development: Evidence from GitHub Copilot,” </w:t>
      </w:r>
      <w:r>
        <w:rPr>
          <w:i/>
          <w:iCs/>
        </w:rPr>
        <w:t xml:space="preserve">Information Systems Research</w:t>
      </w:r>
      <w:r>
        <w:t xml:space="preserve"> (articles in advance). https://doi.org/10.1287/isre.2024.1361</w:t>
      </w:r>
    </w:p>
    <w:p>
      <w:pPr>
        <w:pStyle w:val="Bibliography"/>
      </w:pPr>
      <w:r>
        <w:t xml:space="preserve">Spence, M. 1973. “Job Market Signaling,” </w:t>
      </w:r>
      <w:r>
        <w:rPr>
          <w:i/>
          <w:iCs/>
        </w:rPr>
        <w:t xml:space="preserve">Quarterly Journal of Economics</w:t>
      </w:r>
      <w:r>
        <w:t xml:space="preserve"> (87:3), pp. 355–374. https://doi.org/10.2307/1882010</w:t>
      </w:r>
    </w:p>
    <w:p>
      <w:pPr>
        <w:pStyle w:val="Bibliography"/>
      </w:pPr>
      <w:r>
        <w:t xml:space="preserve">Swanson, E. B. 1976. “The Dimensions of Maintenance,” in </w:t>
      </w:r>
      <w:r>
        <w:rPr>
          <w:i/>
          <w:iCs/>
        </w:rPr>
        <w:t xml:space="preserve">Proceedings of the 2nd International Conference on Software Engineering</w:t>
      </w:r>
      <w:r>
        <w:t xml:space="preserve">, San Francisco: IEEE Computer Society Press, pp. 492–497.</w:t>
      </w:r>
    </w:p>
    <w:p>
      <w:pPr>
        <w:pStyle w:val="Bibliography"/>
      </w:pPr>
      <w:r>
        <w:t xml:space="preserve">Taylor, J. B. 1980. “Aggregate Dynamics and Staggered Contracts,” </w:t>
      </w:r>
      <w:r>
        <w:rPr>
          <w:i/>
          <w:iCs/>
        </w:rPr>
        <w:t xml:space="preserve">Journal of Political Economy</w:t>
      </w:r>
      <w:r>
        <w:t xml:space="preserve"> (88:1), pp. 1–23. https://doi.org/10.1086/260845</w:t>
      </w:r>
    </w:p>
    <w:p>
      <w:pPr>
        <w:pStyle w:val="Bibliography"/>
      </w:pPr>
      <w:r>
        <w:t xml:space="preserve">von Hippel, E., and von Krogh, G. 2003. “Open Source Software and the ‘Private-Collective’ Innovation Model: Issues for Organization Science,” </w:t>
      </w:r>
      <w:r>
        <w:rPr>
          <w:i/>
          <w:iCs/>
        </w:rPr>
        <w:t xml:space="preserve">Organization Science</w:t>
      </w:r>
      <w:r>
        <w:t xml:space="preserve"> (14:2), pp. 209–223. https://doi.org/10.1287/orsc.14.2.209.14992</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360" w:after="12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uiPriority w:val="9"/>
    <w:unhideWhenUsed/>
    <w:qFormat/>
    <w:pPr>
      <w:keepNext w:val="true"/>
      <w:keepLines/>
      <w:spacing w:before="360" w:after="120"/>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32"/>
      <w:szCs w:val="32"/>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2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