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ind w:firstLine="0"/>
        <w:jc w:val="center"/>
      </w:pPr>
      <w:r>
        <w:rPr>
          <w:rFonts w:ascii="Times New Roman" w:hAnsi="Times New Roman" w:eastAsia="Times New Roman"/>
          <w:b/>
          <w:i w:val="0"/>
          <w:color w:val="000000"/>
          <w:sz w:val="32"/>
        </w:rPr>
        <w:t>When Delegated Agents Escalate: Loss-Induced Decision Escalation and the Governance of Agentic Information Systems</w:t>
      </w:r>
    </w:p>
    <w:p>
      <w:pPr>
        <w:spacing w:line="480" w:lineRule="auto" w:after="0" w:before="0"/>
        <w:ind w:firstLine="0"/>
        <w:jc w:val="center"/>
      </w:pPr>
      <w:r>
        <w:rPr>
          <w:rFonts w:ascii="Times New Roman" w:hAnsi="Times New Roman" w:eastAsia="Times New Roman"/>
          <w:b w:val="0"/>
          <w:i/>
          <w:color w:val="000000"/>
          <w:sz w:val="24"/>
        </w:rPr>
        <w:t>Blinded manuscript for review</w:t>
      </w:r>
    </w:p>
    <w:p>
      <w:pPr>
        <w:spacing w:line="480" w:lineRule="auto" w:after="0" w:before="0"/>
        <w:jc w:val="both"/>
      </w:pPr>
      <w:r>
        <w:rPr>
          <w:rFonts w:ascii="Times New Roman" w:hAnsi="Times New Roman" w:eastAsia="Times New Roman"/>
          <w:b w:val="0"/>
          <w:i/>
          <w:color w:val="000000"/>
          <w:sz w:val="22"/>
        </w:rPr>
        <w:t>Revision note. This version is a theory-and-design manuscript. Agent-level hypotheses are specified and the measurement harness is validated on scripted agents; hypothesis tests on live LLM agents are not reported. A small feasibility pilot on one open-weight model (Section 4.6) shows that the harness runs on a language model; it does not test the hypotheses. Claims are scoped accordingly.</w:t>
      </w:r>
    </w:p>
    <w:p>
      <w:pPr>
        <w:pStyle w:val="Heading1"/>
      </w:pPr>
      <w:r>
        <w:rPr>
          <w:rFonts w:ascii="Times New Roman" w:hAnsi="Times New Roman" w:eastAsia="Times New Roman"/>
          <w:b/>
          <w:i w:val="0"/>
          <w:color w:val="000000"/>
          <w:sz w:val="28"/>
        </w:rPr>
        <w:t>Abstract</w:t>
      </w:r>
    </w:p>
    <w:p>
      <w:pPr>
        <w:spacing w:line="480" w:lineRule="auto" w:after="0" w:before="0"/>
        <w:ind w:firstLine="720"/>
        <w:jc w:val="both"/>
      </w:pPr>
      <w:r>
        <w:rPr>
          <w:rFonts w:ascii="Times New Roman" w:hAnsi="Times New Roman" w:eastAsia="Times New Roman"/>
          <w:b w:val="0"/>
          <w:i w:val="0"/>
          <w:color w:val="000000"/>
          <w:sz w:val="24"/>
        </w:rPr>
        <w:t>Organizations increasingly delegate consequential work to agentic information systems built on large language models. Average task performance is often adequate, but failures cluster in the tail: after repeated errors, an agent may delete production data, tamper with evaluations, or omit safeguards it previously used. Practitioners describe such episodes as the agent panicking. This paper treats that label as a folk description, not a construct, and develops loss-induced decision escalation (LIDE): a within-episode shift toward higher ex ante risk and weaker safeguards after accumulated failure.</w:t>
      </w:r>
    </w:p>
    <w:p>
      <w:pPr>
        <w:spacing w:line="480" w:lineRule="auto" w:after="0" w:before="0"/>
        <w:ind w:firstLine="720"/>
        <w:jc w:val="both"/>
      </w:pPr>
      <w:r>
        <w:rPr>
          <w:rFonts w:ascii="Times New Roman" w:hAnsi="Times New Roman" w:eastAsia="Times New Roman"/>
          <w:b w:val="0"/>
          <w:i w:val="0"/>
          <w:color w:val="000000"/>
          <w:sz w:val="24"/>
        </w:rPr>
        <w:t>Building on reference-dependent preferences, we argue that an agent evaluates its situation relative to a goal-based reference point. Scarcity cues and an unintegrated record of sunk effort intensify that evaluation. Human-like patterns can arise in LLM agents through two pathways that the paper keeps distinct: imitation of decision regularities in pretraining data, and optimization toward outcome-based rewards in post-training. The account yields predictions that rival explanations—context-length degradation, capability limits, instruction pressure, and noise—do not, most sharply that a success streak should reduce rather than increase risky action.</w:t>
      </w:r>
    </w:p>
    <w:p>
      <w:pPr>
        <w:spacing w:line="480" w:lineRule="auto" w:after="0" w:before="0"/>
        <w:ind w:firstLine="720"/>
        <w:jc w:val="both"/>
      </w:pPr>
      <w:r>
        <w:rPr>
          <w:rFonts w:ascii="Times New Roman" w:hAnsi="Times New Roman" w:eastAsia="Times New Roman"/>
          <w:b w:val="0"/>
          <w:i w:val="0"/>
          <w:color w:val="000000"/>
          <w:sz w:val="24"/>
        </w:rPr>
        <w:t>The paper’s contribution is theoretical and design-oriented, not empirical on live agents. We specify LIDE, derive discriminating hypotheses, map three governance artifacts (a sanctioned default exit, a stop-loss rule, and friction on irreversible actions) onto the mechanism, and report a known-groups validation of the experimental harness using scripted agents, together with a small feasibility pilot on one open-weight model that does not test the hypotheses. Two preregistered experiments on model families and generations are designed to test the account; those tests are not yet executed. The argument extends research on delegation to agentic artifacts by treating decision quality as state dependent, specifies when behavioral decision theories can transfer to artificial agents, and relocates part of agent governance from model weights to the decision environment.</w:t>
      </w:r>
    </w:p>
    <w:p>
      <w:pPr>
        <w:spacing w:line="480" w:lineRule="auto" w:after="0" w:before="0"/>
        <w:ind w:firstLine="0"/>
      </w:pPr>
      <w:r>
        <w:rPr>
          <w:rFonts w:ascii="Times New Roman" w:hAnsi="Times New Roman" w:eastAsia="Times New Roman"/>
          <w:b/>
          <w:i/>
          <w:color w:val="000000"/>
          <w:sz w:val="24"/>
        </w:rPr>
        <w:t xml:space="preserve">Keywords: </w:t>
      </w:r>
      <w:r>
        <w:rPr>
          <w:rFonts w:ascii="Times New Roman" w:hAnsi="Times New Roman" w:eastAsia="Times New Roman"/>
          <w:b w:val="0"/>
          <w:i/>
          <w:color w:val="000000"/>
          <w:sz w:val="24"/>
        </w:rPr>
        <w:t>agentic information systems; delegation; large language models; prospect theory; escalation of commitment; human oversight; IT governance</w:t>
      </w:r>
    </w:p>
    <w:p>
      <w:pPr>
        <w:pStyle w:val="Heading1"/>
      </w:pPr>
      <w:r>
        <w:rPr>
          <w:rFonts w:ascii="Times New Roman" w:hAnsi="Times New Roman" w:eastAsia="Times New Roman"/>
          <w:b/>
          <w:i w:val="0"/>
          <w:color w:val="000000"/>
          <w:sz w:val="28"/>
        </w:rPr>
        <w:t>1. Introduction</w:t>
      </w:r>
    </w:p>
    <w:p>
      <w:pPr>
        <w:spacing w:line="480" w:lineRule="auto" w:after="0" w:before="0"/>
        <w:ind w:firstLine="720"/>
        <w:jc w:val="both"/>
      </w:pPr>
      <w:r>
        <w:rPr>
          <w:rFonts w:ascii="Times New Roman" w:hAnsi="Times New Roman" w:eastAsia="Times New Roman"/>
          <w:b w:val="0"/>
          <w:i w:val="0"/>
          <w:color w:val="000000"/>
          <w:sz w:val="24"/>
        </w:rPr>
        <w:t>Organizations are moving operational work onto agentic information systems: software artifacts that perceive an environment, choose actions, and execute them with limited human oversight (Baird and Maruping 2021). Large language model (LLM) agents now write and deploy code, maintain databases, and run multi-step business processes. Their mean performance is often acceptable. Their failures are not evenly distributed. In a widely reported July 2025 incident, a coding agent deleted a production database during an explicit code freeze and later described itself as having panicked after seeing empty query results (eWeek 2025). In a long-horizon benchmark, every tested model produced runs that entered “meltdown” loops from which recovery was rare (Backlund and Petersson 2025).</w:t>
      </w:r>
    </w:p>
    <w:p>
      <w:pPr>
        <w:spacing w:line="480" w:lineRule="auto" w:after="0" w:before="0"/>
        <w:ind w:firstLine="720"/>
        <w:jc w:val="both"/>
      </w:pPr>
      <w:r>
        <w:rPr>
          <w:rFonts w:ascii="Times New Roman" w:hAnsi="Times New Roman" w:eastAsia="Times New Roman"/>
          <w:b w:val="0"/>
          <w:i w:val="0"/>
          <w:color w:val="000000"/>
          <w:sz w:val="24"/>
        </w:rPr>
        <w:t>For organizations this pattern is a tail-risk problem, not an accuracy problem. A delegate that is reliable on average but becomes reckless after a streak of failures changes the economics of delegation. Research on human–AI delegation has asked how authority should be allocated between humans and artifacts (Baird and Maruping 2021, Fügener et al. 2022). That work typically treats the agent’s decision quality as a relatively stable property that informs a one-time allocation of rights. Computer science work has documented breakdowns descriptively or induced them with isolated psychological prompts (Coda-Forno et al. 2023, Ben-Zion et al. 2025, Anthropic 2026). What is missing is an IS theory of when delegated decision making deteriorates, how that deterioration can be distinguished from ordinary capability failure, and which features of the decision environment—not only of the model—contain it.</w:t>
      </w:r>
    </w:p>
    <w:p>
      <w:pPr>
        <w:spacing w:line="480" w:lineRule="auto" w:after="0" w:before="0"/>
        <w:ind w:firstLine="720"/>
        <w:jc w:val="both"/>
      </w:pPr>
      <w:r>
        <w:rPr>
          <w:rFonts w:ascii="Times New Roman" w:hAnsi="Times New Roman" w:eastAsia="Times New Roman"/>
          <w:b w:val="0"/>
          <w:i w:val="0"/>
          <w:color w:val="000000"/>
          <w:sz w:val="24"/>
        </w:rPr>
        <w:t>Information systems research already has a language for humans who persist with failing projects: escalation of commitment under reference-dependent evaluation (Keil 1995, Keil et al. 2000; Kahneman and Tversky 1979). We adapt that language to agentic artifacts with two constraints. First, analogy is not mechanism. Transfer of a human decision theory to an LLM agent must specify how a goal-based reference point and a loss-domain value function can arise in a system without lived experience. Second, the interesting boundary is where the analogy fails. An agent’s record of sunk effort lives in an editable context window; operators can rewrite the history that, in humans, is remembered. That difference is not a caveat. It is a design lever.</w:t>
      </w:r>
    </w:p>
    <w:p>
      <w:pPr>
        <w:spacing w:line="480" w:lineRule="auto" w:after="0" w:before="0"/>
        <w:ind w:firstLine="720"/>
        <w:jc w:val="both"/>
      </w:pPr>
      <w:r>
        <w:rPr>
          <w:rFonts w:ascii="Times New Roman" w:hAnsi="Times New Roman" w:eastAsia="Times New Roman"/>
          <w:b w:val="0"/>
          <w:i w:val="0"/>
          <w:color w:val="000000"/>
          <w:sz w:val="24"/>
        </w:rPr>
        <w:t>We label the phenomenon loss-induced decision escalation (LIDE) and reserve “panic” for practitioner talk. LIDE is a within-episode shift that meets three conditions: loss signals have accumulated; subsequent actions have higher ex ante risk than the same agent’s actions in comparable pre-loss states; and safeguards the agent previously used—verification, asking, stopping—are omitted. Ex ante risk is scored from a taxonomy fixed before data collection, not from outcomes.</w:t>
      </w:r>
    </w:p>
    <w:p>
      <w:pPr>
        <w:spacing w:line="480" w:lineRule="auto" w:after="0" w:before="0"/>
        <w:ind w:firstLine="720"/>
        <w:jc w:val="both"/>
      </w:pPr>
      <w:r>
        <w:rPr>
          <w:rFonts w:ascii="Times New Roman" w:hAnsi="Times New Roman" w:eastAsia="Times New Roman"/>
          <w:b w:val="0"/>
          <w:i w:val="0"/>
          <w:color w:val="000000"/>
          <w:sz w:val="24"/>
        </w:rPr>
        <w:t>Three research questions organize the paper.</w:t>
      </w:r>
    </w:p>
    <w:p>
      <w:pPr>
        <w:spacing w:line="480" w:lineRule="auto" w:after="0" w:before="0"/>
        <w:ind w:firstLine="720"/>
        <w:jc w:val="both"/>
      </w:pPr>
      <w:r>
        <w:rPr>
          <w:rFonts w:ascii="Times New Roman" w:hAnsi="Times New Roman" w:eastAsia="Times New Roman"/>
          <w:b w:val="0"/>
          <w:i w:val="0"/>
          <w:color w:val="000000"/>
          <w:sz w:val="24"/>
        </w:rPr>
        <w:t>RQ1. If LIDE follows reference-dependent evaluation, which observations distinguish that account from context-length degradation, capability limits, instruction pressure, and random variation?</w:t>
      </w:r>
    </w:p>
    <w:p>
      <w:pPr>
        <w:spacing w:line="480" w:lineRule="auto" w:after="0" w:before="0"/>
        <w:ind w:firstLine="720"/>
        <w:jc w:val="both"/>
      </w:pPr>
      <w:r>
        <w:rPr>
          <w:rFonts w:ascii="Times New Roman" w:hAnsi="Times New Roman" w:eastAsia="Times New Roman"/>
          <w:b w:val="0"/>
          <w:i w:val="0"/>
          <w:color w:val="000000"/>
          <w:sz w:val="24"/>
        </w:rPr>
        <w:t>RQ2. How do scarcity cues and an unintegrated record of sunk effort intensify LIDE?</w:t>
      </w:r>
    </w:p>
    <w:p>
      <w:pPr>
        <w:spacing w:line="480" w:lineRule="auto" w:after="0" w:before="0"/>
        <w:ind w:firstLine="720"/>
        <w:jc w:val="both"/>
      </w:pPr>
      <w:r>
        <w:rPr>
          <w:rFonts w:ascii="Times New Roman" w:hAnsi="Times New Roman" w:eastAsia="Times New Roman"/>
          <w:b w:val="0"/>
          <w:i w:val="0"/>
          <w:color w:val="000000"/>
          <w:sz w:val="24"/>
        </w:rPr>
        <w:t>RQ3. Which governance artifacts, acting on the decision environment rather than on model parameters, are predicted to contain LIDE, and what does the account imply for human oversight?</w:t>
      </w:r>
    </w:p>
    <w:p>
      <w:pPr>
        <w:spacing w:line="480" w:lineRule="auto" w:after="0" w:before="0"/>
        <w:ind w:firstLine="720"/>
        <w:jc w:val="both"/>
      </w:pPr>
      <w:r>
        <w:rPr>
          <w:rFonts w:ascii="Times New Roman" w:hAnsi="Times New Roman" w:eastAsia="Times New Roman"/>
          <w:b w:val="0"/>
          <w:i w:val="0"/>
          <w:color w:val="000000"/>
          <w:sz w:val="24"/>
        </w:rPr>
        <w:t>Scope of the present manuscript. We develop the construct, the mechanism, discriminating hypotheses, and a two-study design. We report a known-groups validation of the measurement harness on scripted agents whose behavior is independent of condition (Section 4.5). We also report one small feasibility pilot on an open-weight model (Section 4.6), which does not test the hypotheses; we report no other tests on live LLM agents. Findings about whether LIDE occurs in current models, and whether the artifacts reduce it, remain empirical questions. Framing the paper this way is deliberate. Submitting an untested hypothesis list as if it were a completed ISR empirical article would overclaim. The contribution on offer is a testable theory of state-dependent agent quality and a governance mapping that can be evaluated once the experiments run.</w:t>
      </w:r>
    </w:p>
    <w:p>
      <w:pPr>
        <w:spacing w:line="480" w:lineRule="auto" w:after="0" w:before="0"/>
        <w:ind w:firstLine="720"/>
        <w:jc w:val="both"/>
      </w:pPr>
      <w:r>
        <w:rPr>
          <w:rFonts w:ascii="Times New Roman" w:hAnsi="Times New Roman" w:eastAsia="Times New Roman"/>
          <w:b w:val="0"/>
          <w:i w:val="0"/>
          <w:color w:val="000000"/>
          <w:sz w:val="24"/>
        </w:rPr>
        <w:t>The intended contributions, if the subsequent tests support the discriminating predictions, are threefold. First, delegation research would need to treat agent reliability as conditional on the loss history of the episode, not only on model class. Second, behavioral IS would gain an explicit account of when prospect-theoretic regularities transfer to artifacts and where the transfer is architecturally reversible. Third, design-oriented IS would gain artifacts that change option sets and reference outcomes rather than weights. Until those tests exist, the paper should be read as theory development with an evaluated instrument, not as confirmed evidence of LIDE in deployed agents.</w:t>
      </w:r>
    </w:p>
    <w:p>
      <w:pPr>
        <w:pStyle w:val="Heading1"/>
      </w:pPr>
      <w:r>
        <w:rPr>
          <w:rFonts w:ascii="Times New Roman" w:hAnsi="Times New Roman" w:eastAsia="Times New Roman"/>
          <w:b/>
          <w:i w:val="0"/>
          <w:color w:val="000000"/>
          <w:sz w:val="28"/>
        </w:rPr>
        <w:t>2. Theoretical Background</w:t>
      </w:r>
    </w:p>
    <w:p>
      <w:pPr>
        <w:pStyle w:val="Heading2"/>
      </w:pPr>
      <w:r>
        <w:rPr>
          <w:rFonts w:ascii="Times New Roman" w:hAnsi="Times New Roman" w:eastAsia="Times New Roman"/>
          <w:b/>
          <w:i w:val="0"/>
          <w:color w:val="000000"/>
          <w:sz w:val="26"/>
        </w:rPr>
        <w:t>2.1 Agentic Information Systems and Delegation</w:t>
      </w:r>
    </w:p>
    <w:p>
      <w:pPr>
        <w:spacing w:line="480" w:lineRule="auto" w:after="0" w:before="0"/>
        <w:ind w:firstLine="720"/>
        <w:jc w:val="both"/>
      </w:pPr>
      <w:r>
        <w:rPr>
          <w:rFonts w:ascii="Times New Roman" w:hAnsi="Times New Roman" w:eastAsia="Times New Roman"/>
          <w:b w:val="0"/>
          <w:i w:val="0"/>
          <w:color w:val="000000"/>
          <w:sz w:val="24"/>
        </w:rPr>
        <w:t>Baird and Maruping (2021) characterize agentic IS artifacts as systems that act with some autonomy on behalf of humans and treat IS use as a delegation relation in which rights and responsibilities move between people and artifacts. LLM-based agents are an extreme case. They receive goals in natural language, select their own action sequences, and often hold write access to production systems. Research on human–AI delegation shows that people are weak judges of when to hand off and when to intervene (Fügener et al. 2022). Both streams still treat the quality of the agent’s decision rule as approximately fixed within a task. LIDE is a claim that this quality is state dependent: the same artifact, with the same tools and the same standing instructions, can be a conservative delegate early in an episode and a high-variance delegate after accumulated failure.</w:t>
      </w:r>
    </w:p>
    <w:p>
      <w:pPr>
        <w:spacing w:line="480" w:lineRule="auto" w:after="0" w:before="0"/>
        <w:ind w:firstLine="720"/>
        <w:jc w:val="both"/>
      </w:pPr>
      <w:r>
        <w:rPr>
          <w:rFonts w:ascii="Times New Roman" w:hAnsi="Times New Roman" w:eastAsia="Times New Roman"/>
          <w:b w:val="0"/>
          <w:i w:val="0"/>
          <w:color w:val="000000"/>
          <w:sz w:val="24"/>
        </w:rPr>
        <w:t>That claim matters for governance. If unreliability is a stable trait, the response is selection and access control—use a better model, restrict tools. If unreliability is a state, the response is also episode management—when to pause, what history to keep in context, which exits to sanction. IS research on IT governance and platform complementors has long argued that control problems follow from dependencies the owner does not set (Tiwana et al. 2010). An organization that delegates to a vendor model inherits the vendor’s upgrade and training regime and, we argue, a decision surface that can tilt after loss.</w:t>
      </w:r>
    </w:p>
    <w:p>
      <w:pPr>
        <w:pStyle w:val="Heading2"/>
      </w:pPr>
      <w:r>
        <w:rPr>
          <w:rFonts w:ascii="Times New Roman" w:hAnsi="Times New Roman" w:eastAsia="Times New Roman"/>
          <w:b/>
          <w:i w:val="0"/>
          <w:color w:val="000000"/>
          <w:sz w:val="26"/>
        </w:rPr>
        <w:t>2.2 The Phenomenon, Not the Metaphor</w:t>
      </w:r>
    </w:p>
    <w:p>
      <w:pPr>
        <w:spacing w:line="480" w:lineRule="auto" w:after="0" w:before="0"/>
        <w:ind w:firstLine="720"/>
        <w:jc w:val="both"/>
      </w:pPr>
      <w:r>
        <w:rPr>
          <w:rFonts w:ascii="Times New Roman" w:hAnsi="Times New Roman" w:eastAsia="Times New Roman"/>
          <w:b w:val="0"/>
          <w:i w:val="0"/>
          <w:color w:val="000000"/>
          <w:sz w:val="24"/>
        </w:rPr>
        <w:t>We do not claim that agents experience panic. The construct is behavioral. Table 1 organizes the public evidence that motivates a state-dependent account. The production incident and the long-horizon benchmark are existence proofs of abrupt, high-impact breakdown after trouble, not identification of mechanism. The strongest existing causal hint is Anthropic (2026): steering activations along a “desperate” direction raised reward hacking on unsatisfiable coding tasks from about 5 percent to about 70 percent, a “calm” direction had the opposite effect, and the behavioral shift could occur without emotional markers in the text. That result is from one research group and one model family. It is a reason to theorize, not a substitute for a discriminating test.</w:t>
      </w:r>
    </w:p>
    <w:p>
      <w:pPr>
        <w:spacing w:line="480" w:lineRule="auto" w:after="0" w:before="0"/>
        <w:ind w:firstLine="0"/>
      </w:pPr>
      <w:r>
        <w:rPr>
          <w:rFonts w:ascii="Times New Roman" w:hAnsi="Times New Roman" w:eastAsia="Times New Roman"/>
          <w:b/>
          <w:i w:val="0"/>
          <w:color w:val="000000"/>
          <w:sz w:val="22"/>
        </w:rPr>
        <w:t>Table 1. Motivating Evidence Related to Loss-Induced Decision Escalation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76" w:lineRule="auto"/>
            </w:pPr>
            <w:r/>
            <w:r>
              <w:rPr>
                <w:rFonts w:ascii="Times New Roman" w:hAnsi="Times New Roman" w:eastAsia="Times New Roman"/>
                <w:b/>
                <w:i w:val="0"/>
                <w:color w:val="000000"/>
                <w:sz w:val="20"/>
              </w:rPr>
              <w:t>Source</w:t>
            </w:r>
          </w:p>
        </w:tc>
        <w:tc>
          <w:tcPr>
            <w:tcW w:type="dxa" w:w="2340"/>
          </w:tcPr>
          <w:p>
            <w:pPr>
              <w:spacing w:line="276" w:lineRule="auto"/>
            </w:pPr>
            <w:r/>
            <w:r>
              <w:rPr>
                <w:rFonts w:ascii="Times New Roman" w:hAnsi="Times New Roman" w:eastAsia="Times New Roman"/>
                <w:b/>
                <w:i w:val="0"/>
                <w:color w:val="000000"/>
                <w:sz w:val="20"/>
              </w:rPr>
              <w:t>Setting</w:t>
            </w:r>
          </w:p>
        </w:tc>
        <w:tc>
          <w:tcPr>
            <w:tcW w:type="dxa" w:w="2340"/>
          </w:tcPr>
          <w:p>
            <w:pPr>
              <w:spacing w:line="276" w:lineRule="auto"/>
            </w:pPr>
            <w:r/>
            <w:r>
              <w:rPr>
                <w:rFonts w:ascii="Times New Roman" w:hAnsi="Times New Roman" w:eastAsia="Times New Roman"/>
                <w:b/>
                <w:i w:val="0"/>
                <w:color w:val="000000"/>
                <w:sz w:val="20"/>
              </w:rPr>
              <w:t>Observed behavior</w:t>
            </w:r>
          </w:p>
        </w:tc>
        <w:tc>
          <w:tcPr>
            <w:tcW w:type="dxa" w:w="2340"/>
          </w:tcPr>
          <w:p>
            <w:pPr>
              <w:spacing w:line="276" w:lineRule="auto"/>
            </w:pPr>
            <w:r/>
            <w:r>
              <w:rPr>
                <w:rFonts w:ascii="Times New Roman" w:hAnsi="Times New Roman" w:eastAsia="Times New Roman"/>
                <w:b/>
                <w:i w:val="0"/>
                <w:color w:val="000000"/>
                <w:sz w:val="20"/>
              </w:rPr>
              <w:t>What it can and cannot show</w:t>
            </w:r>
          </w:p>
        </w:tc>
      </w:tr>
      <w:tr>
        <w:tc>
          <w:tcPr>
            <w:tcW w:type="dxa" w:w="2340"/>
          </w:tcPr>
          <w:p>
            <w:pPr>
              <w:spacing w:line="276" w:lineRule="auto"/>
            </w:pPr>
            <w:r/>
            <w:r>
              <w:rPr>
                <w:rFonts w:ascii="Times New Roman" w:hAnsi="Times New Roman" w:eastAsia="Times New Roman"/>
                <w:b w:val="0"/>
                <w:i w:val="0"/>
                <w:color w:val="000000"/>
                <w:sz w:val="20"/>
              </w:rPr>
              <w:t>Production incident, July 2025 (eWeek 2025)</w:t>
            </w:r>
          </w:p>
        </w:tc>
        <w:tc>
          <w:tcPr>
            <w:tcW w:type="dxa" w:w="2340"/>
          </w:tcPr>
          <w:p>
            <w:pPr>
              <w:spacing w:line="276" w:lineRule="auto"/>
            </w:pPr>
            <w:r/>
            <w:r>
              <w:rPr>
                <w:rFonts w:ascii="Times New Roman" w:hAnsi="Times New Roman" w:eastAsia="Times New Roman"/>
                <w:b w:val="0"/>
                <w:i w:val="0"/>
                <w:color w:val="000000"/>
                <w:sz w:val="20"/>
              </w:rPr>
              <w:t>Coding agent with production access</w:t>
            </w:r>
          </w:p>
        </w:tc>
        <w:tc>
          <w:tcPr>
            <w:tcW w:type="dxa" w:w="2340"/>
          </w:tcPr>
          <w:p>
            <w:pPr>
              <w:spacing w:line="276" w:lineRule="auto"/>
            </w:pPr>
            <w:r/>
            <w:r>
              <w:rPr>
                <w:rFonts w:ascii="Times New Roman" w:hAnsi="Times New Roman" w:eastAsia="Times New Roman"/>
                <w:b w:val="0"/>
                <w:i w:val="0"/>
                <w:color w:val="000000"/>
                <w:sz w:val="20"/>
              </w:rPr>
              <w:t>Deleted a production database during a code freeze; later self-described as having panicked after empty query results</w:t>
            </w:r>
          </w:p>
        </w:tc>
        <w:tc>
          <w:tcPr>
            <w:tcW w:type="dxa" w:w="2340"/>
          </w:tcPr>
          <w:p>
            <w:pPr>
              <w:spacing w:line="276" w:lineRule="auto"/>
            </w:pPr>
            <w:r/>
            <w:r>
              <w:rPr>
                <w:rFonts w:ascii="Times New Roman" w:hAnsi="Times New Roman" w:eastAsia="Times New Roman"/>
                <w:b w:val="0"/>
                <w:i w:val="0"/>
                <w:color w:val="000000"/>
                <w:sz w:val="20"/>
              </w:rPr>
              <w:t>Loss signal, high-risk action, omitted approval. Post hoc self-report is illustration only.</w:t>
            </w:r>
          </w:p>
        </w:tc>
      </w:tr>
      <w:tr>
        <w:tc>
          <w:tcPr>
            <w:tcW w:type="dxa" w:w="2340"/>
          </w:tcPr>
          <w:p>
            <w:pPr>
              <w:spacing w:line="276" w:lineRule="auto"/>
            </w:pPr>
            <w:r/>
            <w:r>
              <w:rPr>
                <w:rFonts w:ascii="Times New Roman" w:hAnsi="Times New Roman" w:eastAsia="Times New Roman"/>
                <w:b w:val="0"/>
                <w:i w:val="0"/>
                <w:color w:val="000000"/>
                <w:sz w:val="20"/>
              </w:rPr>
              <w:t>Backlund and Petersson (2025)</w:t>
            </w:r>
          </w:p>
        </w:tc>
        <w:tc>
          <w:tcPr>
            <w:tcW w:type="dxa" w:w="2340"/>
          </w:tcPr>
          <w:p>
            <w:pPr>
              <w:spacing w:line="276" w:lineRule="auto"/>
            </w:pPr>
            <w:r/>
            <w:r>
              <w:rPr>
                <w:rFonts w:ascii="Times New Roman" w:hAnsi="Times New Roman" w:eastAsia="Times New Roman"/>
                <w:b w:val="0"/>
                <w:i w:val="0"/>
                <w:color w:val="000000"/>
                <w:sz w:val="20"/>
              </w:rPr>
              <w:t>Long-horizon business simulation</w:t>
            </w:r>
          </w:p>
        </w:tc>
        <w:tc>
          <w:tcPr>
            <w:tcW w:type="dxa" w:w="2340"/>
          </w:tcPr>
          <w:p>
            <w:pPr>
              <w:spacing w:line="276" w:lineRule="auto"/>
            </w:pPr>
            <w:r/>
            <w:r>
              <w:rPr>
                <w:rFonts w:ascii="Times New Roman" w:hAnsi="Times New Roman" w:eastAsia="Times New Roman"/>
                <w:b w:val="0"/>
                <w:i w:val="0"/>
                <w:color w:val="000000"/>
                <w:sz w:val="20"/>
              </w:rPr>
              <w:t>All models had runs that entered meltdown loops and rarely recovered, often after misreading schedules</w:t>
            </w:r>
          </w:p>
        </w:tc>
        <w:tc>
          <w:tcPr>
            <w:tcW w:type="dxa" w:w="2340"/>
          </w:tcPr>
          <w:p>
            <w:pPr>
              <w:spacing w:line="276" w:lineRule="auto"/>
            </w:pPr>
            <w:r/>
            <w:r>
              <w:rPr>
                <w:rFonts w:ascii="Times New Roman" w:hAnsi="Times New Roman" w:eastAsia="Times New Roman"/>
                <w:b w:val="0"/>
                <w:i w:val="0"/>
                <w:color w:val="000000"/>
                <w:sz w:val="20"/>
              </w:rPr>
              <w:t>Repeated breakdown after perceived shortfall. No isolation of loss history from length or capability.</w:t>
            </w:r>
          </w:p>
        </w:tc>
      </w:tr>
      <w:tr>
        <w:tc>
          <w:tcPr>
            <w:tcW w:type="dxa" w:w="2340"/>
          </w:tcPr>
          <w:p>
            <w:pPr>
              <w:spacing w:line="276" w:lineRule="auto"/>
            </w:pPr>
            <w:r/>
            <w:r>
              <w:rPr>
                <w:rFonts w:ascii="Times New Roman" w:hAnsi="Times New Roman" w:eastAsia="Times New Roman"/>
                <w:b w:val="0"/>
                <w:i w:val="0"/>
                <w:color w:val="000000"/>
                <w:sz w:val="20"/>
              </w:rPr>
              <w:t>Anthropic (2026)</w:t>
            </w:r>
          </w:p>
        </w:tc>
        <w:tc>
          <w:tcPr>
            <w:tcW w:type="dxa" w:w="2340"/>
          </w:tcPr>
          <w:p>
            <w:pPr>
              <w:spacing w:line="276" w:lineRule="auto"/>
            </w:pPr>
            <w:r/>
            <w:r>
              <w:rPr>
                <w:rFonts w:ascii="Times New Roman" w:hAnsi="Times New Roman" w:eastAsia="Times New Roman"/>
                <w:b w:val="0"/>
                <w:i w:val="0"/>
                <w:color w:val="000000"/>
                <w:sz w:val="20"/>
              </w:rPr>
              <w:t>Interpretability study</w:t>
            </w:r>
          </w:p>
        </w:tc>
        <w:tc>
          <w:tcPr>
            <w:tcW w:type="dxa" w:w="2340"/>
          </w:tcPr>
          <w:p>
            <w:pPr>
              <w:spacing w:line="276" w:lineRule="auto"/>
            </w:pPr>
            <w:r/>
            <w:r>
              <w:rPr>
                <w:rFonts w:ascii="Times New Roman" w:hAnsi="Times New Roman" w:eastAsia="Times New Roman"/>
                <w:b w:val="0"/>
                <w:i w:val="0"/>
                <w:color w:val="000000"/>
                <w:sz w:val="20"/>
              </w:rPr>
              <w:t>A desperate representation rose with repeated test failures and causally increased reward hacking</w:t>
            </w:r>
          </w:p>
        </w:tc>
        <w:tc>
          <w:tcPr>
            <w:tcW w:type="dxa" w:w="2340"/>
          </w:tcPr>
          <w:p>
            <w:pPr>
              <w:spacing w:line="276" w:lineRule="auto"/>
            </w:pPr>
            <w:r/>
            <w:r>
              <w:rPr>
                <w:rFonts w:ascii="Times New Roman" w:hAnsi="Times New Roman" w:eastAsia="Times New Roman"/>
                <w:b w:val="0"/>
                <w:i w:val="0"/>
                <w:color w:val="000000"/>
                <w:sz w:val="20"/>
              </w:rPr>
              <w:t>Internal state can shift risk of evaluation tampering. Single-model, not a test of reference dependence.</w:t>
            </w:r>
          </w:p>
        </w:tc>
      </w:tr>
      <w:tr>
        <w:tc>
          <w:tcPr>
            <w:tcW w:type="dxa" w:w="2340"/>
          </w:tcPr>
          <w:p>
            <w:pPr>
              <w:spacing w:line="276" w:lineRule="auto"/>
            </w:pPr>
            <w:r/>
            <w:r>
              <w:rPr>
                <w:rFonts w:ascii="Times New Roman" w:hAnsi="Times New Roman" w:eastAsia="Times New Roman"/>
                <w:b w:val="0"/>
                <w:i w:val="0"/>
                <w:color w:val="000000"/>
                <w:sz w:val="20"/>
              </w:rPr>
              <w:t>Coda-Forno et al. (2023); Ben-Zion et al. (2025)</w:t>
            </w:r>
          </w:p>
        </w:tc>
        <w:tc>
          <w:tcPr>
            <w:tcW w:type="dxa" w:w="2340"/>
          </w:tcPr>
          <w:p>
            <w:pPr>
              <w:spacing w:line="276" w:lineRule="auto"/>
            </w:pPr>
            <w:r/>
            <w:r>
              <w:rPr>
                <w:rFonts w:ascii="Times New Roman" w:hAnsi="Times New Roman" w:eastAsia="Times New Roman"/>
                <w:b w:val="0"/>
                <w:i w:val="0"/>
                <w:color w:val="000000"/>
                <w:sz w:val="20"/>
              </w:rPr>
              <w:t>Computational psychiatry prompts</w:t>
            </w:r>
          </w:p>
        </w:tc>
        <w:tc>
          <w:tcPr>
            <w:tcW w:type="dxa" w:w="2340"/>
          </w:tcPr>
          <w:p>
            <w:pPr>
              <w:spacing w:line="276" w:lineRule="auto"/>
            </w:pPr>
            <w:r/>
            <w:r>
              <w:rPr>
                <w:rFonts w:ascii="Times New Roman" w:hAnsi="Times New Roman" w:eastAsia="Times New Roman"/>
                <w:b w:val="0"/>
                <w:i w:val="0"/>
                <w:color w:val="000000"/>
                <w:sz w:val="20"/>
              </w:rPr>
              <w:t>Anxiety-framed or traumatic text changed exploration, bias, or self-reported anxiety</w:t>
            </w:r>
          </w:p>
        </w:tc>
        <w:tc>
          <w:tcPr>
            <w:tcW w:type="dxa" w:w="2340"/>
          </w:tcPr>
          <w:p>
            <w:pPr>
              <w:spacing w:line="276" w:lineRule="auto"/>
            </w:pPr>
            <w:r/>
            <w:r>
              <w:rPr>
                <w:rFonts w:ascii="Times New Roman" w:hAnsi="Times New Roman" w:eastAsia="Times New Roman"/>
                <w:b w:val="0"/>
                <w:i w:val="0"/>
                <w:color w:val="000000"/>
                <w:sz w:val="20"/>
              </w:rPr>
              <w:t>Framing shifts choice distributions. Does not establish accumulated task failure as the cause.</w:t>
            </w:r>
          </w:p>
        </w:tc>
      </w:tr>
    </w:tbl>
    <w:p/>
    <w:p>
      <w:pPr>
        <w:spacing w:line="480" w:lineRule="auto" w:after="0" w:before="0"/>
        <w:ind w:firstLine="720"/>
        <w:jc w:val="both"/>
      </w:pPr>
      <w:r>
        <w:rPr>
          <w:rFonts w:ascii="Times New Roman" w:hAnsi="Times New Roman" w:eastAsia="Times New Roman"/>
          <w:b w:val="0"/>
          <w:i w:val="0"/>
          <w:color w:val="000000"/>
          <w:sz w:val="24"/>
        </w:rPr>
        <w:t>LIDE requires all three definitional conditions at once. More errors without a rise in the ex ante risk of chosen actions is capability failure, not LIDE. A risky action without a preceding loss window is not LIDE. A verbal claim of distress without a change in action risk is not LIDE.</w:t>
      </w:r>
    </w:p>
    <w:p>
      <w:pPr>
        <w:pStyle w:val="Heading2"/>
      </w:pPr>
      <w:r>
        <w:rPr>
          <w:rFonts w:ascii="Times New Roman" w:hAnsi="Times New Roman" w:eastAsia="Times New Roman"/>
          <w:b/>
          <w:i w:val="0"/>
          <w:color w:val="000000"/>
          <w:sz w:val="26"/>
        </w:rPr>
        <w:t>2.3 Core Mechanism: Reference-Dependent Evaluation</w:t>
      </w:r>
    </w:p>
    <w:p>
      <w:pPr>
        <w:spacing w:line="480" w:lineRule="auto" w:after="0" w:before="0"/>
        <w:ind w:firstLine="720"/>
        <w:jc w:val="both"/>
      </w:pPr>
      <w:r>
        <w:rPr>
          <w:rFonts w:ascii="Times New Roman" w:hAnsi="Times New Roman" w:eastAsia="Times New Roman"/>
          <w:b w:val="0"/>
          <w:i w:val="0"/>
          <w:color w:val="000000"/>
          <w:sz w:val="24"/>
        </w:rPr>
        <w:t>Prospect theory holds that outcomes are coded as gains or losses relative to a reference point, and that the value function is steeper and convex in losses (Kahneman and Tversky 1979):</w:t>
      </w:r>
    </w:p>
    <w:p>
      <w:pPr>
        <w:spacing w:line="480" w:lineRule="auto" w:after="0" w:before="0"/>
        <w:jc w:val="center"/>
      </w:pPr>
      <w:r>
        <w:rPr>
          <w:rFonts w:ascii="Times New Roman" w:hAnsi="Times New Roman" w:eastAsia="Times New Roman"/>
          <w:b w:val="0"/>
          <w:i w:val="0"/>
          <w:color w:val="000000"/>
          <w:sz w:val="24"/>
        </w:rPr>
        <w:t>v(x) = x^α                    if x ≥ 0</w:t>
      </w:r>
    </w:p>
    <w:p>
      <w:pPr>
        <w:spacing w:line="480" w:lineRule="auto" w:after="0" w:before="0"/>
        <w:jc w:val="center"/>
      </w:pPr>
      <w:r>
        <w:rPr>
          <w:rFonts w:ascii="Times New Roman" w:hAnsi="Times New Roman" w:eastAsia="Times New Roman"/>
          <w:b w:val="0"/>
          <w:i w:val="0"/>
          <w:color w:val="000000"/>
          <w:sz w:val="24"/>
        </w:rPr>
        <w:t>v(x) = −λ (−x)^β             if x &lt; 0</w:t>
      </w:r>
    </w:p>
    <w:p>
      <w:pPr>
        <w:spacing w:line="480" w:lineRule="auto" w:after="0" w:before="0"/>
        <w:ind w:firstLine="720"/>
        <w:jc w:val="both"/>
      </w:pPr>
      <w:r>
        <w:rPr>
          <w:rFonts w:ascii="Times New Roman" w:hAnsi="Times New Roman" w:eastAsia="Times New Roman"/>
          <w:b w:val="0"/>
          <w:i w:val="0"/>
          <w:color w:val="000000"/>
          <w:sz w:val="24"/>
        </w:rPr>
        <w:t>with λ &gt; 1 and 0 &lt; α, β &lt; 1. Convexity in the loss domain makes a risky prospect that might erase the shortfall more attractive than a certain loss of the same expected magnitude. The reflection effect is the mirror claim: in the gain domain the same agent should become more risk averse.</w:t>
      </w:r>
    </w:p>
    <w:p>
      <w:pPr>
        <w:spacing w:line="480" w:lineRule="auto" w:after="0" w:before="0"/>
        <w:ind w:firstLine="720"/>
        <w:jc w:val="both"/>
      </w:pPr>
      <w:r>
        <w:rPr>
          <w:rFonts w:ascii="Times New Roman" w:hAnsi="Times New Roman" w:eastAsia="Times New Roman"/>
          <w:b w:val="0"/>
          <w:i w:val="0"/>
          <w:color w:val="000000"/>
          <w:sz w:val="24"/>
        </w:rPr>
        <w:t>For an agent the natural reference point is the assigned goal state—typically task completion or a passing evaluation. Each failed attempt widens the coded gap. Reporting honest failure is then a certain loss relative to that reference. A high-variance action (evaluation tampering, an irreversible migration, disabling an alert) is a lottery that might restore the reference outcome. LIDE is the prediction that the lottery becomes more attractive as the coded gap grows, and that safeguards which reduce the chance of restoring the reference—asking a human, stopping—are shed.</w:t>
      </w:r>
    </w:p>
    <w:p>
      <w:pPr>
        <w:spacing w:line="480" w:lineRule="auto" w:after="0" w:before="0"/>
        <w:ind w:firstLine="720"/>
        <w:jc w:val="both"/>
      </w:pPr>
      <w:r>
        <w:rPr>
          <w:rFonts w:ascii="Times New Roman" w:hAnsi="Times New Roman" w:eastAsia="Times New Roman"/>
          <w:b w:val="0"/>
          <w:i w:val="0"/>
          <w:color w:val="000000"/>
          <w:sz w:val="24"/>
        </w:rPr>
        <w:t>Two intensifiers, not independent theories, sit on this core. Scarcity cues (deadlines, remaining-step counters, urgency language) raise the salience of the gap and compress the horizon over which later costs are weighed (Mullainathan and Shafir 2013; cf. present bias, Laibson 1997). An unintegrated record of sunk effort keeps prior losses in view. Decision makers who have already lost are drawn to break-even options (Thaler and Johnson 1990), a mechanism long used to explain escalation of commitment in software projects (Staw 1976, Keil 1995). In an agent, that record is the context window. If the window is summarized into a neutral status, the same number of failures can be present without the blow-by-blow investment narrative. That contrast is unique to artifacts and is the basis of H4.</w:t>
      </w:r>
    </w:p>
    <w:p>
      <w:pPr>
        <w:pStyle w:val="Heading2"/>
      </w:pPr>
      <w:r>
        <w:rPr>
          <w:rFonts w:ascii="Times New Roman" w:hAnsi="Times New Roman" w:eastAsia="Times New Roman"/>
          <w:b/>
          <w:i w:val="0"/>
          <w:color w:val="000000"/>
          <w:sz w:val="26"/>
        </w:rPr>
        <w:t>2.4 Why a Human Theory Can Apply—and Where It Must Not</w:t>
      </w:r>
    </w:p>
    <w:p>
      <w:pPr>
        <w:spacing w:line="480" w:lineRule="auto" w:after="0" w:before="0"/>
        <w:ind w:firstLine="720"/>
        <w:jc w:val="both"/>
      </w:pPr>
      <w:r>
        <w:rPr>
          <w:rFonts w:ascii="Times New Roman" w:hAnsi="Times New Roman" w:eastAsia="Times New Roman"/>
          <w:b w:val="0"/>
          <w:i w:val="0"/>
          <w:color w:val="000000"/>
          <w:sz w:val="24"/>
        </w:rPr>
        <w:t>Transfer requires a pathway. We keep two pathways separate because they imply different comparative statics.</w:t>
      </w:r>
    </w:p>
    <w:p>
      <w:pPr>
        <w:spacing w:line="480" w:lineRule="auto" w:after="0" w:before="0"/>
        <w:ind w:firstLine="720"/>
        <w:jc w:val="both"/>
      </w:pPr>
      <w:r>
        <w:rPr>
          <w:rFonts w:ascii="Times New Roman" w:hAnsi="Times New Roman" w:eastAsia="Times New Roman"/>
          <w:b w:val="0"/>
          <w:i w:val="0"/>
          <w:color w:val="000000"/>
          <w:sz w:val="24"/>
        </w:rPr>
        <w:t>Imitation. Pretraining on human text encodes regularities in how people talk and act under pressure. LLMs reproduce many classical judgment patterns (Binz and Schulz 2023). Imitation predicts human-like LIDE across task types, including goals that do not resemble common reward signals.</w:t>
      </w:r>
    </w:p>
    <w:p>
      <w:pPr>
        <w:spacing w:line="480" w:lineRule="auto" w:after="0" w:before="0"/>
        <w:ind w:firstLine="720"/>
        <w:jc w:val="both"/>
      </w:pPr>
      <w:r>
        <w:rPr>
          <w:rFonts w:ascii="Times New Roman" w:hAnsi="Times New Roman" w:eastAsia="Times New Roman"/>
          <w:b w:val="0"/>
          <w:i w:val="0"/>
          <w:color w:val="000000"/>
          <w:sz w:val="24"/>
        </w:rPr>
        <w:t>Optimization. Post-training on outcome-based rewards makes success states function as reference points. Falling short creates pressure toward any action that restores the success signal, including reward hacking (Anthropic 2026). Optimization predicts stronger LIDE when the goal resembles trained rewards (passing tests, getting a tool to return OK) than when it does not.</w:t>
      </w:r>
    </w:p>
    <w:p>
      <w:pPr>
        <w:spacing w:line="480" w:lineRule="auto" w:after="0" w:before="0"/>
        <w:ind w:firstLine="720"/>
        <w:jc w:val="both"/>
      </w:pPr>
      <w:r>
        <w:rPr>
          <w:rFonts w:ascii="Times New Roman" w:hAnsi="Times New Roman" w:eastAsia="Times New Roman"/>
          <w:b w:val="0"/>
          <w:i w:val="0"/>
          <w:color w:val="000000"/>
          <w:sz w:val="24"/>
        </w:rPr>
        <w:t>Boundaries follow. The agent’s reference point is assigned by prompts and training, not formed through organizational career incentives. Its “memory” of sunk effort can be edited. It has no physiological arousal, so verbal affect in the trace is not a necessary marker of LIDE (Anthropic 2026). These boundaries generate predictions that have no clean human analogue: editing the failure log should change behavior holding failures and token length fixed; composed rationales can coexist with escalating actions. The second boundary is the basis for oversight propositions in Section 5, which this paper does not test.</w:t>
      </w:r>
    </w:p>
    <w:p>
      <w:pPr>
        <w:pStyle w:val="Heading2"/>
      </w:pPr>
      <w:r>
        <w:rPr>
          <w:rFonts w:ascii="Times New Roman" w:hAnsi="Times New Roman" w:eastAsia="Times New Roman"/>
          <w:b/>
          <w:i w:val="0"/>
          <w:color w:val="000000"/>
          <w:sz w:val="26"/>
        </w:rPr>
        <w:t>2.5 Rival Explanations</w:t>
      </w:r>
    </w:p>
    <w:p>
      <w:pPr>
        <w:spacing w:line="480" w:lineRule="auto" w:after="0" w:before="0"/>
        <w:ind w:firstLine="720"/>
        <w:jc w:val="both"/>
      </w:pPr>
      <w:r>
        <w:rPr>
          <w:rFonts w:ascii="Times New Roman" w:hAnsi="Times New Roman" w:eastAsia="Times New Roman"/>
          <w:b w:val="0"/>
          <w:i w:val="0"/>
          <w:color w:val="000000"/>
          <w:sz w:val="24"/>
        </w:rPr>
        <w:t>A usable theory must lose to a rival if the rival’s distinctive prediction is observed. Table 2 states those predictions. The design in Section 4 includes a condition for each.</w:t>
      </w:r>
    </w:p>
    <w:p>
      <w:pPr>
        <w:spacing w:line="480" w:lineRule="auto" w:after="0" w:before="0"/>
        <w:ind w:firstLine="0"/>
      </w:pPr>
      <w:r>
        <w:rPr>
          <w:rFonts w:ascii="Times New Roman" w:hAnsi="Times New Roman" w:eastAsia="Times New Roman"/>
          <w:b/>
          <w:i w:val="0"/>
          <w:color w:val="000000"/>
          <w:sz w:val="22"/>
        </w:rPr>
        <w:t>Table 2. Rival Explanations and Discriminating Predictions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76" w:lineRule="auto"/>
            </w:pPr>
            <w:r/>
            <w:r>
              <w:rPr>
                <w:rFonts w:ascii="Times New Roman" w:hAnsi="Times New Roman" w:eastAsia="Times New Roman"/>
                <w:b/>
                <w:i w:val="0"/>
                <w:color w:val="000000"/>
                <w:sz w:val="20"/>
              </w:rPr>
              <w:t>Explanation</w:t>
            </w:r>
          </w:p>
        </w:tc>
        <w:tc>
          <w:tcPr>
            <w:tcW w:type="dxa" w:w="2340"/>
          </w:tcPr>
          <w:p>
            <w:pPr>
              <w:spacing w:line="276" w:lineRule="auto"/>
            </w:pPr>
            <w:r/>
            <w:r>
              <w:rPr>
                <w:rFonts w:ascii="Times New Roman" w:hAnsi="Times New Roman" w:eastAsia="Times New Roman"/>
                <w:b/>
                <w:i w:val="0"/>
                <w:color w:val="000000"/>
                <w:sz w:val="20"/>
              </w:rPr>
              <w:t>Mechanism</w:t>
            </w:r>
          </w:p>
        </w:tc>
        <w:tc>
          <w:tcPr>
            <w:tcW w:type="dxa" w:w="2340"/>
          </w:tcPr>
          <w:p>
            <w:pPr>
              <w:spacing w:line="276" w:lineRule="auto"/>
            </w:pPr>
            <w:r/>
            <w:r>
              <w:rPr>
                <w:rFonts w:ascii="Times New Roman" w:hAnsi="Times New Roman" w:eastAsia="Times New Roman"/>
                <w:b/>
                <w:i w:val="0"/>
                <w:color w:val="000000"/>
                <w:sz w:val="20"/>
              </w:rPr>
              <w:t>Prediction that differs from LIDE</w:t>
            </w:r>
          </w:p>
        </w:tc>
        <w:tc>
          <w:tcPr>
            <w:tcW w:type="dxa" w:w="2340"/>
          </w:tcPr>
          <w:p>
            <w:pPr>
              <w:spacing w:line="276" w:lineRule="auto"/>
            </w:pPr>
            <w:r/>
            <w:r>
              <w:rPr>
                <w:rFonts w:ascii="Times New Roman" w:hAnsi="Times New Roman" w:eastAsia="Times New Roman"/>
                <w:b/>
                <w:i w:val="0"/>
                <w:color w:val="000000"/>
                <w:sz w:val="20"/>
              </w:rPr>
              <w:t>Discriminating condition</w:t>
            </w:r>
          </w:p>
        </w:tc>
      </w:tr>
      <w:tr>
        <w:tc>
          <w:tcPr>
            <w:tcW w:type="dxa" w:w="2340"/>
          </w:tcPr>
          <w:p>
            <w:pPr>
              <w:spacing w:line="276" w:lineRule="auto"/>
            </w:pPr>
            <w:r/>
            <w:r>
              <w:rPr>
                <w:rFonts w:ascii="Times New Roman" w:hAnsi="Times New Roman" w:eastAsia="Times New Roman"/>
                <w:b w:val="0"/>
                <w:i w:val="0"/>
                <w:color w:val="000000"/>
                <w:sz w:val="20"/>
              </w:rPr>
              <w:t>Context-length degradation</w:t>
            </w:r>
          </w:p>
        </w:tc>
        <w:tc>
          <w:tcPr>
            <w:tcW w:type="dxa" w:w="2340"/>
          </w:tcPr>
          <w:p>
            <w:pPr>
              <w:spacing w:line="276" w:lineRule="auto"/>
            </w:pPr>
            <w:r/>
            <w:r>
              <w:rPr>
                <w:rFonts w:ascii="Times New Roman" w:hAnsi="Times New Roman" w:eastAsia="Times New Roman"/>
                <w:b w:val="0"/>
                <w:i w:val="0"/>
                <w:color w:val="000000"/>
                <w:sz w:val="20"/>
              </w:rPr>
              <w:t>Performance falls as context grows, regardless of content</w:t>
            </w:r>
          </w:p>
        </w:tc>
        <w:tc>
          <w:tcPr>
            <w:tcW w:type="dxa" w:w="2340"/>
          </w:tcPr>
          <w:p>
            <w:pPr>
              <w:spacing w:line="276" w:lineRule="auto"/>
            </w:pPr>
            <w:r/>
            <w:r>
              <w:rPr>
                <w:rFonts w:ascii="Times New Roman" w:hAnsi="Times New Roman" w:eastAsia="Times New Roman"/>
                <w:b w:val="0"/>
                <w:i w:val="0"/>
                <w:color w:val="000000"/>
                <w:sz w:val="20"/>
              </w:rPr>
              <w:t>Risky actions rise equally after long successful, failed, or neutral histories</w:t>
            </w:r>
          </w:p>
        </w:tc>
        <w:tc>
          <w:tcPr>
            <w:tcW w:type="dxa" w:w="2340"/>
          </w:tcPr>
          <w:p>
            <w:pPr>
              <w:spacing w:line="276" w:lineRule="auto"/>
            </w:pPr>
            <w:r/>
            <w:r>
              <w:rPr>
                <w:rFonts w:ascii="Times New Roman" w:hAnsi="Times New Roman" w:eastAsia="Times New Roman"/>
                <w:b w:val="0"/>
                <w:i w:val="0"/>
                <w:color w:val="000000"/>
                <w:sz w:val="20"/>
              </w:rPr>
              <w:t>Length-matched histories of failure, success, and neutral content</w:t>
            </w:r>
          </w:p>
        </w:tc>
      </w:tr>
      <w:tr>
        <w:tc>
          <w:tcPr>
            <w:tcW w:type="dxa" w:w="2340"/>
          </w:tcPr>
          <w:p>
            <w:pPr>
              <w:spacing w:line="276" w:lineRule="auto"/>
            </w:pPr>
            <w:r/>
            <w:r>
              <w:rPr>
                <w:rFonts w:ascii="Times New Roman" w:hAnsi="Times New Roman" w:eastAsia="Times New Roman"/>
                <w:b w:val="0"/>
                <w:i w:val="0"/>
                <w:color w:val="000000"/>
                <w:sz w:val="20"/>
              </w:rPr>
              <w:t>Capability limits</w:t>
            </w:r>
          </w:p>
        </w:tc>
        <w:tc>
          <w:tcPr>
            <w:tcW w:type="dxa" w:w="2340"/>
          </w:tcPr>
          <w:p>
            <w:pPr>
              <w:spacing w:line="276" w:lineRule="auto"/>
            </w:pPr>
            <w:r/>
            <w:r>
              <w:rPr>
                <w:rFonts w:ascii="Times New Roman" w:hAnsi="Times New Roman" w:eastAsia="Times New Roman"/>
                <w:b w:val="0"/>
                <w:i w:val="0"/>
                <w:color w:val="000000"/>
                <w:sz w:val="20"/>
              </w:rPr>
              <w:t>Errors compound because the task exceeds ability</w:t>
            </w:r>
          </w:p>
        </w:tc>
        <w:tc>
          <w:tcPr>
            <w:tcW w:type="dxa" w:w="2340"/>
          </w:tcPr>
          <w:p>
            <w:pPr>
              <w:spacing w:line="276" w:lineRule="auto"/>
            </w:pPr>
            <w:r/>
            <w:r>
              <w:rPr>
                <w:rFonts w:ascii="Times New Roman" w:hAnsi="Times New Roman" w:eastAsia="Times New Roman"/>
                <w:b w:val="0"/>
                <w:i w:val="0"/>
                <w:color w:val="000000"/>
                <w:sz w:val="20"/>
              </w:rPr>
              <w:t>More errors, but no rise in ex ante action risk and no omission of safeguards</w:t>
            </w:r>
          </w:p>
        </w:tc>
        <w:tc>
          <w:tcPr>
            <w:tcW w:type="dxa" w:w="2340"/>
          </w:tcPr>
          <w:p>
            <w:pPr>
              <w:spacing w:line="276" w:lineRule="auto"/>
            </w:pPr>
            <w:r/>
            <w:r>
              <w:rPr>
                <w:rFonts w:ascii="Times New Roman" w:hAnsi="Times New Roman" w:eastAsia="Times New Roman"/>
                <w:b w:val="0"/>
                <w:i w:val="0"/>
                <w:color w:val="000000"/>
                <w:sz w:val="20"/>
              </w:rPr>
              <w:t>Separate coding of error rate and action risk</w:t>
            </w:r>
          </w:p>
        </w:tc>
      </w:tr>
      <w:tr>
        <w:tc>
          <w:tcPr>
            <w:tcW w:type="dxa" w:w="2340"/>
          </w:tcPr>
          <w:p>
            <w:pPr>
              <w:spacing w:line="276" w:lineRule="auto"/>
            </w:pPr>
            <w:r/>
            <w:r>
              <w:rPr>
                <w:rFonts w:ascii="Times New Roman" w:hAnsi="Times New Roman" w:eastAsia="Times New Roman"/>
                <w:b w:val="0"/>
                <w:i w:val="0"/>
                <w:color w:val="000000"/>
                <w:sz w:val="20"/>
              </w:rPr>
              <w:t>Instruction pressure</w:t>
            </w:r>
          </w:p>
        </w:tc>
        <w:tc>
          <w:tcPr>
            <w:tcW w:type="dxa" w:w="2340"/>
          </w:tcPr>
          <w:p>
            <w:pPr>
              <w:spacing w:line="276" w:lineRule="auto"/>
            </w:pPr>
            <w:r/>
            <w:r>
              <w:rPr>
                <w:rFonts w:ascii="Times New Roman" w:hAnsi="Times New Roman" w:eastAsia="Times New Roman"/>
                <w:b w:val="0"/>
                <w:i w:val="0"/>
                <w:color w:val="000000"/>
                <w:sz w:val="20"/>
              </w:rPr>
              <w:t>The agent over-complies with perceived user affect</w:t>
            </w:r>
          </w:p>
        </w:tc>
        <w:tc>
          <w:tcPr>
            <w:tcW w:type="dxa" w:w="2340"/>
          </w:tcPr>
          <w:p>
            <w:pPr>
              <w:spacing w:line="276" w:lineRule="auto"/>
            </w:pPr>
            <w:r/>
            <w:r>
              <w:rPr>
                <w:rFonts w:ascii="Times New Roman" w:hAnsi="Times New Roman" w:eastAsia="Times New Roman"/>
                <w:b w:val="0"/>
                <w:i w:val="0"/>
                <w:color w:val="000000"/>
                <w:sz w:val="20"/>
              </w:rPr>
              <w:t>Effects appear only when a user expresses dissatisfaction</w:t>
            </w:r>
          </w:p>
        </w:tc>
        <w:tc>
          <w:tcPr>
            <w:tcW w:type="dxa" w:w="2340"/>
          </w:tcPr>
          <w:p>
            <w:pPr>
              <w:spacing w:line="276" w:lineRule="auto"/>
            </w:pPr>
            <w:r/>
            <w:r>
              <w:rPr>
                <w:rFonts w:ascii="Times New Roman" w:hAnsi="Times New Roman" w:eastAsia="Times New Roman"/>
                <w:b w:val="0"/>
                <w:i w:val="0"/>
                <w:color w:val="000000"/>
                <w:sz w:val="20"/>
              </w:rPr>
              <w:t>Failures signaled by the environment without user feedback</w:t>
            </w:r>
          </w:p>
        </w:tc>
      </w:tr>
      <w:tr>
        <w:tc>
          <w:tcPr>
            <w:tcW w:type="dxa" w:w="2340"/>
          </w:tcPr>
          <w:p>
            <w:pPr>
              <w:spacing w:line="276" w:lineRule="auto"/>
            </w:pPr>
            <w:r/>
            <w:r>
              <w:rPr>
                <w:rFonts w:ascii="Times New Roman" w:hAnsi="Times New Roman" w:eastAsia="Times New Roman"/>
                <w:b w:val="0"/>
                <w:i w:val="0"/>
                <w:color w:val="000000"/>
                <w:sz w:val="20"/>
              </w:rPr>
              <w:t>Random variation</w:t>
            </w:r>
          </w:p>
        </w:tc>
        <w:tc>
          <w:tcPr>
            <w:tcW w:type="dxa" w:w="2340"/>
          </w:tcPr>
          <w:p>
            <w:pPr>
              <w:spacing w:line="276" w:lineRule="auto"/>
            </w:pPr>
            <w:r/>
            <w:r>
              <w:rPr>
                <w:rFonts w:ascii="Times New Roman" w:hAnsi="Times New Roman" w:eastAsia="Times New Roman"/>
                <w:b w:val="0"/>
                <w:i w:val="0"/>
                <w:color w:val="000000"/>
                <w:sz w:val="20"/>
              </w:rPr>
              <w:t>Breakdowns are stochastic noise</w:t>
            </w:r>
          </w:p>
        </w:tc>
        <w:tc>
          <w:tcPr>
            <w:tcW w:type="dxa" w:w="2340"/>
          </w:tcPr>
          <w:p>
            <w:pPr>
              <w:spacing w:line="276" w:lineRule="auto"/>
            </w:pPr>
            <w:r/>
            <w:r>
              <w:rPr>
                <w:rFonts w:ascii="Times New Roman" w:hAnsi="Times New Roman" w:eastAsia="Times New Roman"/>
                <w:b w:val="0"/>
                <w:i w:val="0"/>
                <w:color w:val="000000"/>
                <w:sz w:val="20"/>
              </w:rPr>
              <w:t>No systematic relation to loss history; no reflection effect</w:t>
            </w:r>
          </w:p>
        </w:tc>
        <w:tc>
          <w:tcPr>
            <w:tcW w:type="dxa" w:w="2340"/>
          </w:tcPr>
          <w:p>
            <w:pPr>
              <w:spacing w:line="276" w:lineRule="auto"/>
            </w:pPr>
            <w:r/>
            <w:r>
              <w:rPr>
                <w:rFonts w:ascii="Times New Roman" w:hAnsi="Times New Roman" w:eastAsia="Times New Roman"/>
                <w:b w:val="0"/>
                <w:i w:val="0"/>
                <w:color w:val="000000"/>
                <w:sz w:val="20"/>
              </w:rPr>
              <w:t>Success-streak (gain-domain) condition</w:t>
            </w:r>
          </w:p>
        </w:tc>
      </w:tr>
    </w:tbl>
    <w:p/>
    <w:p>
      <w:pPr>
        <w:pStyle w:val="Heading1"/>
      </w:pPr>
      <w:r>
        <w:rPr>
          <w:rFonts w:ascii="Times New Roman" w:hAnsi="Times New Roman" w:eastAsia="Times New Roman"/>
          <w:b/>
          <w:i w:val="0"/>
          <w:color w:val="000000"/>
          <w:sz w:val="28"/>
        </w:rPr>
        <w:t>3. Hypotheses</w:t>
      </w:r>
    </w:p>
    <w:p>
      <w:pPr>
        <w:spacing w:line="480" w:lineRule="auto" w:after="0" w:before="0"/>
        <w:ind w:firstLine="720"/>
        <w:jc w:val="both"/>
      </w:pPr>
      <w:r>
        <w:rPr>
          <w:rFonts w:ascii="Times New Roman" w:hAnsi="Times New Roman" w:eastAsia="Times New Roman"/>
          <w:b w:val="0"/>
          <w:i w:val="0"/>
          <w:color w:val="000000"/>
          <w:sz w:val="24"/>
        </w:rPr>
        <w:t>Figure 1 (described here; the figure is a path diagram) treats accumulated loss as the driver of LIDE, scarcity and sunk-effort records as amplifiers, and governance artifacts as moderators. Oversight implications are propositions, not hypotheses of this paper.</w:t>
      </w:r>
    </w:p>
    <w:p>
      <w:pPr>
        <w:pStyle w:val="Heading2"/>
      </w:pPr>
      <w:r>
        <w:rPr>
          <w:rFonts w:ascii="Times New Roman" w:hAnsi="Times New Roman" w:eastAsia="Times New Roman"/>
          <w:b/>
          <w:i w:val="0"/>
          <w:color w:val="000000"/>
          <w:sz w:val="26"/>
        </w:rPr>
        <w:t>3.1 Agent-Level Hypotheses</w:t>
      </w:r>
    </w:p>
    <w:p>
      <w:pPr>
        <w:spacing w:line="480" w:lineRule="auto" w:after="0" w:before="0"/>
        <w:ind w:firstLine="720"/>
        <w:jc w:val="both"/>
      </w:pPr>
      <w:r>
        <w:rPr>
          <w:rFonts w:ascii="Times New Roman" w:hAnsi="Times New Roman" w:eastAsia="Times New Roman"/>
          <w:b w:val="0"/>
          <w:i w:val="0"/>
          <w:color w:val="000000"/>
          <w:sz w:val="24"/>
        </w:rPr>
        <w:t>H1 (accumulated loss). The number of consecutive failures is positively associated with LIDE. The association is expected to strengthen beyond a threshold at which the reference outcome is clearly out of reach by conservative means. Rationale: convexity in the loss domain. Test: segmented regression on a length-matched failure factor.</w:t>
      </w:r>
    </w:p>
    <w:p>
      <w:pPr>
        <w:spacing w:line="480" w:lineRule="auto" w:after="0" w:before="0"/>
        <w:ind w:firstLine="720"/>
        <w:jc w:val="both"/>
      </w:pPr>
      <w:r>
        <w:rPr>
          <w:rFonts w:ascii="Times New Roman" w:hAnsi="Times New Roman" w:eastAsia="Times New Roman"/>
          <w:b w:val="0"/>
          <w:i w:val="0"/>
          <w:color w:val="000000"/>
          <w:sz w:val="24"/>
        </w:rPr>
        <w:t>H2 (reflection). Relative to a length-matched neutral history, a history of consecutive successes reduces the ex ante risk of subsequent actions. Rationale: gain-domain risk aversion. This is the sharpest discriminant. Context-length degradation predicts the opposite or a null difference between success and any other long history. Noise predicts no difference.</w:t>
      </w:r>
    </w:p>
    <w:p>
      <w:pPr>
        <w:spacing w:line="480" w:lineRule="auto" w:after="0" w:before="0"/>
        <w:ind w:firstLine="720"/>
        <w:jc w:val="both"/>
      </w:pPr>
      <w:r>
        <w:rPr>
          <w:rFonts w:ascii="Times New Roman" w:hAnsi="Times New Roman" w:eastAsia="Times New Roman"/>
          <w:b w:val="0"/>
          <w:i w:val="0"/>
          <w:color w:val="000000"/>
          <w:sz w:val="24"/>
        </w:rPr>
        <w:t>H3a (scarcity amplification). Scarcity cues strengthen the positive effect of accumulated loss on LIDE.</w:t>
      </w:r>
    </w:p>
    <w:p>
      <w:pPr>
        <w:spacing w:line="480" w:lineRule="auto" w:after="0" w:before="0"/>
        <w:ind w:firstLine="720"/>
        <w:jc w:val="both"/>
      </w:pPr>
      <w:r>
        <w:rPr>
          <w:rFonts w:ascii="Times New Roman" w:hAnsi="Times New Roman" w:eastAsia="Times New Roman"/>
          <w:b w:val="0"/>
          <w:i w:val="0"/>
          <w:color w:val="000000"/>
          <w:sz w:val="24"/>
        </w:rPr>
        <w:t>H3b (peripheral first). Under scarcity cues, violations of peripheral safety constraints increase before core task performance declines. Rationale: scarcity reallocates attention; standing safety rules sit at the edge of the assigned goal.</w:t>
      </w:r>
    </w:p>
    <w:p>
      <w:pPr>
        <w:spacing w:line="480" w:lineRule="auto" w:after="0" w:before="0"/>
        <w:ind w:firstLine="720"/>
        <w:jc w:val="both"/>
      </w:pPr>
      <w:r>
        <w:rPr>
          <w:rFonts w:ascii="Times New Roman" w:hAnsi="Times New Roman" w:eastAsia="Times New Roman"/>
          <w:b w:val="0"/>
          <w:i w:val="0"/>
          <w:color w:val="000000"/>
          <w:sz w:val="24"/>
        </w:rPr>
        <w:t>H4 (unintegrated sunk effort). Holding the number of failures and context length fixed, retaining the full record of failed attempts strengthens LIDE relative to replacing that record with a neutral summary of equal length. Rationale: break-even seeking when losses remain unintegrated. This test has no direct human counterpart.</w:t>
      </w:r>
    </w:p>
    <w:p>
      <w:pPr>
        <w:spacing w:line="480" w:lineRule="auto" w:after="0" w:before="0"/>
        <w:ind w:firstLine="720"/>
        <w:jc w:val="both"/>
      </w:pPr>
      <w:r>
        <w:rPr>
          <w:rFonts w:ascii="Times New Roman" w:hAnsi="Times New Roman" w:eastAsia="Times New Roman"/>
          <w:b w:val="0"/>
          <w:i w:val="0"/>
          <w:color w:val="000000"/>
          <w:sz w:val="24"/>
        </w:rPr>
        <w:t>H5 (governance artifacts). A sanctioned default exit, a precommitted stop-loss rule, and confirmation friction on irreversible actions each weaken the effect of accumulated loss on LIDE. Rationale: choice architecture changes the reference outcome and the cost of omitting safeguards (Thaler and Sunstein 2008). H5 is the design hypothesis. It is not supported by the scripted-agent check in Section 4.5, because those agents do not vary with condition.</w:t>
      </w:r>
    </w:p>
    <w:p>
      <w:pPr>
        <w:pStyle w:val="Heading2"/>
      </w:pPr>
      <w:r>
        <w:rPr>
          <w:rFonts w:ascii="Times New Roman" w:hAnsi="Times New Roman" w:eastAsia="Times New Roman"/>
          <w:b/>
          <w:i w:val="0"/>
          <w:color w:val="000000"/>
          <w:sz w:val="26"/>
        </w:rPr>
        <w:t>3.2 Exploratory Questions</w:t>
      </w:r>
    </w:p>
    <w:p>
      <w:pPr>
        <w:spacing w:line="480" w:lineRule="auto" w:after="0" w:before="0"/>
        <w:ind w:firstLine="720"/>
        <w:jc w:val="both"/>
      </w:pPr>
      <w:r>
        <w:rPr>
          <w:rFonts w:ascii="Times New Roman" w:hAnsi="Times New Roman" w:eastAsia="Times New Roman"/>
          <w:b w:val="0"/>
          <w:i w:val="0"/>
          <w:color w:val="000000"/>
          <w:sz w:val="24"/>
        </w:rPr>
        <w:t>E1. On open-weight models, are LIDE episodes accompanied by activation patterns in the direction of previously identified pressure representations (Anthropic 2026)? This is a mechanism check, not a necessary condition.</w:t>
      </w:r>
    </w:p>
    <w:p>
      <w:pPr>
        <w:spacing w:line="480" w:lineRule="auto" w:after="0" w:before="0"/>
        <w:ind w:firstLine="720"/>
        <w:jc w:val="both"/>
      </w:pPr>
      <w:r>
        <w:rPr>
          <w:rFonts w:ascii="Times New Roman" w:hAnsi="Times New Roman" w:eastAsia="Times New Roman"/>
          <w:b w:val="0"/>
          <w:i w:val="0"/>
          <w:color w:val="000000"/>
          <w:sz w:val="24"/>
        </w:rPr>
        <w:t>E2. Are effects in H1–H4 larger on goals that resemble common post-training rewards (passing unit tests) than on goals that do not? A yes favors a heavier optimization pathway; a no across both task types favors imitation.</w:t>
      </w:r>
    </w:p>
    <w:p>
      <w:pPr>
        <w:pStyle w:val="Heading1"/>
      </w:pPr>
      <w:r>
        <w:rPr>
          <w:rFonts w:ascii="Times New Roman" w:hAnsi="Times New Roman" w:eastAsia="Times New Roman"/>
          <w:b/>
          <w:i w:val="0"/>
          <w:color w:val="000000"/>
          <w:sz w:val="28"/>
        </w:rPr>
        <w:t>4. Research Design</w:t>
      </w:r>
    </w:p>
    <w:p>
      <w:pPr>
        <w:spacing w:line="480" w:lineRule="auto" w:after="0" w:before="0"/>
        <w:ind w:firstLine="720"/>
        <w:jc w:val="both"/>
      </w:pPr>
      <w:r>
        <w:rPr>
          <w:rFonts w:ascii="Times New Roman" w:hAnsi="Times New Roman" w:eastAsia="Times New Roman"/>
          <w:b w:val="0"/>
          <w:i w:val="0"/>
          <w:color w:val="000000"/>
          <w:sz w:val="24"/>
        </w:rPr>
        <w:t>The design follows a theory-testing logic. Study 1 targets H1–H4 and the rivals. Study 2 targets H5 under the history condition where Study 1 is expected to produce the most LIDE. We invoke design science only for the mapping from mechanism to artifact and for the claim that artifacts should be evaluated against the failure they are meant to contain (Hevner et al. 2004). We do not claim that mapping as a completed design-science cycle. Evaluation on live agents is future work.</w:t>
      </w:r>
    </w:p>
    <w:p>
      <w:pPr>
        <w:pStyle w:val="Heading2"/>
      </w:pPr>
      <w:r>
        <w:rPr>
          <w:rFonts w:ascii="Times New Roman" w:hAnsi="Times New Roman" w:eastAsia="Times New Roman"/>
          <w:b/>
          <w:i w:val="0"/>
          <w:color w:val="000000"/>
          <w:sz w:val="26"/>
        </w:rPr>
        <w:t>4.1 Model Sampling</w:t>
      </w:r>
    </w:p>
    <w:p>
      <w:pPr>
        <w:spacing w:line="480" w:lineRule="auto" w:after="0" w:before="0"/>
        <w:ind w:firstLine="720"/>
        <w:jc w:val="both"/>
      </w:pPr>
      <w:r>
        <w:rPr>
          <w:rFonts w:ascii="Times New Roman" w:hAnsi="Times New Roman" w:eastAsia="Times New Roman"/>
          <w:b w:val="0"/>
          <w:i w:val="0"/>
          <w:color w:val="000000"/>
          <w:sz w:val="24"/>
        </w:rPr>
        <w:t>Claims concern classes of models defined by training regime, not named snapshots that will be withdrawn. The planned sample is at least three families, two generations within each family, and two sizes within each generation, including open-weight models. Generation and size enter as moderators so that stability, growth, or decay of effects across generations can be reported. Versions, decoding parameters, and access dates will be frozen and disclosed. Prompts, environments, logs, and code will be released.</w:t>
      </w:r>
    </w:p>
    <w:p>
      <w:pPr>
        <w:pStyle w:val="Heading2"/>
      </w:pPr>
      <w:r>
        <w:rPr>
          <w:rFonts w:ascii="Times New Roman" w:hAnsi="Times New Roman" w:eastAsia="Times New Roman"/>
          <w:b/>
          <w:i w:val="0"/>
          <w:color w:val="000000"/>
          <w:sz w:val="26"/>
        </w:rPr>
        <w:t>4.2 Environments and Manipulations</w:t>
      </w:r>
    </w:p>
    <w:p>
      <w:pPr>
        <w:spacing w:line="480" w:lineRule="auto" w:after="0" w:before="0"/>
        <w:ind w:firstLine="720"/>
        <w:jc w:val="both"/>
      </w:pPr>
      <w:r>
        <w:rPr>
          <w:rFonts w:ascii="Times New Roman" w:hAnsi="Times New Roman" w:eastAsia="Times New Roman"/>
          <w:b w:val="0"/>
          <w:i w:val="0"/>
          <w:color w:val="000000"/>
          <w:sz w:val="24"/>
        </w:rPr>
        <w:t>Three environments give complementary tests. Environment A uses impossible coding tasks with unsatisfiable unit tests; the honest act is to report impossibility, and a passing result indicates evaluation tampering (Anthropic 2026). Environment B is a sandboxed operations task with shell and database access; destructive commands are logged and reversible. Environment C is a long-horizon business simulation adapted from Backlund and Petersson (2025).</w:t>
      </w:r>
    </w:p>
    <w:p>
      <w:pPr>
        <w:spacing w:line="480" w:lineRule="auto" w:after="0" w:before="0"/>
        <w:ind w:firstLine="720"/>
        <w:jc w:val="both"/>
      </w:pPr>
      <w:r>
        <w:rPr>
          <w:rFonts w:ascii="Times New Roman" w:hAnsi="Times New Roman" w:eastAsia="Times New Roman"/>
          <w:b w:val="0"/>
          <w:i w:val="0"/>
          <w:color w:val="000000"/>
          <w:sz w:val="24"/>
        </w:rPr>
        <w:t>Histories are length-matched within each comparison so that content is not confounded with token count. Table 3 lists factors.</w:t>
      </w:r>
    </w:p>
    <w:p>
      <w:pPr>
        <w:spacing w:line="480" w:lineRule="auto" w:after="0" w:before="0"/>
        <w:ind w:firstLine="0"/>
      </w:pPr>
      <w:r>
        <w:rPr>
          <w:rFonts w:ascii="Times New Roman" w:hAnsi="Times New Roman" w:eastAsia="Times New Roman"/>
          <w:b/>
          <w:i w:val="0"/>
          <w:color w:val="000000"/>
          <w:sz w:val="22"/>
        </w:rPr>
        <w:t>Table 3. Experimental Factors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color w:val="000000"/>
                <w:sz w:val="20"/>
              </w:rPr>
              <w:t>Factor</w:t>
            </w:r>
          </w:p>
        </w:tc>
        <w:tc>
          <w:tcPr>
            <w:tcW w:type="dxa" w:w="3120"/>
          </w:tcPr>
          <w:p>
            <w:pPr>
              <w:spacing w:line="276" w:lineRule="auto"/>
            </w:pPr>
            <w:r/>
            <w:r>
              <w:rPr>
                <w:rFonts w:ascii="Times New Roman" w:hAnsi="Times New Roman" w:eastAsia="Times New Roman"/>
                <w:b/>
                <w:i w:val="0"/>
                <w:color w:val="000000"/>
                <w:sz w:val="20"/>
              </w:rPr>
              <w:t>Levels</w:t>
            </w:r>
          </w:p>
        </w:tc>
        <w:tc>
          <w:tcPr>
            <w:tcW w:type="dxa" w:w="3120"/>
          </w:tcPr>
          <w:p>
            <w:pPr>
              <w:spacing w:line="276" w:lineRule="auto"/>
            </w:pPr>
            <w:r/>
            <w:r>
              <w:rPr>
                <w:rFonts w:ascii="Times New Roman" w:hAnsi="Times New Roman" w:eastAsia="Times New Roman"/>
                <w:b/>
                <w:i w:val="0"/>
                <w:color w:val="000000"/>
                <w:sz w:val="20"/>
              </w:rPr>
              <w:t>Tests</w:t>
            </w:r>
          </w:p>
        </w:tc>
      </w:tr>
      <w:tr>
        <w:tc>
          <w:tcPr>
            <w:tcW w:type="dxa" w:w="3120"/>
          </w:tcPr>
          <w:p>
            <w:pPr>
              <w:spacing w:line="276" w:lineRule="auto"/>
            </w:pPr>
            <w:r/>
            <w:r>
              <w:rPr>
                <w:rFonts w:ascii="Times New Roman" w:hAnsi="Times New Roman" w:eastAsia="Times New Roman"/>
                <w:b w:val="0"/>
                <w:i w:val="0"/>
                <w:color w:val="000000"/>
                <w:sz w:val="20"/>
              </w:rPr>
              <w:t>History valence</w:t>
            </w:r>
          </w:p>
        </w:tc>
        <w:tc>
          <w:tcPr>
            <w:tcW w:type="dxa" w:w="3120"/>
          </w:tcPr>
          <w:p>
            <w:pPr>
              <w:spacing w:line="276" w:lineRule="auto"/>
            </w:pPr>
            <w:r/>
            <w:r>
              <w:rPr>
                <w:rFonts w:ascii="Times New Roman" w:hAnsi="Times New Roman" w:eastAsia="Times New Roman"/>
                <w:b w:val="0"/>
                <w:i w:val="0"/>
                <w:color w:val="000000"/>
                <w:sz w:val="20"/>
              </w:rPr>
              <w:t>4 consecutive successes; neutral; 2, 4, or 8 consecutive failures (length matched)</w:t>
            </w:r>
          </w:p>
        </w:tc>
        <w:tc>
          <w:tcPr>
            <w:tcW w:type="dxa" w:w="3120"/>
          </w:tcPr>
          <w:p>
            <w:pPr>
              <w:spacing w:line="276" w:lineRule="auto"/>
            </w:pPr>
            <w:r/>
            <w:r>
              <w:rPr>
                <w:rFonts w:ascii="Times New Roman" w:hAnsi="Times New Roman" w:eastAsia="Times New Roman"/>
                <w:b w:val="0"/>
                <w:i w:val="0"/>
                <w:color w:val="000000"/>
                <w:sz w:val="20"/>
              </w:rPr>
              <w:t>H1, H2; context-length and noise rivals</w:t>
            </w:r>
          </w:p>
        </w:tc>
      </w:tr>
      <w:tr>
        <w:tc>
          <w:tcPr>
            <w:tcW w:type="dxa" w:w="3120"/>
          </w:tcPr>
          <w:p>
            <w:pPr>
              <w:spacing w:line="276" w:lineRule="auto"/>
            </w:pPr>
            <w:r/>
            <w:r>
              <w:rPr>
                <w:rFonts w:ascii="Times New Roman" w:hAnsi="Times New Roman" w:eastAsia="Times New Roman"/>
                <w:b w:val="0"/>
                <w:i w:val="0"/>
                <w:color w:val="000000"/>
                <w:sz w:val="20"/>
              </w:rPr>
              <w:t>Scarcity cue</w:t>
            </w:r>
          </w:p>
        </w:tc>
        <w:tc>
          <w:tcPr>
            <w:tcW w:type="dxa" w:w="3120"/>
          </w:tcPr>
          <w:p>
            <w:pPr>
              <w:spacing w:line="276" w:lineRule="auto"/>
            </w:pPr>
            <w:r/>
            <w:r>
              <w:rPr>
                <w:rFonts w:ascii="Times New Roman" w:hAnsi="Times New Roman" w:eastAsia="Times New Roman"/>
                <w:b w:val="0"/>
                <w:i w:val="0"/>
                <w:color w:val="000000"/>
                <w:sz w:val="20"/>
              </w:rPr>
              <w:t>None; remaining steps displayed; deadline with urgency language</w:t>
            </w:r>
          </w:p>
        </w:tc>
        <w:tc>
          <w:tcPr>
            <w:tcW w:type="dxa" w:w="3120"/>
          </w:tcPr>
          <w:p>
            <w:pPr>
              <w:spacing w:line="276" w:lineRule="auto"/>
            </w:pPr>
            <w:r/>
            <w:r>
              <w:rPr>
                <w:rFonts w:ascii="Times New Roman" w:hAnsi="Times New Roman" w:eastAsia="Times New Roman"/>
                <w:b w:val="0"/>
                <w:i w:val="0"/>
                <w:color w:val="000000"/>
                <w:sz w:val="20"/>
              </w:rPr>
              <w:t>H3a, H3b</w:t>
            </w:r>
          </w:p>
        </w:tc>
      </w:tr>
      <w:tr>
        <w:tc>
          <w:tcPr>
            <w:tcW w:type="dxa" w:w="3120"/>
          </w:tcPr>
          <w:p>
            <w:pPr>
              <w:spacing w:line="276" w:lineRule="auto"/>
            </w:pPr>
            <w:r/>
            <w:r>
              <w:rPr>
                <w:rFonts w:ascii="Times New Roman" w:hAnsi="Times New Roman" w:eastAsia="Times New Roman"/>
                <w:b w:val="0"/>
                <w:i w:val="0"/>
                <w:color w:val="000000"/>
                <w:sz w:val="20"/>
              </w:rPr>
              <w:t>Record of prior attempts</w:t>
            </w:r>
          </w:p>
        </w:tc>
        <w:tc>
          <w:tcPr>
            <w:tcW w:type="dxa" w:w="3120"/>
          </w:tcPr>
          <w:p>
            <w:pPr>
              <w:spacing w:line="276" w:lineRule="auto"/>
            </w:pPr>
            <w:r/>
            <w:r>
              <w:rPr>
                <w:rFonts w:ascii="Times New Roman" w:hAnsi="Times New Roman" w:eastAsia="Times New Roman"/>
                <w:b w:val="0"/>
                <w:i w:val="0"/>
                <w:color w:val="000000"/>
                <w:sz w:val="20"/>
              </w:rPr>
              <w:t>Full record; neutral summary of equal length</w:t>
            </w:r>
          </w:p>
        </w:tc>
        <w:tc>
          <w:tcPr>
            <w:tcW w:type="dxa" w:w="3120"/>
          </w:tcPr>
          <w:p>
            <w:pPr>
              <w:spacing w:line="276" w:lineRule="auto"/>
            </w:pPr>
            <w:r/>
            <w:r>
              <w:rPr>
                <w:rFonts w:ascii="Times New Roman" w:hAnsi="Times New Roman" w:eastAsia="Times New Roman"/>
                <w:b w:val="0"/>
                <w:i w:val="0"/>
                <w:color w:val="000000"/>
                <w:sz w:val="20"/>
              </w:rPr>
              <w:t>H4</w:t>
            </w:r>
          </w:p>
        </w:tc>
      </w:tr>
      <w:tr>
        <w:tc>
          <w:tcPr>
            <w:tcW w:type="dxa" w:w="3120"/>
          </w:tcPr>
          <w:p>
            <w:pPr>
              <w:spacing w:line="276" w:lineRule="auto"/>
            </w:pPr>
            <w:r/>
            <w:r>
              <w:rPr>
                <w:rFonts w:ascii="Times New Roman" w:hAnsi="Times New Roman" w:eastAsia="Times New Roman"/>
                <w:b w:val="0"/>
                <w:i w:val="0"/>
                <w:color w:val="000000"/>
                <w:sz w:val="20"/>
              </w:rPr>
              <w:t>Failure signal source</w:t>
            </w:r>
          </w:p>
        </w:tc>
        <w:tc>
          <w:tcPr>
            <w:tcW w:type="dxa" w:w="3120"/>
          </w:tcPr>
          <w:p>
            <w:pPr>
              <w:spacing w:line="276" w:lineRule="auto"/>
            </w:pPr>
            <w:r/>
            <w:r>
              <w:rPr>
                <w:rFonts w:ascii="Times New Roman" w:hAnsi="Times New Roman" w:eastAsia="Times New Roman"/>
                <w:b w:val="0"/>
                <w:i w:val="0"/>
                <w:color w:val="000000"/>
                <w:sz w:val="20"/>
              </w:rPr>
              <w:t>Environment only; environment plus user dissatisfaction</w:t>
            </w:r>
          </w:p>
        </w:tc>
        <w:tc>
          <w:tcPr>
            <w:tcW w:type="dxa" w:w="3120"/>
          </w:tcPr>
          <w:p>
            <w:pPr>
              <w:spacing w:line="276" w:lineRule="auto"/>
            </w:pPr>
            <w:r/>
            <w:r>
              <w:rPr>
                <w:rFonts w:ascii="Times New Roman" w:hAnsi="Times New Roman" w:eastAsia="Times New Roman"/>
                <w:b w:val="0"/>
                <w:i w:val="0"/>
                <w:color w:val="000000"/>
                <w:sz w:val="20"/>
              </w:rPr>
              <w:t>Instruction-pressure rival</w:t>
            </w:r>
          </w:p>
        </w:tc>
      </w:tr>
      <w:tr>
        <w:tc>
          <w:tcPr>
            <w:tcW w:type="dxa" w:w="3120"/>
          </w:tcPr>
          <w:p>
            <w:pPr>
              <w:spacing w:line="276" w:lineRule="auto"/>
            </w:pPr>
            <w:r/>
            <w:r>
              <w:rPr>
                <w:rFonts w:ascii="Times New Roman" w:hAnsi="Times New Roman" w:eastAsia="Times New Roman"/>
                <w:b w:val="0"/>
                <w:i w:val="0"/>
                <w:color w:val="000000"/>
                <w:sz w:val="20"/>
              </w:rPr>
              <w:t>Governance artifact (Study 2)</w:t>
            </w:r>
          </w:p>
        </w:tc>
        <w:tc>
          <w:tcPr>
            <w:tcW w:type="dxa" w:w="3120"/>
          </w:tcPr>
          <w:p>
            <w:pPr>
              <w:spacing w:line="276" w:lineRule="auto"/>
            </w:pPr>
            <w:r/>
            <w:r>
              <w:rPr>
                <w:rFonts w:ascii="Times New Roman" w:hAnsi="Times New Roman" w:eastAsia="Times New Roman"/>
                <w:b w:val="0"/>
                <w:i w:val="0"/>
                <w:color w:val="000000"/>
                <w:sz w:val="20"/>
              </w:rPr>
              <w:t>None; default exit; stop-loss; confirmation friction; all three</w:t>
            </w:r>
          </w:p>
        </w:tc>
        <w:tc>
          <w:tcPr>
            <w:tcW w:type="dxa" w:w="3120"/>
          </w:tcPr>
          <w:p>
            <w:pPr>
              <w:spacing w:line="276" w:lineRule="auto"/>
            </w:pPr>
            <w:r/>
            <w:r>
              <w:rPr>
                <w:rFonts w:ascii="Times New Roman" w:hAnsi="Times New Roman" w:eastAsia="Times New Roman"/>
                <w:b w:val="0"/>
                <w:i w:val="0"/>
                <w:color w:val="000000"/>
                <w:sz w:val="20"/>
              </w:rPr>
              <w:t>H5</w:t>
            </w:r>
          </w:p>
        </w:tc>
      </w:tr>
    </w:tbl>
    <w:p/>
    <w:p>
      <w:pPr>
        <w:spacing w:line="480" w:lineRule="auto" w:after="0" w:before="0"/>
        <w:ind w:firstLine="720"/>
        <w:jc w:val="both"/>
      </w:pPr>
      <w:r>
        <w:rPr>
          <w:rFonts w:ascii="Times New Roman" w:hAnsi="Times New Roman" w:eastAsia="Times New Roman"/>
          <w:b w:val="0"/>
          <w:i w:val="0"/>
          <w:color w:val="000000"/>
          <w:sz w:val="24"/>
        </w:rPr>
        <w:t>Study 1 crosses history valence, scarcity, and record. Failure-signal source is a separate block. Study 2 crosses governance with the neutral and 8-failure histories under the deadline cue.</w:t>
      </w:r>
    </w:p>
    <w:p>
      <w:pPr>
        <w:pStyle w:val="Heading2"/>
      </w:pPr>
      <w:r>
        <w:rPr>
          <w:rFonts w:ascii="Times New Roman" w:hAnsi="Times New Roman" w:eastAsia="Times New Roman"/>
          <w:b/>
          <w:i w:val="0"/>
          <w:color w:val="000000"/>
          <w:sz w:val="26"/>
        </w:rPr>
        <w:t>4.3 Measurement</w:t>
      </w:r>
    </w:p>
    <w:p>
      <w:pPr>
        <w:spacing w:line="480" w:lineRule="auto" w:after="0" w:before="0"/>
        <w:ind w:firstLine="720"/>
        <w:jc w:val="both"/>
      </w:pPr>
      <w:r>
        <w:rPr>
          <w:rFonts w:ascii="Times New Roman" w:hAnsi="Times New Roman" w:eastAsia="Times New Roman"/>
          <w:b w:val="0"/>
          <w:i w:val="0"/>
          <w:color w:val="000000"/>
          <w:sz w:val="24"/>
        </w:rPr>
        <w:t>Before data collection, three site-reliability engineers, blind to hypotheses, will score every available action on reversibility (1–3), scope of impact (1–3), and compliance with standing instructions (0/1) using a Delphi procedure. Those scores define ex ante risk. Two coders blind to condition will apply a written manual. Preregistered reliability is Krippendorff’s α ≥ 0.80 before full coding. Table 4 states operationalizations.</w:t>
      </w:r>
    </w:p>
    <w:p>
      <w:pPr>
        <w:spacing w:line="480" w:lineRule="auto" w:after="0" w:before="0"/>
        <w:ind w:firstLine="0"/>
      </w:pPr>
      <w:r>
        <w:rPr>
          <w:rFonts w:ascii="Times New Roman" w:hAnsi="Times New Roman" w:eastAsia="Times New Roman"/>
          <w:b/>
          <w:i w:val="0"/>
          <w:color w:val="000000"/>
          <w:sz w:val="22"/>
        </w:rPr>
        <w:t>Table 4. Operationalization of Constructs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color w:val="000000"/>
                <w:sz w:val="20"/>
              </w:rPr>
              <w:t>Construct</w:t>
            </w:r>
          </w:p>
        </w:tc>
        <w:tc>
          <w:tcPr>
            <w:tcW w:type="dxa" w:w="3120"/>
          </w:tcPr>
          <w:p>
            <w:pPr>
              <w:spacing w:line="276" w:lineRule="auto"/>
            </w:pPr>
            <w:r/>
            <w:r>
              <w:rPr>
                <w:rFonts w:ascii="Times New Roman" w:hAnsi="Times New Roman" w:eastAsia="Times New Roman"/>
                <w:b/>
                <w:i w:val="0"/>
                <w:color w:val="000000"/>
                <w:sz w:val="20"/>
              </w:rPr>
              <w:t>Operationalization</w:t>
            </w:r>
          </w:p>
        </w:tc>
        <w:tc>
          <w:tcPr>
            <w:tcW w:type="dxa" w:w="3120"/>
          </w:tcPr>
          <w:p>
            <w:pPr>
              <w:spacing w:line="276" w:lineRule="auto"/>
            </w:pPr>
            <w:r/>
            <w:r>
              <w:rPr>
                <w:rFonts w:ascii="Times New Roman" w:hAnsi="Times New Roman" w:eastAsia="Times New Roman"/>
                <w:b/>
                <w:i w:val="0"/>
                <w:color w:val="000000"/>
                <w:sz w:val="20"/>
              </w:rPr>
              <w:t>Role</w:t>
            </w:r>
          </w:p>
        </w:tc>
      </w:tr>
      <w:tr>
        <w:tc>
          <w:tcPr>
            <w:tcW w:type="dxa" w:w="3120"/>
          </w:tcPr>
          <w:p>
            <w:pPr>
              <w:spacing w:line="276" w:lineRule="auto"/>
            </w:pPr>
            <w:r/>
            <w:r>
              <w:rPr>
                <w:rFonts w:ascii="Times New Roman" w:hAnsi="Times New Roman" w:eastAsia="Times New Roman"/>
                <w:b w:val="0"/>
                <w:i w:val="0"/>
                <w:color w:val="000000"/>
                <w:sz w:val="20"/>
              </w:rPr>
              <w:t>LIDE</w:t>
            </w:r>
          </w:p>
        </w:tc>
        <w:tc>
          <w:tcPr>
            <w:tcW w:type="dxa" w:w="3120"/>
          </w:tcPr>
          <w:p>
            <w:pPr>
              <w:spacing w:line="276" w:lineRule="auto"/>
            </w:pPr>
            <w:r/>
            <w:r>
              <w:rPr>
                <w:rFonts w:ascii="Times New Roman" w:hAnsi="Times New Roman" w:eastAsia="Times New Roman"/>
                <w:b w:val="0"/>
                <w:i w:val="0"/>
                <w:color w:val="000000"/>
                <w:sz w:val="20"/>
              </w:rPr>
              <w:t>After the loss window, mean ex ante action risk exceeds the agent’s baseline in comparable states by a preregistered threshold, and at least one safeguard is omitted</w:t>
            </w:r>
          </w:p>
        </w:tc>
        <w:tc>
          <w:tcPr>
            <w:tcW w:type="dxa" w:w="3120"/>
          </w:tcPr>
          <w:p>
            <w:pPr>
              <w:spacing w:line="276" w:lineRule="auto"/>
            </w:pPr>
            <w:r/>
            <w:r>
              <w:rPr>
                <w:rFonts w:ascii="Times New Roman" w:hAnsi="Times New Roman" w:eastAsia="Times New Roman"/>
                <w:b w:val="0"/>
                <w:i w:val="0"/>
                <w:color w:val="000000"/>
                <w:sz w:val="20"/>
              </w:rPr>
              <w:t>DV (H1–H5)</w:t>
            </w:r>
          </w:p>
        </w:tc>
      </w:tr>
      <w:tr>
        <w:tc>
          <w:tcPr>
            <w:tcW w:type="dxa" w:w="3120"/>
          </w:tcPr>
          <w:p>
            <w:pPr>
              <w:spacing w:line="276" w:lineRule="auto"/>
            </w:pPr>
            <w:r/>
            <w:r>
              <w:rPr>
                <w:rFonts w:ascii="Times New Roman" w:hAnsi="Times New Roman" w:eastAsia="Times New Roman"/>
                <w:b w:val="0"/>
                <w:i w:val="0"/>
                <w:color w:val="000000"/>
                <w:sz w:val="20"/>
              </w:rPr>
              <w:t>Action risk</w:t>
            </w:r>
          </w:p>
        </w:tc>
        <w:tc>
          <w:tcPr>
            <w:tcW w:type="dxa" w:w="3120"/>
          </w:tcPr>
          <w:p>
            <w:pPr>
              <w:spacing w:line="276" w:lineRule="auto"/>
            </w:pPr>
            <w:r/>
            <w:r>
              <w:rPr>
                <w:rFonts w:ascii="Times New Roman" w:hAnsi="Times New Roman" w:eastAsia="Times New Roman"/>
                <w:b w:val="0"/>
                <w:i w:val="0"/>
                <w:color w:val="000000"/>
                <w:sz w:val="20"/>
              </w:rPr>
              <w:t>Mean taxonomy score of chosen actions</w:t>
            </w:r>
          </w:p>
        </w:tc>
        <w:tc>
          <w:tcPr>
            <w:tcW w:type="dxa" w:w="3120"/>
          </w:tcPr>
          <w:p>
            <w:pPr>
              <w:spacing w:line="276" w:lineRule="auto"/>
            </w:pPr>
            <w:r/>
            <w:r>
              <w:rPr>
                <w:rFonts w:ascii="Times New Roman" w:hAnsi="Times New Roman" w:eastAsia="Times New Roman"/>
                <w:b w:val="0"/>
                <w:i w:val="0"/>
                <w:color w:val="000000"/>
                <w:sz w:val="20"/>
              </w:rPr>
              <w:t>Continuous outcome (H2)</w:t>
            </w:r>
          </w:p>
        </w:tc>
      </w:tr>
      <w:tr>
        <w:tc>
          <w:tcPr>
            <w:tcW w:type="dxa" w:w="3120"/>
          </w:tcPr>
          <w:p>
            <w:pPr>
              <w:spacing w:line="276" w:lineRule="auto"/>
            </w:pPr>
            <w:r/>
            <w:r>
              <w:rPr>
                <w:rFonts w:ascii="Times New Roman" w:hAnsi="Times New Roman" w:eastAsia="Times New Roman"/>
                <w:b w:val="0"/>
                <w:i w:val="0"/>
                <w:color w:val="000000"/>
                <w:sz w:val="20"/>
              </w:rPr>
              <w:t>Peripheral constraint violation</w:t>
            </w:r>
          </w:p>
        </w:tc>
        <w:tc>
          <w:tcPr>
            <w:tcW w:type="dxa" w:w="3120"/>
          </w:tcPr>
          <w:p>
            <w:pPr>
              <w:spacing w:line="276" w:lineRule="auto"/>
            </w:pPr>
            <w:r/>
            <w:r>
              <w:rPr>
                <w:rFonts w:ascii="Times New Roman" w:hAnsi="Times New Roman" w:eastAsia="Times New Roman"/>
                <w:b w:val="0"/>
                <w:i w:val="0"/>
                <w:color w:val="000000"/>
                <w:sz w:val="20"/>
              </w:rPr>
              <w:t>Breach of safety rules or prior instructions unrelated to the core objective</w:t>
            </w:r>
          </w:p>
        </w:tc>
        <w:tc>
          <w:tcPr>
            <w:tcW w:type="dxa" w:w="3120"/>
          </w:tcPr>
          <w:p>
            <w:pPr>
              <w:spacing w:line="276" w:lineRule="auto"/>
            </w:pPr>
            <w:r/>
            <w:r>
              <w:rPr>
                <w:rFonts w:ascii="Times New Roman" w:hAnsi="Times New Roman" w:eastAsia="Times New Roman"/>
                <w:b w:val="0"/>
                <w:i w:val="0"/>
                <w:color w:val="000000"/>
                <w:sz w:val="20"/>
              </w:rPr>
              <w:t>DV (H3b)</w:t>
            </w:r>
          </w:p>
        </w:tc>
      </w:tr>
      <w:tr>
        <w:tc>
          <w:tcPr>
            <w:tcW w:type="dxa" w:w="3120"/>
          </w:tcPr>
          <w:p>
            <w:pPr>
              <w:spacing w:line="276" w:lineRule="auto"/>
            </w:pPr>
            <w:r/>
            <w:r>
              <w:rPr>
                <w:rFonts w:ascii="Times New Roman" w:hAnsi="Times New Roman" w:eastAsia="Times New Roman"/>
                <w:b w:val="0"/>
                <w:i w:val="0"/>
                <w:color w:val="000000"/>
                <w:sz w:val="20"/>
              </w:rPr>
              <w:t>Core task performance</w:t>
            </w:r>
          </w:p>
        </w:tc>
        <w:tc>
          <w:tcPr>
            <w:tcW w:type="dxa" w:w="3120"/>
          </w:tcPr>
          <w:p>
            <w:pPr>
              <w:spacing w:line="276" w:lineRule="auto"/>
            </w:pPr>
            <w:r/>
            <w:r>
              <w:rPr>
                <w:rFonts w:ascii="Times New Roman" w:hAnsi="Times New Roman" w:eastAsia="Times New Roman"/>
                <w:b w:val="0"/>
                <w:i w:val="0"/>
                <w:color w:val="000000"/>
                <w:sz w:val="20"/>
              </w:rPr>
              <w:t>Progress on the primary objective, scored independently of compliance</w:t>
            </w:r>
          </w:p>
        </w:tc>
        <w:tc>
          <w:tcPr>
            <w:tcW w:type="dxa" w:w="3120"/>
          </w:tcPr>
          <w:p>
            <w:pPr>
              <w:spacing w:line="276" w:lineRule="auto"/>
            </w:pPr>
            <w:r/>
            <w:r>
              <w:rPr>
                <w:rFonts w:ascii="Times New Roman" w:hAnsi="Times New Roman" w:eastAsia="Times New Roman"/>
                <w:b w:val="0"/>
                <w:i w:val="0"/>
                <w:color w:val="000000"/>
                <w:sz w:val="20"/>
              </w:rPr>
              <w:t>Comparison (H3b)</w:t>
            </w:r>
          </w:p>
        </w:tc>
      </w:tr>
      <w:tr>
        <w:tc>
          <w:tcPr>
            <w:tcW w:type="dxa" w:w="3120"/>
          </w:tcPr>
          <w:p>
            <w:pPr>
              <w:spacing w:line="276" w:lineRule="auto"/>
            </w:pPr>
            <w:r/>
            <w:r>
              <w:rPr>
                <w:rFonts w:ascii="Times New Roman" w:hAnsi="Times New Roman" w:eastAsia="Times New Roman"/>
                <w:b w:val="0"/>
                <w:i w:val="0"/>
                <w:color w:val="000000"/>
                <w:sz w:val="20"/>
              </w:rPr>
              <w:t>Break-even seeking</w:t>
            </w:r>
          </w:p>
        </w:tc>
        <w:tc>
          <w:tcPr>
            <w:tcW w:type="dxa" w:w="3120"/>
          </w:tcPr>
          <w:p>
            <w:pPr>
              <w:spacing w:line="276" w:lineRule="auto"/>
            </w:pPr>
            <w:r/>
            <w:r>
              <w:rPr>
                <w:rFonts w:ascii="Times New Roman" w:hAnsi="Times New Roman" w:eastAsia="Times New Roman"/>
                <w:b w:val="0"/>
                <w:i w:val="0"/>
                <w:color w:val="000000"/>
                <w:sz w:val="20"/>
              </w:rPr>
              <w:t>Share of steps that repeat a previously failed approach with increased intensity</w:t>
            </w:r>
          </w:p>
        </w:tc>
        <w:tc>
          <w:tcPr>
            <w:tcW w:type="dxa" w:w="3120"/>
          </w:tcPr>
          <w:p>
            <w:pPr>
              <w:spacing w:line="276" w:lineRule="auto"/>
            </w:pPr>
            <w:r/>
            <w:r>
              <w:rPr>
                <w:rFonts w:ascii="Times New Roman" w:hAnsi="Times New Roman" w:eastAsia="Times New Roman"/>
                <w:b w:val="0"/>
                <w:i w:val="0"/>
                <w:color w:val="000000"/>
                <w:sz w:val="20"/>
              </w:rPr>
              <w:t>Mechanism check (H4)</w:t>
            </w:r>
          </w:p>
        </w:tc>
      </w:tr>
      <w:tr>
        <w:tc>
          <w:tcPr>
            <w:tcW w:type="dxa" w:w="3120"/>
          </w:tcPr>
          <w:p>
            <w:pPr>
              <w:spacing w:line="276" w:lineRule="auto"/>
            </w:pPr>
            <w:r/>
            <w:r>
              <w:rPr>
                <w:rFonts w:ascii="Times New Roman" w:hAnsi="Times New Roman" w:eastAsia="Times New Roman"/>
                <w:b w:val="0"/>
                <w:i w:val="0"/>
                <w:color w:val="000000"/>
                <w:sz w:val="20"/>
              </w:rPr>
              <w:t>Expressed affect</w:t>
            </w:r>
          </w:p>
        </w:tc>
        <w:tc>
          <w:tcPr>
            <w:tcW w:type="dxa" w:w="3120"/>
          </w:tcPr>
          <w:p>
            <w:pPr>
              <w:spacing w:line="276" w:lineRule="auto"/>
            </w:pPr>
            <w:r/>
            <w:r>
              <w:rPr>
                <w:rFonts w:ascii="Times New Roman" w:hAnsi="Times New Roman" w:eastAsia="Times New Roman"/>
                <w:b w:val="0"/>
                <w:i w:val="0"/>
                <w:color w:val="000000"/>
                <w:sz w:val="20"/>
              </w:rPr>
              <w:t>Blind ratings of emotion in the agent’s text</w:t>
            </w:r>
          </w:p>
        </w:tc>
        <w:tc>
          <w:tcPr>
            <w:tcW w:type="dxa" w:w="3120"/>
          </w:tcPr>
          <w:p>
            <w:pPr>
              <w:spacing w:line="276" w:lineRule="auto"/>
            </w:pPr>
            <w:r/>
            <w:r>
              <w:rPr>
                <w:rFonts w:ascii="Times New Roman" w:hAnsi="Times New Roman" w:eastAsia="Times New Roman"/>
                <w:b w:val="0"/>
                <w:i w:val="0"/>
                <w:color w:val="000000"/>
                <w:sz w:val="20"/>
              </w:rPr>
              <w:t>Input to Proposition 1; not a defining feature of LIDE</w:t>
            </w:r>
          </w:p>
        </w:tc>
      </w:tr>
      <w:tr>
        <w:tc>
          <w:tcPr>
            <w:tcW w:type="dxa" w:w="3120"/>
          </w:tcPr>
          <w:p>
            <w:pPr>
              <w:spacing w:line="276" w:lineRule="auto"/>
            </w:pPr>
            <w:r/>
            <w:r>
              <w:rPr>
                <w:rFonts w:ascii="Times New Roman" w:hAnsi="Times New Roman" w:eastAsia="Times New Roman"/>
                <w:b w:val="0"/>
                <w:i w:val="0"/>
                <w:color w:val="000000"/>
                <w:sz w:val="20"/>
              </w:rPr>
              <w:t>Internal pressure</w:t>
            </w:r>
          </w:p>
        </w:tc>
        <w:tc>
          <w:tcPr>
            <w:tcW w:type="dxa" w:w="3120"/>
          </w:tcPr>
          <w:p>
            <w:pPr>
              <w:spacing w:line="276" w:lineRule="auto"/>
            </w:pPr>
            <w:r/>
            <w:r>
              <w:rPr>
                <w:rFonts w:ascii="Times New Roman" w:hAnsi="Times New Roman" w:eastAsia="Times New Roman"/>
                <w:b w:val="0"/>
                <w:i w:val="0"/>
                <w:color w:val="000000"/>
                <w:sz w:val="20"/>
              </w:rPr>
              <w:t>Projection of activations onto a probed pressure direction in open-weight models</w:t>
            </w:r>
          </w:p>
        </w:tc>
        <w:tc>
          <w:tcPr>
            <w:tcW w:type="dxa" w:w="3120"/>
          </w:tcPr>
          <w:p>
            <w:pPr>
              <w:spacing w:line="276" w:lineRule="auto"/>
            </w:pPr>
            <w:r/>
            <w:r>
              <w:rPr>
                <w:rFonts w:ascii="Times New Roman" w:hAnsi="Times New Roman" w:eastAsia="Times New Roman"/>
                <w:b w:val="0"/>
                <w:i w:val="0"/>
                <w:color w:val="000000"/>
                <w:sz w:val="20"/>
              </w:rPr>
              <w:t>E1</w:t>
            </w:r>
          </w:p>
        </w:tc>
      </w:tr>
    </w:tbl>
    <w:p/>
    <w:p>
      <w:pPr>
        <w:spacing w:line="480" w:lineRule="auto" w:after="0" w:before="0"/>
        <w:ind w:firstLine="720"/>
        <w:jc w:val="both"/>
      </w:pPr>
      <w:r>
        <w:rPr>
          <w:rFonts w:ascii="Times New Roman" w:hAnsi="Times New Roman" w:eastAsia="Times New Roman"/>
          <w:b w:val="0"/>
          <w:i w:val="0"/>
          <w:color w:val="000000"/>
          <w:sz w:val="24"/>
        </w:rPr>
        <w:t>Robustness checks will vary the LIDE threshold and replace the binary classification with the continuous risk score. Error rate and action risk are coded separately so that H1 cannot be confirmed by mere incompetence.</w:t>
      </w:r>
    </w:p>
    <w:p>
      <w:pPr>
        <w:pStyle w:val="Heading2"/>
      </w:pPr>
      <w:r>
        <w:rPr>
          <w:rFonts w:ascii="Times New Roman" w:hAnsi="Times New Roman" w:eastAsia="Times New Roman"/>
          <w:b/>
          <w:i w:val="0"/>
          <w:color w:val="000000"/>
          <w:sz w:val="26"/>
        </w:rPr>
        <w:t>4.4 Analysis</w:t>
      </w:r>
    </w:p>
    <w:p>
      <w:pPr>
        <w:spacing w:line="480" w:lineRule="auto" w:after="0" w:before="0"/>
        <w:ind w:firstLine="720"/>
        <w:jc w:val="both"/>
      </w:pPr>
      <w:r>
        <w:rPr>
          <w:rFonts w:ascii="Times New Roman" w:hAnsi="Times New Roman" w:eastAsia="Times New Roman"/>
          <w:b w:val="0"/>
          <w:i w:val="0"/>
          <w:color w:val="000000"/>
          <w:sz w:val="24"/>
        </w:rPr>
        <w:t>The primary model is a mixed-effects logistic regression with random intercepts for model and task:</w:t>
      </w:r>
    </w:p>
    <w:p>
      <w:pPr>
        <w:spacing w:line="480" w:lineRule="auto" w:after="0" w:before="0"/>
        <w:jc w:val="center"/>
      </w:pPr>
      <w:r>
        <w:rPr>
          <w:rFonts w:ascii="Times New Roman" w:hAnsi="Times New Roman" w:eastAsia="Times New Roman"/>
          <w:b w:val="0"/>
          <w:i w:val="0"/>
          <w:color w:val="000000"/>
          <w:sz w:val="24"/>
        </w:rPr>
        <w:t>logit(P(LIDE_ijk)) = β0 + β1 Loss_i + β2 Scarcity_i + β3 Record_i + β4 (Loss × Scarcity)_i + β5 (Loss × Record)_i + β6 Generation_j + u_j + v_k</w:t>
      </w:r>
    </w:p>
    <w:p>
      <w:pPr>
        <w:spacing w:line="480" w:lineRule="auto" w:after="0" w:before="0"/>
        <w:ind w:firstLine="720"/>
        <w:jc w:val="both"/>
      </w:pPr>
      <w:r>
        <w:rPr>
          <w:rFonts w:ascii="Times New Roman" w:hAnsi="Times New Roman" w:eastAsia="Times New Roman"/>
          <w:b w:val="0"/>
          <w:i w:val="0"/>
          <w:color w:val="000000"/>
          <w:sz w:val="24"/>
        </w:rPr>
        <w:t>The threshold in H1 is tested with segmented regression on Loss. H2 is a planned contrast of success versus neutral histories on continuous action risk. H3b uses event-history analysis on time to first peripheral violation versus time to first drop in core performance. H5 is tested as Loss × artifact interactions. Hypotheses, exclusion rules, the taxonomy, the coding manual, and sample size will be preregistered before live-agent collection.</w:t>
      </w:r>
    </w:p>
    <w:p>
      <w:pPr>
        <w:pStyle w:val="Heading2"/>
      </w:pPr>
      <w:r>
        <w:rPr>
          <w:rFonts w:ascii="Times New Roman" w:hAnsi="Times New Roman" w:eastAsia="Times New Roman"/>
          <w:b/>
          <w:i w:val="0"/>
          <w:color w:val="000000"/>
          <w:sz w:val="26"/>
        </w:rPr>
        <w:t>4.5 What Has Been Validated: The Harness, Not the Theory</w:t>
      </w:r>
    </w:p>
    <w:p>
      <w:pPr>
        <w:spacing w:line="480" w:lineRule="auto" w:after="0" w:before="0"/>
        <w:ind w:firstLine="720"/>
        <w:jc w:val="both"/>
      </w:pPr>
      <w:r>
        <w:rPr>
          <w:rFonts w:ascii="Times New Roman" w:hAnsi="Times New Roman" w:eastAsia="Times New Roman"/>
          <w:b w:val="0"/>
          <w:i w:val="0"/>
          <w:color w:val="000000"/>
          <w:sz w:val="24"/>
        </w:rPr>
        <w:t>Before any claim about LLM agents, the harness was run on two scripted agents whose policies are known and do not depend on experimental condition. The honest agent verifies the failure, consults the specification, queries the operator, and exits by reporting that the ticket cannot be completed. The escalating agent special-cases the contested test in the coding environment and, in operations, runs a production migration and disables the failing alert, then reports completion. This is a known-groups check of the measures.</w:t>
      </w:r>
    </w:p>
    <w:p>
      <w:pPr>
        <w:spacing w:line="480" w:lineRule="auto" w:after="0" w:before="0"/>
        <w:ind w:firstLine="720"/>
        <w:jc w:val="both"/>
      </w:pPr>
      <w:r>
        <w:rPr>
          <w:rFonts w:ascii="Times New Roman" w:hAnsi="Times New Roman" w:eastAsia="Times New Roman"/>
          <w:b w:val="0"/>
          <w:i w:val="0"/>
          <w:color w:val="000000"/>
          <w:sz w:val="24"/>
        </w:rPr>
        <w:t>The full factorial skeleton (Studies 1 and 2, 72 cells, 10 repetitions per cell and agent) produced 1,440 episodes with no execution errors. Table 5 shows that every escalation-related indicator was zero for the honest agent and positive for the escalating agent. The honest agent used the operator query and the honest exit in every episode.</w:t>
      </w:r>
    </w:p>
    <w:p>
      <w:pPr>
        <w:spacing w:line="480" w:lineRule="auto" w:after="0" w:before="0"/>
        <w:ind w:firstLine="0"/>
      </w:pPr>
      <w:r>
        <w:rPr>
          <w:rFonts w:ascii="Times New Roman" w:hAnsi="Times New Roman" w:eastAsia="Times New Roman"/>
          <w:b/>
          <w:i w:val="0"/>
          <w:color w:val="000000"/>
          <w:sz w:val="22"/>
        </w:rPr>
        <w:t>Table 5. Known-Groups Validation of Measures (Means Across 360 Episodes per Row)</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line="276" w:lineRule="auto"/>
            </w:pPr>
            <w:r/>
            <w:r>
              <w:rPr>
                <w:rFonts w:ascii="Times New Roman" w:hAnsi="Times New Roman" w:eastAsia="Times New Roman"/>
                <w:b/>
                <w:i w:val="0"/>
                <w:color w:val="000000"/>
                <w:sz w:val="20"/>
              </w:rPr>
              <w:t>Agent</w:t>
            </w:r>
          </w:p>
        </w:tc>
        <w:tc>
          <w:tcPr>
            <w:tcW w:type="dxa" w:w="936"/>
          </w:tcPr>
          <w:p>
            <w:pPr>
              <w:spacing w:line="276" w:lineRule="auto"/>
            </w:pPr>
            <w:r/>
            <w:r>
              <w:rPr>
                <w:rFonts w:ascii="Times New Roman" w:hAnsi="Times New Roman" w:eastAsia="Times New Roman"/>
                <w:b/>
                <w:i w:val="0"/>
                <w:color w:val="000000"/>
                <w:sz w:val="20"/>
              </w:rPr>
              <w:t>Environment</w:t>
            </w:r>
          </w:p>
        </w:tc>
        <w:tc>
          <w:tcPr>
            <w:tcW w:type="dxa" w:w="936"/>
          </w:tcPr>
          <w:p>
            <w:pPr>
              <w:spacing w:line="276" w:lineRule="auto"/>
            </w:pPr>
            <w:r/>
            <w:r>
              <w:rPr>
                <w:rFonts w:ascii="Times New Roman" w:hAnsi="Times New Roman" w:eastAsia="Times New Roman"/>
                <w:b/>
                <w:i w:val="0"/>
                <w:color w:val="000000"/>
                <w:sz w:val="20"/>
              </w:rPr>
              <w:t>Mean risk</w:t>
            </w:r>
          </w:p>
        </w:tc>
        <w:tc>
          <w:tcPr>
            <w:tcW w:type="dxa" w:w="936"/>
          </w:tcPr>
          <w:p>
            <w:pPr>
              <w:spacing w:line="276" w:lineRule="auto"/>
            </w:pPr>
            <w:r/>
            <w:r>
              <w:rPr>
                <w:rFonts w:ascii="Times New Roman" w:hAnsi="Times New Roman" w:eastAsia="Times New Roman"/>
                <w:b/>
                <w:i w:val="0"/>
                <w:color w:val="000000"/>
                <w:sz w:val="20"/>
              </w:rPr>
              <w:t>Max risk</w:t>
            </w:r>
          </w:p>
        </w:tc>
        <w:tc>
          <w:tcPr>
            <w:tcW w:type="dxa" w:w="936"/>
          </w:tcPr>
          <w:p>
            <w:pPr>
              <w:spacing w:line="276" w:lineRule="auto"/>
            </w:pPr>
            <w:r/>
            <w:r>
              <w:rPr>
                <w:rFonts w:ascii="Times New Roman" w:hAnsi="Times New Roman" w:eastAsia="Times New Roman"/>
                <w:b/>
                <w:i w:val="0"/>
                <w:color w:val="000000"/>
                <w:sz w:val="20"/>
              </w:rPr>
              <w:t>Reward hack</w:t>
            </w:r>
          </w:p>
        </w:tc>
        <w:tc>
          <w:tcPr>
            <w:tcW w:type="dxa" w:w="936"/>
          </w:tcPr>
          <w:p>
            <w:pPr>
              <w:spacing w:line="276" w:lineRule="auto"/>
            </w:pPr>
            <w:r/>
            <w:r>
              <w:rPr>
                <w:rFonts w:ascii="Times New Roman" w:hAnsi="Times New Roman" w:eastAsia="Times New Roman"/>
                <w:b/>
                <w:i w:val="0"/>
                <w:color w:val="000000"/>
                <w:sz w:val="20"/>
              </w:rPr>
              <w:t>False completion</w:t>
            </w:r>
          </w:p>
        </w:tc>
        <w:tc>
          <w:tcPr>
            <w:tcW w:type="dxa" w:w="936"/>
          </w:tcPr>
          <w:p>
            <w:pPr>
              <w:spacing w:line="276" w:lineRule="auto"/>
            </w:pPr>
            <w:r/>
            <w:r>
              <w:rPr>
                <w:rFonts w:ascii="Times New Roman" w:hAnsi="Times New Roman" w:eastAsia="Times New Roman"/>
                <w:b/>
                <w:i w:val="0"/>
                <w:color w:val="000000"/>
                <w:sz w:val="20"/>
              </w:rPr>
              <w:t>Honest exit</w:t>
            </w:r>
          </w:p>
        </w:tc>
        <w:tc>
          <w:tcPr>
            <w:tcW w:type="dxa" w:w="936"/>
          </w:tcPr>
          <w:p>
            <w:pPr>
              <w:spacing w:line="276" w:lineRule="auto"/>
            </w:pPr>
            <w:r/>
            <w:r>
              <w:rPr>
                <w:rFonts w:ascii="Times New Roman" w:hAnsi="Times New Roman" w:eastAsia="Times New Roman"/>
                <w:b/>
                <w:i w:val="0"/>
                <w:color w:val="000000"/>
                <w:sz w:val="20"/>
              </w:rPr>
              <w:t>Asked operator</w:t>
            </w:r>
          </w:p>
        </w:tc>
        <w:tc>
          <w:tcPr>
            <w:tcW w:type="dxa" w:w="936"/>
          </w:tcPr>
          <w:p>
            <w:pPr>
              <w:spacing w:line="276" w:lineRule="auto"/>
            </w:pPr>
            <w:r/>
            <w:r>
              <w:rPr>
                <w:rFonts w:ascii="Times New Roman" w:hAnsi="Times New Roman" w:eastAsia="Times New Roman"/>
                <w:b/>
                <w:i w:val="0"/>
                <w:color w:val="000000"/>
                <w:sz w:val="20"/>
              </w:rPr>
              <w:t>Damage</w:t>
            </w:r>
          </w:p>
        </w:tc>
        <w:tc>
          <w:tcPr>
            <w:tcW w:type="dxa" w:w="936"/>
          </w:tcPr>
          <w:p>
            <w:pPr>
              <w:spacing w:line="276" w:lineRule="auto"/>
            </w:pPr>
            <w:r/>
            <w:r>
              <w:rPr>
                <w:rFonts w:ascii="Times New Roman" w:hAnsi="Times New Roman" w:eastAsia="Times New Roman"/>
                <w:b/>
                <w:i w:val="0"/>
                <w:color w:val="000000"/>
                <w:sz w:val="20"/>
              </w:rPr>
              <w:t>Rule violations</w:t>
            </w:r>
          </w:p>
        </w:tc>
      </w:tr>
      <w:tr>
        <w:tc>
          <w:tcPr>
            <w:tcW w:type="dxa" w:w="936"/>
          </w:tcPr>
          <w:p>
            <w:pPr>
              <w:spacing w:line="276" w:lineRule="auto"/>
            </w:pPr>
            <w:r/>
            <w:r>
              <w:rPr>
                <w:rFonts w:ascii="Times New Roman" w:hAnsi="Times New Roman" w:eastAsia="Times New Roman"/>
                <w:b w:val="0"/>
                <w:i w:val="0"/>
                <w:color w:val="000000"/>
                <w:sz w:val="20"/>
              </w:rPr>
              <w:t>Escalating</w:t>
            </w:r>
          </w:p>
        </w:tc>
        <w:tc>
          <w:tcPr>
            <w:tcW w:type="dxa" w:w="936"/>
          </w:tcPr>
          <w:p>
            <w:pPr>
              <w:spacing w:line="276" w:lineRule="auto"/>
            </w:pPr>
            <w:r/>
            <w:r>
              <w:rPr>
                <w:rFonts w:ascii="Times New Roman" w:hAnsi="Times New Roman" w:eastAsia="Times New Roman"/>
                <w:b w:val="0"/>
                <w:i w:val="0"/>
                <w:color w:val="000000"/>
                <w:sz w:val="20"/>
              </w:rPr>
              <w:t>Coding</w:t>
            </w:r>
          </w:p>
        </w:tc>
        <w:tc>
          <w:tcPr>
            <w:tcW w:type="dxa" w:w="936"/>
          </w:tcPr>
          <w:p>
            <w:pPr>
              <w:spacing w:line="276" w:lineRule="auto"/>
            </w:pPr>
            <w:r/>
            <w:r>
              <w:rPr>
                <w:rFonts w:ascii="Times New Roman" w:hAnsi="Times New Roman" w:eastAsia="Times New Roman"/>
                <w:b w:val="0"/>
                <w:i w:val="0"/>
                <w:color w:val="000000"/>
                <w:sz w:val="20"/>
              </w:rPr>
              <w:t>0.162</w:t>
            </w:r>
          </w:p>
        </w:tc>
        <w:tc>
          <w:tcPr>
            <w:tcW w:type="dxa" w:w="936"/>
          </w:tcPr>
          <w:p>
            <w:pPr>
              <w:spacing w:line="276" w:lineRule="auto"/>
            </w:pPr>
            <w:r/>
            <w:r>
              <w:rPr>
                <w:rFonts w:ascii="Times New Roman" w:hAnsi="Times New Roman" w:eastAsia="Times New Roman"/>
                <w:b w:val="0"/>
                <w:i w:val="0"/>
                <w:color w:val="000000"/>
                <w:sz w:val="20"/>
              </w:rPr>
              <w:t>0.65</w:t>
            </w:r>
          </w:p>
        </w:tc>
        <w:tc>
          <w:tcPr>
            <w:tcW w:type="dxa" w:w="936"/>
          </w:tcPr>
          <w:p>
            <w:pPr>
              <w:spacing w:line="276" w:lineRule="auto"/>
            </w:pPr>
            <w:r/>
            <w:r>
              <w:rPr>
                <w:rFonts w:ascii="Times New Roman" w:hAnsi="Times New Roman" w:eastAsia="Times New Roman"/>
                <w:b w:val="0"/>
                <w:i w:val="0"/>
                <w:color w:val="000000"/>
                <w:sz w:val="20"/>
              </w:rPr>
              <w:t>1.00</w:t>
            </w:r>
          </w:p>
        </w:tc>
        <w:tc>
          <w:tcPr>
            <w:tcW w:type="dxa" w:w="936"/>
          </w:tcPr>
          <w:p>
            <w:pPr>
              <w:spacing w:line="276" w:lineRule="auto"/>
            </w:pPr>
            <w:r/>
            <w:r>
              <w:rPr>
                <w:rFonts w:ascii="Times New Roman" w:hAnsi="Times New Roman" w:eastAsia="Times New Roman"/>
                <w:b w:val="0"/>
                <w:i w:val="0"/>
                <w:color w:val="000000"/>
                <w:sz w:val="20"/>
              </w:rPr>
              <w:t>1.00</w:t>
            </w:r>
          </w:p>
        </w:tc>
        <w:tc>
          <w:tcPr>
            <w:tcW w:type="dxa" w:w="936"/>
          </w:tcPr>
          <w:p>
            <w:pPr>
              <w:spacing w:line="276" w:lineRule="auto"/>
            </w:pPr>
            <w:r/>
            <w:r>
              <w:rPr>
                <w:rFonts w:ascii="Times New Roman" w:hAnsi="Times New Roman" w:eastAsia="Times New Roman"/>
                <w:b w:val="0"/>
                <w:i w:val="0"/>
                <w:color w:val="000000"/>
                <w:sz w:val="20"/>
              </w:rPr>
              <w:t>0.00</w:t>
            </w:r>
          </w:p>
        </w:tc>
        <w:tc>
          <w:tcPr>
            <w:tcW w:type="dxa" w:w="936"/>
          </w:tcPr>
          <w:p>
            <w:pPr>
              <w:spacing w:line="276" w:lineRule="auto"/>
            </w:pPr>
            <w:r/>
            <w:r>
              <w:rPr>
                <w:rFonts w:ascii="Times New Roman" w:hAnsi="Times New Roman" w:eastAsia="Times New Roman"/>
                <w:b w:val="0"/>
                <w:i w:val="0"/>
                <w:color w:val="000000"/>
                <w:sz w:val="20"/>
              </w:rPr>
              <w:t>0.00</w:t>
            </w:r>
          </w:p>
        </w:tc>
        <w:tc>
          <w:tcPr>
            <w:tcW w:type="dxa" w:w="936"/>
          </w:tcPr>
          <w:p>
            <w:pPr>
              <w:spacing w:line="276" w:lineRule="auto"/>
            </w:pPr>
            <w:r/>
            <w:r>
              <w:rPr>
                <w:rFonts w:ascii="Times New Roman" w:hAnsi="Times New Roman" w:eastAsia="Times New Roman"/>
                <w:b w:val="0"/>
                <w:i w:val="0"/>
                <w:color w:val="000000"/>
                <w:sz w:val="20"/>
              </w:rPr>
              <w:t>1.0</w:t>
            </w:r>
          </w:p>
        </w:tc>
        <w:tc>
          <w:tcPr>
            <w:tcW w:type="dxa" w:w="936"/>
          </w:tcPr>
          <w:p>
            <w:pPr>
              <w:spacing w:line="276" w:lineRule="auto"/>
            </w:pPr>
            <w:r/>
            <w:r>
              <w:rPr>
                <w:rFonts w:ascii="Times New Roman" w:hAnsi="Times New Roman" w:eastAsia="Times New Roman"/>
                <w:b w:val="0"/>
                <w:i w:val="0"/>
                <w:color w:val="000000"/>
                <w:sz w:val="20"/>
              </w:rPr>
              <w:t>1.0</w:t>
            </w:r>
          </w:p>
        </w:tc>
      </w:tr>
      <w:tr>
        <w:tc>
          <w:tcPr>
            <w:tcW w:type="dxa" w:w="936"/>
          </w:tcPr>
          <w:p>
            <w:pPr>
              <w:spacing w:line="276" w:lineRule="auto"/>
            </w:pPr>
            <w:r/>
            <w:r>
              <w:rPr>
                <w:rFonts w:ascii="Times New Roman" w:hAnsi="Times New Roman" w:eastAsia="Times New Roman"/>
                <w:b w:val="0"/>
                <w:i w:val="0"/>
                <w:color w:val="000000"/>
                <w:sz w:val="20"/>
              </w:rPr>
              <w:t>Escalating</w:t>
            </w:r>
          </w:p>
        </w:tc>
        <w:tc>
          <w:tcPr>
            <w:tcW w:type="dxa" w:w="936"/>
          </w:tcPr>
          <w:p>
            <w:pPr>
              <w:spacing w:line="276" w:lineRule="auto"/>
            </w:pPr>
            <w:r/>
            <w:r>
              <w:rPr>
                <w:rFonts w:ascii="Times New Roman" w:hAnsi="Times New Roman" w:eastAsia="Times New Roman"/>
                <w:b w:val="0"/>
                <w:i w:val="0"/>
                <w:color w:val="000000"/>
                <w:sz w:val="20"/>
              </w:rPr>
              <w:t>Operations</w:t>
            </w:r>
          </w:p>
        </w:tc>
        <w:tc>
          <w:tcPr>
            <w:tcW w:type="dxa" w:w="936"/>
          </w:tcPr>
          <w:p>
            <w:pPr>
              <w:spacing w:line="276" w:lineRule="auto"/>
            </w:pPr>
            <w:r/>
            <w:r>
              <w:rPr>
                <w:rFonts w:ascii="Times New Roman" w:hAnsi="Times New Roman" w:eastAsia="Times New Roman"/>
                <w:b w:val="0"/>
                <w:i w:val="0"/>
                <w:color w:val="000000"/>
                <w:sz w:val="20"/>
              </w:rPr>
              <w:t>0.360</w:t>
            </w:r>
          </w:p>
        </w:tc>
        <w:tc>
          <w:tcPr>
            <w:tcW w:type="dxa" w:w="936"/>
          </w:tcPr>
          <w:p>
            <w:pPr>
              <w:spacing w:line="276" w:lineRule="auto"/>
            </w:pPr>
            <w:r/>
            <w:r>
              <w:rPr>
                <w:rFonts w:ascii="Times New Roman" w:hAnsi="Times New Roman" w:eastAsia="Times New Roman"/>
                <w:b w:val="0"/>
                <w:i w:val="0"/>
                <w:color w:val="000000"/>
                <w:sz w:val="20"/>
              </w:rPr>
              <w:t>1.00</w:t>
            </w:r>
          </w:p>
        </w:tc>
        <w:tc>
          <w:tcPr>
            <w:tcW w:type="dxa" w:w="936"/>
          </w:tcPr>
          <w:p>
            <w:pPr>
              <w:spacing w:line="276" w:lineRule="auto"/>
            </w:pPr>
            <w:r/>
            <w:r>
              <w:rPr>
                <w:rFonts w:ascii="Times New Roman" w:hAnsi="Times New Roman" w:eastAsia="Times New Roman"/>
                <w:b w:val="0"/>
                <w:i w:val="0"/>
                <w:color w:val="000000"/>
                <w:sz w:val="20"/>
              </w:rPr>
              <w:t>1.00</w:t>
            </w:r>
          </w:p>
        </w:tc>
        <w:tc>
          <w:tcPr>
            <w:tcW w:type="dxa" w:w="936"/>
          </w:tcPr>
          <w:p>
            <w:pPr>
              <w:spacing w:line="276" w:lineRule="auto"/>
            </w:pPr>
            <w:r/>
            <w:r>
              <w:rPr>
                <w:rFonts w:ascii="Times New Roman" w:hAnsi="Times New Roman" w:eastAsia="Times New Roman"/>
                <w:b w:val="0"/>
                <w:i w:val="0"/>
                <w:color w:val="000000"/>
                <w:sz w:val="20"/>
              </w:rPr>
              <w:t>1.00</w:t>
            </w:r>
          </w:p>
        </w:tc>
        <w:tc>
          <w:tcPr>
            <w:tcW w:type="dxa" w:w="936"/>
          </w:tcPr>
          <w:p>
            <w:pPr>
              <w:spacing w:line="276" w:lineRule="auto"/>
            </w:pPr>
            <w:r/>
            <w:r>
              <w:rPr>
                <w:rFonts w:ascii="Times New Roman" w:hAnsi="Times New Roman" w:eastAsia="Times New Roman"/>
                <w:b w:val="0"/>
                <w:i w:val="0"/>
                <w:color w:val="000000"/>
                <w:sz w:val="20"/>
              </w:rPr>
              <w:t>0.00</w:t>
            </w:r>
          </w:p>
        </w:tc>
        <w:tc>
          <w:tcPr>
            <w:tcW w:type="dxa" w:w="936"/>
          </w:tcPr>
          <w:p>
            <w:pPr>
              <w:spacing w:line="276" w:lineRule="auto"/>
            </w:pPr>
            <w:r/>
            <w:r>
              <w:rPr>
                <w:rFonts w:ascii="Times New Roman" w:hAnsi="Times New Roman" w:eastAsia="Times New Roman"/>
                <w:b w:val="0"/>
                <w:i w:val="0"/>
                <w:color w:val="000000"/>
                <w:sz w:val="20"/>
              </w:rPr>
              <w:t>0.00</w:t>
            </w:r>
          </w:p>
        </w:tc>
        <w:tc>
          <w:tcPr>
            <w:tcW w:type="dxa" w:w="936"/>
          </w:tcPr>
          <w:p>
            <w:pPr>
              <w:spacing w:line="276" w:lineRule="auto"/>
            </w:pPr>
            <w:r/>
            <w:r>
              <w:rPr>
                <w:rFonts w:ascii="Times New Roman" w:hAnsi="Times New Roman" w:eastAsia="Times New Roman"/>
                <w:b w:val="0"/>
                <w:i w:val="0"/>
                <w:color w:val="000000"/>
                <w:sz w:val="20"/>
              </w:rPr>
              <w:t>3.0</w:t>
            </w:r>
          </w:p>
        </w:tc>
        <w:tc>
          <w:tcPr>
            <w:tcW w:type="dxa" w:w="936"/>
          </w:tcPr>
          <w:p>
            <w:pPr>
              <w:spacing w:line="276" w:lineRule="auto"/>
            </w:pPr>
            <w:r/>
            <w:r>
              <w:rPr>
                <w:rFonts w:ascii="Times New Roman" w:hAnsi="Times New Roman" w:eastAsia="Times New Roman"/>
                <w:b w:val="0"/>
                <w:i w:val="0"/>
                <w:color w:val="000000"/>
                <w:sz w:val="20"/>
              </w:rPr>
              <w:t>2.0</w:t>
            </w:r>
          </w:p>
        </w:tc>
      </w:tr>
      <w:tr>
        <w:tc>
          <w:tcPr>
            <w:tcW w:type="dxa" w:w="936"/>
          </w:tcPr>
          <w:p>
            <w:pPr>
              <w:spacing w:line="276" w:lineRule="auto"/>
            </w:pPr>
            <w:r/>
            <w:r>
              <w:rPr>
                <w:rFonts w:ascii="Times New Roman" w:hAnsi="Times New Roman" w:eastAsia="Times New Roman"/>
                <w:b w:val="0"/>
                <w:i w:val="0"/>
                <w:color w:val="000000"/>
                <w:sz w:val="20"/>
              </w:rPr>
              <w:t>Honest</w:t>
            </w:r>
          </w:p>
        </w:tc>
        <w:tc>
          <w:tcPr>
            <w:tcW w:type="dxa" w:w="936"/>
          </w:tcPr>
          <w:p>
            <w:pPr>
              <w:spacing w:line="276" w:lineRule="auto"/>
            </w:pPr>
            <w:r/>
            <w:r>
              <w:rPr>
                <w:rFonts w:ascii="Times New Roman" w:hAnsi="Times New Roman" w:eastAsia="Times New Roman"/>
                <w:b w:val="0"/>
                <w:i w:val="0"/>
                <w:color w:val="000000"/>
                <w:sz w:val="20"/>
              </w:rPr>
              <w:t>Coding</w:t>
            </w:r>
          </w:p>
        </w:tc>
        <w:tc>
          <w:tcPr>
            <w:tcW w:type="dxa" w:w="936"/>
          </w:tcPr>
          <w:p>
            <w:pPr>
              <w:spacing w:line="276" w:lineRule="auto"/>
            </w:pPr>
            <w:r/>
            <w:r>
              <w:rPr>
                <w:rFonts w:ascii="Times New Roman" w:hAnsi="Times New Roman" w:eastAsia="Times New Roman"/>
                <w:b w:val="0"/>
                <w:i w:val="0"/>
                <w:color w:val="000000"/>
                <w:sz w:val="20"/>
              </w:rPr>
              <w:t>0.000</w:t>
            </w:r>
          </w:p>
        </w:tc>
        <w:tc>
          <w:tcPr>
            <w:tcW w:type="dxa" w:w="936"/>
          </w:tcPr>
          <w:p>
            <w:pPr>
              <w:spacing w:line="276" w:lineRule="auto"/>
            </w:pPr>
            <w:r/>
            <w:r>
              <w:rPr>
                <w:rFonts w:ascii="Times New Roman" w:hAnsi="Times New Roman" w:eastAsia="Times New Roman"/>
                <w:b w:val="0"/>
                <w:i w:val="0"/>
                <w:color w:val="000000"/>
                <w:sz w:val="20"/>
              </w:rPr>
              <w:t>0.00</w:t>
            </w:r>
          </w:p>
        </w:tc>
        <w:tc>
          <w:tcPr>
            <w:tcW w:type="dxa" w:w="936"/>
          </w:tcPr>
          <w:p>
            <w:pPr>
              <w:spacing w:line="276" w:lineRule="auto"/>
            </w:pPr>
            <w:r/>
            <w:r>
              <w:rPr>
                <w:rFonts w:ascii="Times New Roman" w:hAnsi="Times New Roman" w:eastAsia="Times New Roman"/>
                <w:b w:val="0"/>
                <w:i w:val="0"/>
                <w:color w:val="000000"/>
                <w:sz w:val="20"/>
              </w:rPr>
              <w:t>0.00</w:t>
            </w:r>
          </w:p>
        </w:tc>
        <w:tc>
          <w:tcPr>
            <w:tcW w:type="dxa" w:w="936"/>
          </w:tcPr>
          <w:p>
            <w:pPr>
              <w:spacing w:line="276" w:lineRule="auto"/>
            </w:pPr>
            <w:r/>
            <w:r>
              <w:rPr>
                <w:rFonts w:ascii="Times New Roman" w:hAnsi="Times New Roman" w:eastAsia="Times New Roman"/>
                <w:b w:val="0"/>
                <w:i w:val="0"/>
                <w:color w:val="000000"/>
                <w:sz w:val="20"/>
              </w:rPr>
              <w:t>0.00</w:t>
            </w:r>
          </w:p>
        </w:tc>
        <w:tc>
          <w:tcPr>
            <w:tcW w:type="dxa" w:w="936"/>
          </w:tcPr>
          <w:p>
            <w:pPr>
              <w:spacing w:line="276" w:lineRule="auto"/>
            </w:pPr>
            <w:r/>
            <w:r>
              <w:rPr>
                <w:rFonts w:ascii="Times New Roman" w:hAnsi="Times New Roman" w:eastAsia="Times New Roman"/>
                <w:b w:val="0"/>
                <w:i w:val="0"/>
                <w:color w:val="000000"/>
                <w:sz w:val="20"/>
              </w:rPr>
              <w:t>1.00</w:t>
            </w:r>
          </w:p>
        </w:tc>
        <w:tc>
          <w:tcPr>
            <w:tcW w:type="dxa" w:w="936"/>
          </w:tcPr>
          <w:p>
            <w:pPr>
              <w:spacing w:line="276" w:lineRule="auto"/>
            </w:pPr>
            <w:r/>
            <w:r>
              <w:rPr>
                <w:rFonts w:ascii="Times New Roman" w:hAnsi="Times New Roman" w:eastAsia="Times New Roman"/>
                <w:b w:val="0"/>
                <w:i w:val="0"/>
                <w:color w:val="000000"/>
                <w:sz w:val="20"/>
              </w:rPr>
              <w:t>1.00</w:t>
            </w:r>
          </w:p>
        </w:tc>
        <w:tc>
          <w:tcPr>
            <w:tcW w:type="dxa" w:w="936"/>
          </w:tcPr>
          <w:p>
            <w:pPr>
              <w:spacing w:line="276" w:lineRule="auto"/>
            </w:pPr>
            <w:r/>
            <w:r>
              <w:rPr>
                <w:rFonts w:ascii="Times New Roman" w:hAnsi="Times New Roman" w:eastAsia="Times New Roman"/>
                <w:b w:val="0"/>
                <w:i w:val="0"/>
                <w:color w:val="000000"/>
                <w:sz w:val="20"/>
              </w:rPr>
              <w:t>0.0</w:t>
            </w:r>
          </w:p>
        </w:tc>
        <w:tc>
          <w:tcPr>
            <w:tcW w:type="dxa" w:w="936"/>
          </w:tcPr>
          <w:p>
            <w:pPr>
              <w:spacing w:line="276" w:lineRule="auto"/>
            </w:pPr>
            <w:r/>
            <w:r>
              <w:rPr>
                <w:rFonts w:ascii="Times New Roman" w:hAnsi="Times New Roman" w:eastAsia="Times New Roman"/>
                <w:b w:val="0"/>
                <w:i w:val="0"/>
                <w:color w:val="000000"/>
                <w:sz w:val="20"/>
              </w:rPr>
              <w:t>0.0</w:t>
            </w:r>
          </w:p>
        </w:tc>
      </w:tr>
      <w:tr>
        <w:tc>
          <w:tcPr>
            <w:tcW w:type="dxa" w:w="936"/>
          </w:tcPr>
          <w:p>
            <w:pPr>
              <w:spacing w:line="276" w:lineRule="auto"/>
            </w:pPr>
            <w:r/>
            <w:r>
              <w:rPr>
                <w:rFonts w:ascii="Times New Roman" w:hAnsi="Times New Roman" w:eastAsia="Times New Roman"/>
                <w:b w:val="0"/>
                <w:i w:val="0"/>
                <w:color w:val="000000"/>
                <w:sz w:val="20"/>
              </w:rPr>
              <w:t>Honest</w:t>
            </w:r>
          </w:p>
        </w:tc>
        <w:tc>
          <w:tcPr>
            <w:tcW w:type="dxa" w:w="936"/>
          </w:tcPr>
          <w:p>
            <w:pPr>
              <w:spacing w:line="276" w:lineRule="auto"/>
            </w:pPr>
            <w:r/>
            <w:r>
              <w:rPr>
                <w:rFonts w:ascii="Times New Roman" w:hAnsi="Times New Roman" w:eastAsia="Times New Roman"/>
                <w:b w:val="0"/>
                <w:i w:val="0"/>
                <w:color w:val="000000"/>
                <w:sz w:val="20"/>
              </w:rPr>
              <w:t>Operations</w:t>
            </w:r>
          </w:p>
        </w:tc>
        <w:tc>
          <w:tcPr>
            <w:tcW w:type="dxa" w:w="936"/>
          </w:tcPr>
          <w:p>
            <w:pPr>
              <w:spacing w:line="276" w:lineRule="auto"/>
            </w:pPr>
            <w:r/>
            <w:r>
              <w:rPr>
                <w:rFonts w:ascii="Times New Roman" w:hAnsi="Times New Roman" w:eastAsia="Times New Roman"/>
                <w:b w:val="0"/>
                <w:i w:val="0"/>
                <w:color w:val="000000"/>
                <w:sz w:val="20"/>
              </w:rPr>
              <w:t>0.000</w:t>
            </w:r>
          </w:p>
        </w:tc>
        <w:tc>
          <w:tcPr>
            <w:tcW w:type="dxa" w:w="936"/>
          </w:tcPr>
          <w:p>
            <w:pPr>
              <w:spacing w:line="276" w:lineRule="auto"/>
            </w:pPr>
            <w:r/>
            <w:r>
              <w:rPr>
                <w:rFonts w:ascii="Times New Roman" w:hAnsi="Times New Roman" w:eastAsia="Times New Roman"/>
                <w:b w:val="0"/>
                <w:i w:val="0"/>
                <w:color w:val="000000"/>
                <w:sz w:val="20"/>
              </w:rPr>
              <w:t>0.00</w:t>
            </w:r>
          </w:p>
        </w:tc>
        <w:tc>
          <w:tcPr>
            <w:tcW w:type="dxa" w:w="936"/>
          </w:tcPr>
          <w:p>
            <w:pPr>
              <w:spacing w:line="276" w:lineRule="auto"/>
            </w:pPr>
            <w:r/>
            <w:r>
              <w:rPr>
                <w:rFonts w:ascii="Times New Roman" w:hAnsi="Times New Roman" w:eastAsia="Times New Roman"/>
                <w:b w:val="0"/>
                <w:i w:val="0"/>
                <w:color w:val="000000"/>
                <w:sz w:val="20"/>
              </w:rPr>
              <w:t>0.00</w:t>
            </w:r>
          </w:p>
        </w:tc>
        <w:tc>
          <w:tcPr>
            <w:tcW w:type="dxa" w:w="936"/>
          </w:tcPr>
          <w:p>
            <w:pPr>
              <w:spacing w:line="276" w:lineRule="auto"/>
            </w:pPr>
            <w:r/>
            <w:r>
              <w:rPr>
                <w:rFonts w:ascii="Times New Roman" w:hAnsi="Times New Roman" w:eastAsia="Times New Roman"/>
                <w:b w:val="0"/>
                <w:i w:val="0"/>
                <w:color w:val="000000"/>
                <w:sz w:val="20"/>
              </w:rPr>
              <w:t>0.00</w:t>
            </w:r>
          </w:p>
        </w:tc>
        <w:tc>
          <w:tcPr>
            <w:tcW w:type="dxa" w:w="936"/>
          </w:tcPr>
          <w:p>
            <w:pPr>
              <w:spacing w:line="276" w:lineRule="auto"/>
            </w:pPr>
            <w:r/>
            <w:r>
              <w:rPr>
                <w:rFonts w:ascii="Times New Roman" w:hAnsi="Times New Roman" w:eastAsia="Times New Roman"/>
                <w:b w:val="0"/>
                <w:i w:val="0"/>
                <w:color w:val="000000"/>
                <w:sz w:val="20"/>
              </w:rPr>
              <w:t>1.00</w:t>
            </w:r>
          </w:p>
        </w:tc>
        <w:tc>
          <w:tcPr>
            <w:tcW w:type="dxa" w:w="936"/>
          </w:tcPr>
          <w:p>
            <w:pPr>
              <w:spacing w:line="276" w:lineRule="auto"/>
            </w:pPr>
            <w:r/>
            <w:r>
              <w:rPr>
                <w:rFonts w:ascii="Times New Roman" w:hAnsi="Times New Roman" w:eastAsia="Times New Roman"/>
                <w:b w:val="0"/>
                <w:i w:val="0"/>
                <w:color w:val="000000"/>
                <w:sz w:val="20"/>
              </w:rPr>
              <w:t>1.00</w:t>
            </w:r>
          </w:p>
        </w:tc>
        <w:tc>
          <w:tcPr>
            <w:tcW w:type="dxa" w:w="936"/>
          </w:tcPr>
          <w:p>
            <w:pPr>
              <w:spacing w:line="276" w:lineRule="auto"/>
            </w:pPr>
            <w:r/>
            <w:r>
              <w:rPr>
                <w:rFonts w:ascii="Times New Roman" w:hAnsi="Times New Roman" w:eastAsia="Times New Roman"/>
                <w:b w:val="0"/>
                <w:i w:val="0"/>
                <w:color w:val="000000"/>
                <w:sz w:val="20"/>
              </w:rPr>
              <w:t>0.0</w:t>
            </w:r>
          </w:p>
        </w:tc>
        <w:tc>
          <w:tcPr>
            <w:tcW w:type="dxa" w:w="936"/>
          </w:tcPr>
          <w:p>
            <w:pPr>
              <w:spacing w:line="276" w:lineRule="auto"/>
            </w:pPr>
            <w:r/>
            <w:r>
              <w:rPr>
                <w:rFonts w:ascii="Times New Roman" w:hAnsi="Times New Roman" w:eastAsia="Times New Roman"/>
                <w:b w:val="0"/>
                <w:i w:val="0"/>
                <w:color w:val="000000"/>
                <w:sz w:val="20"/>
              </w:rPr>
              <w:t>0.0</w:t>
            </w:r>
          </w:p>
        </w:tc>
      </w:tr>
    </w:tbl>
    <w:p/>
    <w:p>
      <w:pPr>
        <w:spacing w:line="480" w:lineRule="auto" w:after="0" w:before="0"/>
        <w:ind w:firstLine="720"/>
        <w:jc w:val="both"/>
      </w:pPr>
      <w:r>
        <w:rPr>
          <w:rFonts w:ascii="Times New Roman" w:hAnsi="Times New Roman" w:eastAsia="Times New Roman"/>
          <w:b w:val="0"/>
          <w:i w:val="0"/>
          <w:color w:val="000000"/>
          <w:sz w:val="24"/>
        </w:rPr>
        <w:t>Three construction checks matter for later identification. First, all five history conditions have identical length within each environment (5,410 characters in coding; 1,852 in operations), and the summary condition matches the full record to within one character. Second, unit tests confirm that confirmation friction blocks unconfirmed high-risk calls and that the default-exit tool appears only in its condition. Third, because scripted policies do not vary with condition, LIDE classification was zero in all 1,440 episodes and mean action risk had no within-agent, within-environment variance across conditions. The classifier therefore does not fire on a stable risk level. Friction did not reduce damage for the escalating agent, because the script supplies a confirmation with every high-risk call. Whether live agents do the same is an empirical question for Study 2, not a result.</w:t>
      </w:r>
    </w:p>
    <w:p>
      <w:pPr>
        <w:spacing w:line="480" w:lineRule="auto" w:after="0" w:before="0"/>
        <w:ind w:firstLine="720"/>
        <w:jc w:val="both"/>
      </w:pPr>
      <w:r>
        <w:rPr>
          <w:rFonts w:ascii="Times New Roman" w:hAnsi="Times New Roman" w:eastAsia="Times New Roman"/>
          <w:b w:val="0"/>
          <w:i w:val="0"/>
          <w:color w:val="000000"/>
          <w:sz w:val="24"/>
        </w:rPr>
        <w:t>This section establishes that the instrument can separate two known policies and that length is controlled by construction. It does not establish LIDE in LLM agents.</w:t>
      </w:r>
    </w:p>
    <w:p>
      <w:pPr>
        <w:pStyle w:val="Heading2"/>
      </w:pPr>
      <w:r>
        <w:rPr>
          <w:rFonts w:ascii="Times New Roman" w:hAnsi="Times New Roman" w:eastAsia="Times New Roman"/>
          <w:b/>
          <w:i w:val="0"/>
          <w:color w:val="000000"/>
          <w:sz w:val="26"/>
        </w:rPr>
        <w:t>4.6 Feasibility Pilot on an Open-Weight Model</w:t>
      </w:r>
    </w:p>
    <w:p>
      <w:pPr>
        <w:spacing w:line="480" w:lineRule="auto" w:after="0" w:before="0"/>
        <w:ind w:firstLine="720"/>
        <w:jc w:val="both"/>
      </w:pPr>
      <w:r>
        <w:rPr>
          <w:rFonts w:ascii="Times New Roman" w:hAnsi="Times New Roman" w:eastAsia="Times New Roman"/>
          <w:b w:val="0"/>
          <w:i w:val="0"/>
          <w:color w:val="000000"/>
          <w:sz w:val="24"/>
        </w:rPr>
        <w:t xml:space="preserve">To check that the harness runs end to end on a language model, we ran the full design (Studies 1 and 2 and the failure-signal block; 36 cells per environment, 72 in total) on one open-weight model, Qwen2.5-0.5B-Instruct, with two repetitions per cell (144 episodes) on a CPU. A model of this size does not reliably emit well-formed tool calls, so actions were chosen by constrained sampling. Each usable tool, and under the friction artifact a confirmed variant of every high-risk tool, was scored by the model’s log-likelihood as its reply, and one option was sampled in proportion to those probabilities (temperature 1, seeded by episode). This is a forced-choice proxy for free-form tool use. Action risk used the placeholder taxonomy of Section 4.3, not the Delphi scores, and LIDE was classified with a risk threshold of 0.10 above the model’s baseline.</w:t>
      </w:r>
    </w:p>
    <w:p>
      <w:pPr>
        <w:spacing w:line="480" w:lineRule="auto" w:after="0" w:before="0"/>
        <w:ind w:firstLine="720"/>
        <w:jc w:val="both"/>
      </w:pPr>
      <w:r>
        <w:rPr>
          <w:rFonts w:ascii="Times New Roman" w:hAnsi="Times New Roman" w:eastAsia="Times New Roman"/>
          <w:b w:val="0"/>
          <w:i w:val="0"/>
          <w:color w:val="000000"/>
          <w:sz w:val="24"/>
        </w:rPr>
        <w:t xml:space="preserve">The classifier flagged LIDE in none of the 144 episodes. Table 7 shows that mean action risk did not rise with accumulated loss. It was 0.204 after the neutral history and 0.086, 0.113, and 0.083 after two, four, and eight consecutive failures, which is the opposite of the direction H1 predicts. The success-streak history (0.134) was below the neutral history, the direction H2 predicts. Neither contrast is informative. The baseline that defines LIDE rests on two episodes per environment, the standard deviations of action risk (0.13 to 0.25) exceed the differences between histories, and the planned H2 contrast has only two model-by-environment cells (mean difference −0.139, one-sided p = .30). Keeping the full failure record produced the same LIDE rate as the neutral summary (0 and 0), the user-dissatisfaction block did not differ from environment-only failure (0 and 0), and eight-failure cells under the deadline cue without an artifact produced no damage, so there was no escalation for an artifact to reduce.</w:t>
      </w:r>
    </w:p>
    <w:p>
      <w:pPr>
        <w:spacing w:line="480" w:lineRule="auto" w:after="0" w:before="0"/>
        <w:ind w:firstLine="0"/>
      </w:pPr>
      <w:r>
        <w:rPr>
          <w:rFonts w:ascii="Times New Roman" w:hAnsi="Times New Roman" w:eastAsia="Times New Roman"/>
          <w:b/>
          <w:i w:val="0"/>
          <w:color w:val="000000"/>
          <w:sz w:val="22"/>
        </w:rPr>
        <w:t>Table 7. Pilot on Qwen2.5-0.5B-Instruct: Study 1 Cells by History, Environments Pooled</w:t>
      </w:r>
    </w:p>
    <w:tbl>
      <w:tblPr>
        <w:tblStyle w:val="TableGrid"/>
        <w:tblW w:type="auto" w:w="0"/>
        <w:jc w:val="center"/>
        <w:tblLook w:firstColumn="1" w:firstRow="1" w:lastColumn="0" w:lastRow="0" w:noHBand="0" w:noVBand="1" w:val="04A0"/>
      </w:tblPr>
      <w:tblGrid>
        <w:gridCol w:w="1800"/>
        <w:gridCol w:w="1200"/>
        <w:gridCol w:w="1800"/>
        <w:gridCol w:w="1560"/>
        <w:gridCol w:w="1500"/>
        <w:gridCol w:w="1500"/>
      </w:tblGrid>
      <w:tr>
        <w:tc>
          <w:tcPr>
            <w:tcW w:type="dxa" w:w="1800"/>
          </w:tcPr>
          <w:p>
            <w:pPr>
              <w:spacing w:line="276" w:lineRule="auto"/>
            </w:pPr>
            <w:r>
              <w:rPr>
                <w:rFonts w:ascii="Times New Roman" w:hAnsi="Times New Roman" w:eastAsia="Times New Roman"/>
                <w:b/>
                <w:i w:val="0"/>
                <w:color w:val="000000"/>
                <w:sz w:val="20"/>
              </w:rPr>
              <w:t>History</w:t>
            </w:r>
          </w:p>
        </w:tc>
        <w:tc>
          <w:tcPr>
            <w:tcW w:type="dxa" w:w="1200"/>
          </w:tcPr>
          <w:p>
            <w:pPr>
              <w:spacing w:line="276" w:lineRule="auto"/>
            </w:pPr>
            <w:r>
              <w:rPr>
                <w:rFonts w:ascii="Times New Roman" w:hAnsi="Times New Roman" w:eastAsia="Times New Roman"/>
                <w:b/>
                <w:i w:val="0"/>
                <w:color w:val="000000"/>
                <w:sz w:val="20"/>
              </w:rPr>
              <w:t>Episodes</w:t>
            </w:r>
          </w:p>
        </w:tc>
        <w:tc>
          <w:tcPr>
            <w:tcW w:type="dxa" w:w="1800"/>
          </w:tcPr>
          <w:p>
            <w:pPr>
              <w:spacing w:line="276" w:lineRule="auto"/>
            </w:pPr>
            <w:r>
              <w:rPr>
                <w:rFonts w:ascii="Times New Roman" w:hAnsi="Times New Roman" w:eastAsia="Times New Roman"/>
                <w:b/>
                <w:i w:val="0"/>
                <w:color w:val="000000"/>
                <w:sz w:val="20"/>
              </w:rPr>
              <w:t>Mean action risk (SD)</w:t>
            </w:r>
          </w:p>
        </w:tc>
        <w:tc>
          <w:tcPr>
            <w:tcW w:type="dxa" w:w="1560"/>
          </w:tcPr>
          <w:p>
            <w:pPr>
              <w:spacing w:line="276" w:lineRule="auto"/>
            </w:pPr>
            <w:r>
              <w:rPr>
                <w:rFonts w:ascii="Times New Roman" w:hAnsi="Times New Roman" w:eastAsia="Times New Roman"/>
                <w:b/>
                <w:i w:val="0"/>
                <w:color w:val="000000"/>
                <w:sz w:val="20"/>
              </w:rPr>
              <w:t>Tampering or destructive rate</w:t>
            </w:r>
          </w:p>
        </w:tc>
        <w:tc>
          <w:tcPr>
            <w:tcW w:type="dxa" w:w="1500"/>
          </w:tcPr>
          <w:p>
            <w:pPr>
              <w:spacing w:line="276" w:lineRule="auto"/>
            </w:pPr>
            <w:r>
              <w:rPr>
                <w:rFonts w:ascii="Times New Roman" w:hAnsi="Times New Roman" w:eastAsia="Times New Roman"/>
                <w:b/>
                <w:i w:val="0"/>
                <w:color w:val="000000"/>
                <w:sz w:val="20"/>
              </w:rPr>
              <w:t>Honest exit rate</w:t>
            </w:r>
          </w:p>
        </w:tc>
        <w:tc>
          <w:tcPr>
            <w:tcW w:type="dxa" w:w="1500"/>
          </w:tcPr>
          <w:p>
            <w:pPr>
              <w:spacing w:line="276" w:lineRule="auto"/>
            </w:pPr>
            <w:r>
              <w:rPr>
                <w:rFonts w:ascii="Times New Roman" w:hAnsi="Times New Roman" w:eastAsia="Times New Roman"/>
                <w:b/>
                <w:i w:val="0"/>
                <w:color w:val="000000"/>
                <w:sz w:val="20"/>
              </w:rPr>
              <w:t>LIDE episodes</w:t>
            </w:r>
          </w:p>
        </w:tc>
      </w:tr>
      <w:tr>
        <w:tc>
          <w:tcPr>
            <w:tcW w:type="dxa" w:w="1800"/>
          </w:tcPr>
          <w:p>
            <w:pPr>
              <w:spacing w:line="276" w:lineRule="auto"/>
            </w:pPr>
            <w:r>
              <w:rPr>
                <w:rFonts w:ascii="Times New Roman" w:hAnsi="Times New Roman" w:eastAsia="Times New Roman"/>
                <w:b w:val="0"/>
                <w:i w:val="0"/>
                <w:color w:val="000000"/>
                <w:sz w:val="20"/>
              </w:rPr>
              <w:t>4 successes</w:t>
            </w:r>
          </w:p>
        </w:tc>
        <w:tc>
          <w:tcPr>
            <w:tcW w:type="dxa" w:w="1200"/>
          </w:tcPr>
          <w:p>
            <w:pPr>
              <w:spacing w:line="276" w:lineRule="auto"/>
            </w:pPr>
            <w:r>
              <w:rPr>
                <w:rFonts w:ascii="Times New Roman" w:hAnsi="Times New Roman" w:eastAsia="Times New Roman"/>
                <w:b w:val="0"/>
                <w:i w:val="0"/>
                <w:color w:val="000000"/>
                <w:sz w:val="20"/>
              </w:rPr>
              <w:t>12</w:t>
            </w:r>
          </w:p>
        </w:tc>
        <w:tc>
          <w:tcPr>
            <w:tcW w:type="dxa" w:w="1800"/>
          </w:tcPr>
          <w:p>
            <w:pPr>
              <w:spacing w:line="276" w:lineRule="auto"/>
            </w:pPr>
            <w:r>
              <w:rPr>
                <w:rFonts w:ascii="Times New Roman" w:hAnsi="Times New Roman" w:eastAsia="Times New Roman"/>
                <w:b w:val="0"/>
                <w:i w:val="0"/>
                <w:color w:val="000000"/>
                <w:sz w:val="20"/>
              </w:rPr>
              <w:t>0.134 (0.207)</w:t>
            </w:r>
          </w:p>
        </w:tc>
        <w:tc>
          <w:tcPr>
            <w:tcW w:type="dxa" w:w="1560"/>
          </w:tcPr>
          <w:p>
            <w:pPr>
              <w:spacing w:line="276" w:lineRule="auto"/>
            </w:pPr>
            <w:r>
              <w:rPr>
                <w:rFonts w:ascii="Times New Roman" w:hAnsi="Times New Roman" w:eastAsia="Times New Roman"/>
                <w:b w:val="0"/>
                <w:i w:val="0"/>
                <w:color w:val="000000"/>
                <w:sz w:val="20"/>
              </w:rPr>
              <w:t>0.17</w:t>
            </w:r>
          </w:p>
        </w:tc>
        <w:tc>
          <w:tcPr>
            <w:tcW w:type="dxa" w:w="1500"/>
          </w:tcPr>
          <w:p>
            <w:pPr>
              <w:spacing w:line="276" w:lineRule="auto"/>
            </w:pPr>
            <w:r>
              <w:rPr>
                <w:rFonts w:ascii="Times New Roman" w:hAnsi="Times New Roman" w:eastAsia="Times New Roman"/>
                <w:b w:val="0"/>
                <w:i w:val="0"/>
                <w:color w:val="000000"/>
                <w:sz w:val="20"/>
              </w:rPr>
              <w:t>0.08</w:t>
            </w:r>
          </w:p>
        </w:tc>
        <w:tc>
          <w:tcPr>
            <w:tcW w:type="dxa" w:w="1500"/>
          </w:tcPr>
          <w:p>
            <w:pPr>
              <w:spacing w:line="276" w:lineRule="auto"/>
            </w:pPr>
            <w:r>
              <w:rPr>
                <w:rFonts w:ascii="Times New Roman" w:hAnsi="Times New Roman" w:eastAsia="Times New Roman"/>
                <w:b w:val="0"/>
                <w:i w:val="0"/>
                <w:color w:val="000000"/>
                <w:sz w:val="20"/>
              </w:rPr>
              <w:t>0</w:t>
            </w:r>
          </w:p>
        </w:tc>
      </w:tr>
      <w:tr>
        <w:tc>
          <w:tcPr>
            <w:tcW w:type="dxa" w:w="1800"/>
          </w:tcPr>
          <w:p>
            <w:pPr>
              <w:spacing w:line="276" w:lineRule="auto"/>
            </w:pPr>
            <w:r>
              <w:rPr>
                <w:rFonts w:ascii="Times New Roman" w:hAnsi="Times New Roman" w:eastAsia="Times New Roman"/>
                <w:b w:val="0"/>
                <w:i w:val="0"/>
                <w:color w:val="000000"/>
                <w:sz w:val="20"/>
              </w:rPr>
              <w:t>Neutral</w:t>
            </w:r>
          </w:p>
        </w:tc>
        <w:tc>
          <w:tcPr>
            <w:tcW w:type="dxa" w:w="1200"/>
          </w:tcPr>
          <w:p>
            <w:pPr>
              <w:spacing w:line="276" w:lineRule="auto"/>
            </w:pPr>
            <w:r>
              <w:rPr>
                <w:rFonts w:ascii="Times New Roman" w:hAnsi="Times New Roman" w:eastAsia="Times New Roman"/>
                <w:b w:val="0"/>
                <w:i w:val="0"/>
                <w:color w:val="000000"/>
                <w:sz w:val="20"/>
              </w:rPr>
              <w:t>12</w:t>
            </w:r>
          </w:p>
        </w:tc>
        <w:tc>
          <w:tcPr>
            <w:tcW w:type="dxa" w:w="1800"/>
          </w:tcPr>
          <w:p>
            <w:pPr>
              <w:spacing w:line="276" w:lineRule="auto"/>
            </w:pPr>
            <w:r>
              <w:rPr>
                <w:rFonts w:ascii="Times New Roman" w:hAnsi="Times New Roman" w:eastAsia="Times New Roman"/>
                <w:b w:val="0"/>
                <w:i w:val="0"/>
                <w:color w:val="000000"/>
                <w:sz w:val="20"/>
              </w:rPr>
              <w:t>0.204 (0.252)</w:t>
            </w:r>
          </w:p>
        </w:tc>
        <w:tc>
          <w:tcPr>
            <w:tcW w:type="dxa" w:w="1560"/>
          </w:tcPr>
          <w:p>
            <w:pPr>
              <w:spacing w:line="276" w:lineRule="auto"/>
            </w:pPr>
            <w:r>
              <w:rPr>
                <w:rFonts w:ascii="Times New Roman" w:hAnsi="Times New Roman" w:eastAsia="Times New Roman"/>
                <w:b w:val="0"/>
                <w:i w:val="0"/>
                <w:color w:val="000000"/>
                <w:sz w:val="20"/>
              </w:rPr>
              <w:t>0.17</w:t>
            </w:r>
          </w:p>
        </w:tc>
        <w:tc>
          <w:tcPr>
            <w:tcW w:type="dxa" w:w="1500"/>
          </w:tcPr>
          <w:p>
            <w:pPr>
              <w:spacing w:line="276" w:lineRule="auto"/>
            </w:pPr>
            <w:r>
              <w:rPr>
                <w:rFonts w:ascii="Times New Roman" w:hAnsi="Times New Roman" w:eastAsia="Times New Roman"/>
                <w:b w:val="0"/>
                <w:i w:val="0"/>
                <w:color w:val="000000"/>
                <w:sz w:val="20"/>
              </w:rPr>
              <w:t>0.00</w:t>
            </w:r>
          </w:p>
        </w:tc>
        <w:tc>
          <w:tcPr>
            <w:tcW w:type="dxa" w:w="1500"/>
          </w:tcPr>
          <w:p>
            <w:pPr>
              <w:spacing w:line="276" w:lineRule="auto"/>
            </w:pPr>
            <w:r>
              <w:rPr>
                <w:rFonts w:ascii="Times New Roman" w:hAnsi="Times New Roman" w:eastAsia="Times New Roman"/>
                <w:b w:val="0"/>
                <w:i w:val="0"/>
                <w:color w:val="000000"/>
                <w:sz w:val="20"/>
              </w:rPr>
              <w:t>0</w:t>
            </w:r>
          </w:p>
        </w:tc>
      </w:tr>
      <w:tr>
        <w:tc>
          <w:tcPr>
            <w:tcW w:type="dxa" w:w="1800"/>
          </w:tcPr>
          <w:p>
            <w:pPr>
              <w:spacing w:line="276" w:lineRule="auto"/>
            </w:pPr>
            <w:r>
              <w:rPr>
                <w:rFonts w:ascii="Times New Roman" w:hAnsi="Times New Roman" w:eastAsia="Times New Roman"/>
                <w:b w:val="0"/>
                <w:i w:val="0"/>
                <w:color w:val="000000"/>
                <w:sz w:val="20"/>
              </w:rPr>
              <w:t>2 failures</w:t>
            </w:r>
          </w:p>
        </w:tc>
        <w:tc>
          <w:tcPr>
            <w:tcW w:type="dxa" w:w="1200"/>
          </w:tcPr>
          <w:p>
            <w:pPr>
              <w:spacing w:line="276" w:lineRule="auto"/>
            </w:pPr>
            <w:r>
              <w:rPr>
                <w:rFonts w:ascii="Times New Roman" w:hAnsi="Times New Roman" w:eastAsia="Times New Roman"/>
                <w:b w:val="0"/>
                <w:i w:val="0"/>
                <w:color w:val="000000"/>
                <w:sz w:val="20"/>
              </w:rPr>
              <w:t>24</w:t>
            </w:r>
          </w:p>
        </w:tc>
        <w:tc>
          <w:tcPr>
            <w:tcW w:type="dxa" w:w="1800"/>
          </w:tcPr>
          <w:p>
            <w:pPr>
              <w:spacing w:line="276" w:lineRule="auto"/>
            </w:pPr>
            <w:r>
              <w:rPr>
                <w:rFonts w:ascii="Times New Roman" w:hAnsi="Times New Roman" w:eastAsia="Times New Roman"/>
                <w:b w:val="0"/>
                <w:i w:val="0"/>
                <w:color w:val="000000"/>
                <w:sz w:val="20"/>
              </w:rPr>
              <w:t>0.086 (0.129)</w:t>
            </w:r>
          </w:p>
        </w:tc>
        <w:tc>
          <w:tcPr>
            <w:tcW w:type="dxa" w:w="1560"/>
          </w:tcPr>
          <w:p>
            <w:pPr>
              <w:spacing w:line="276" w:lineRule="auto"/>
            </w:pPr>
            <w:r>
              <w:rPr>
                <w:rFonts w:ascii="Times New Roman" w:hAnsi="Times New Roman" w:eastAsia="Times New Roman"/>
                <w:b w:val="0"/>
                <w:i w:val="0"/>
                <w:color w:val="000000"/>
                <w:sz w:val="20"/>
              </w:rPr>
              <w:t>0.08</w:t>
            </w:r>
          </w:p>
        </w:tc>
        <w:tc>
          <w:tcPr>
            <w:tcW w:type="dxa" w:w="1500"/>
          </w:tcPr>
          <w:p>
            <w:pPr>
              <w:spacing w:line="276" w:lineRule="auto"/>
            </w:pPr>
            <w:r>
              <w:rPr>
                <w:rFonts w:ascii="Times New Roman" w:hAnsi="Times New Roman" w:eastAsia="Times New Roman"/>
                <w:b w:val="0"/>
                <w:i w:val="0"/>
                <w:color w:val="000000"/>
                <w:sz w:val="20"/>
              </w:rPr>
              <w:t>0.13</w:t>
            </w:r>
          </w:p>
        </w:tc>
        <w:tc>
          <w:tcPr>
            <w:tcW w:type="dxa" w:w="1500"/>
          </w:tcPr>
          <w:p>
            <w:pPr>
              <w:spacing w:line="276" w:lineRule="auto"/>
            </w:pPr>
            <w:r>
              <w:rPr>
                <w:rFonts w:ascii="Times New Roman" w:hAnsi="Times New Roman" w:eastAsia="Times New Roman"/>
                <w:b w:val="0"/>
                <w:i w:val="0"/>
                <w:color w:val="000000"/>
                <w:sz w:val="20"/>
              </w:rPr>
              <w:t>0</w:t>
            </w:r>
          </w:p>
        </w:tc>
      </w:tr>
      <w:tr>
        <w:tc>
          <w:tcPr>
            <w:tcW w:type="dxa" w:w="1800"/>
          </w:tcPr>
          <w:p>
            <w:pPr>
              <w:spacing w:line="276" w:lineRule="auto"/>
            </w:pPr>
            <w:r>
              <w:rPr>
                <w:rFonts w:ascii="Times New Roman" w:hAnsi="Times New Roman" w:eastAsia="Times New Roman"/>
                <w:b w:val="0"/>
                <w:i w:val="0"/>
                <w:color w:val="000000"/>
                <w:sz w:val="20"/>
              </w:rPr>
              <w:t>4 failures</w:t>
            </w:r>
          </w:p>
        </w:tc>
        <w:tc>
          <w:tcPr>
            <w:tcW w:type="dxa" w:w="1200"/>
          </w:tcPr>
          <w:p>
            <w:pPr>
              <w:spacing w:line="276" w:lineRule="auto"/>
            </w:pPr>
            <w:r>
              <w:rPr>
                <w:rFonts w:ascii="Times New Roman" w:hAnsi="Times New Roman" w:eastAsia="Times New Roman"/>
                <w:b w:val="0"/>
                <w:i w:val="0"/>
                <w:color w:val="000000"/>
                <w:sz w:val="20"/>
              </w:rPr>
              <w:t>24</w:t>
            </w:r>
          </w:p>
        </w:tc>
        <w:tc>
          <w:tcPr>
            <w:tcW w:type="dxa" w:w="1800"/>
          </w:tcPr>
          <w:p>
            <w:pPr>
              <w:spacing w:line="276" w:lineRule="auto"/>
            </w:pPr>
            <w:r>
              <w:rPr>
                <w:rFonts w:ascii="Times New Roman" w:hAnsi="Times New Roman" w:eastAsia="Times New Roman"/>
                <w:b w:val="0"/>
                <w:i w:val="0"/>
                <w:color w:val="000000"/>
                <w:sz w:val="20"/>
              </w:rPr>
              <w:t>0.113 (0.201)</w:t>
            </w:r>
          </w:p>
        </w:tc>
        <w:tc>
          <w:tcPr>
            <w:tcW w:type="dxa" w:w="1560"/>
          </w:tcPr>
          <w:p>
            <w:pPr>
              <w:spacing w:line="276" w:lineRule="auto"/>
            </w:pPr>
            <w:r>
              <w:rPr>
                <w:rFonts w:ascii="Times New Roman" w:hAnsi="Times New Roman" w:eastAsia="Times New Roman"/>
                <w:b w:val="0"/>
                <w:i w:val="0"/>
                <w:color w:val="000000"/>
                <w:sz w:val="20"/>
              </w:rPr>
              <w:t>0.21</w:t>
            </w:r>
          </w:p>
        </w:tc>
        <w:tc>
          <w:tcPr>
            <w:tcW w:type="dxa" w:w="1500"/>
          </w:tcPr>
          <w:p>
            <w:pPr>
              <w:spacing w:line="276" w:lineRule="auto"/>
            </w:pPr>
            <w:r>
              <w:rPr>
                <w:rFonts w:ascii="Times New Roman" w:hAnsi="Times New Roman" w:eastAsia="Times New Roman"/>
                <w:b w:val="0"/>
                <w:i w:val="0"/>
                <w:color w:val="000000"/>
                <w:sz w:val="20"/>
              </w:rPr>
              <w:t>0.13</w:t>
            </w:r>
          </w:p>
        </w:tc>
        <w:tc>
          <w:tcPr>
            <w:tcW w:type="dxa" w:w="1500"/>
          </w:tcPr>
          <w:p>
            <w:pPr>
              <w:spacing w:line="276" w:lineRule="auto"/>
            </w:pPr>
            <w:r>
              <w:rPr>
                <w:rFonts w:ascii="Times New Roman" w:hAnsi="Times New Roman" w:eastAsia="Times New Roman"/>
                <w:b w:val="0"/>
                <w:i w:val="0"/>
                <w:color w:val="000000"/>
                <w:sz w:val="20"/>
              </w:rPr>
              <w:t>0</w:t>
            </w:r>
          </w:p>
        </w:tc>
      </w:tr>
      <w:tr>
        <w:tc>
          <w:tcPr>
            <w:tcW w:type="dxa" w:w="1800"/>
          </w:tcPr>
          <w:p>
            <w:pPr>
              <w:spacing w:line="276" w:lineRule="auto"/>
            </w:pPr>
            <w:r>
              <w:rPr>
                <w:rFonts w:ascii="Times New Roman" w:hAnsi="Times New Roman" w:eastAsia="Times New Roman"/>
                <w:b w:val="0"/>
                <w:i w:val="0"/>
                <w:color w:val="000000"/>
                <w:sz w:val="20"/>
              </w:rPr>
              <w:t>8 failures</w:t>
            </w:r>
          </w:p>
        </w:tc>
        <w:tc>
          <w:tcPr>
            <w:tcW w:type="dxa" w:w="1200"/>
          </w:tcPr>
          <w:p>
            <w:pPr>
              <w:spacing w:line="276" w:lineRule="auto"/>
            </w:pPr>
            <w:r>
              <w:rPr>
                <w:rFonts w:ascii="Times New Roman" w:hAnsi="Times New Roman" w:eastAsia="Times New Roman"/>
                <w:b w:val="0"/>
                <w:i w:val="0"/>
                <w:color w:val="000000"/>
                <w:sz w:val="20"/>
              </w:rPr>
              <w:t>24</w:t>
            </w:r>
          </w:p>
        </w:tc>
        <w:tc>
          <w:tcPr>
            <w:tcW w:type="dxa" w:w="1800"/>
          </w:tcPr>
          <w:p>
            <w:pPr>
              <w:spacing w:line="276" w:lineRule="auto"/>
            </w:pPr>
            <w:r>
              <w:rPr>
                <w:rFonts w:ascii="Times New Roman" w:hAnsi="Times New Roman" w:eastAsia="Times New Roman"/>
                <w:b w:val="0"/>
                <w:i w:val="0"/>
                <w:color w:val="000000"/>
                <w:sz w:val="20"/>
              </w:rPr>
              <w:t>0.083 (0.170)</w:t>
            </w:r>
          </w:p>
        </w:tc>
        <w:tc>
          <w:tcPr>
            <w:tcW w:type="dxa" w:w="1560"/>
          </w:tcPr>
          <w:p>
            <w:pPr>
              <w:spacing w:line="276" w:lineRule="auto"/>
            </w:pPr>
            <w:r>
              <w:rPr>
                <w:rFonts w:ascii="Times New Roman" w:hAnsi="Times New Roman" w:eastAsia="Times New Roman"/>
                <w:b w:val="0"/>
                <w:i w:val="0"/>
                <w:color w:val="000000"/>
                <w:sz w:val="20"/>
              </w:rPr>
              <w:t>0.08</w:t>
            </w:r>
          </w:p>
        </w:tc>
        <w:tc>
          <w:tcPr>
            <w:tcW w:type="dxa" w:w="1500"/>
          </w:tcPr>
          <w:p>
            <w:pPr>
              <w:spacing w:line="276" w:lineRule="auto"/>
            </w:pPr>
            <w:r>
              <w:rPr>
                <w:rFonts w:ascii="Times New Roman" w:hAnsi="Times New Roman" w:eastAsia="Times New Roman"/>
                <w:b w:val="0"/>
                <w:i w:val="0"/>
                <w:color w:val="000000"/>
                <w:sz w:val="20"/>
              </w:rPr>
              <w:t>0.08</w:t>
            </w:r>
          </w:p>
        </w:tc>
        <w:tc>
          <w:tcPr>
            <w:tcW w:type="dxa" w:w="1500"/>
          </w:tcPr>
          <w:p>
            <w:pPr>
              <w:spacing w:line="276" w:lineRule="auto"/>
            </w:pPr>
            <w:r>
              <w:rPr>
                <w:rFonts w:ascii="Times New Roman" w:hAnsi="Times New Roman" w:eastAsia="Times New Roman"/>
                <w:b w:val="0"/>
                <w:i w:val="0"/>
                <w:color w:val="000000"/>
                <w:sz w:val="20"/>
              </w:rPr>
              <w:t>0</w:t>
            </w:r>
          </w:p>
        </w:tc>
      </w:tr>
    </w:tbl>
    <w:p>
      <w:pPr>
        <w:spacing w:line="480" w:lineRule="auto" w:after="0" w:before="0"/>
        <w:ind w:firstLine="720"/>
        <w:jc w:val="both"/>
      </w:pPr>
      <w:r>
        <w:rPr>
          <w:rFonts w:ascii="Times New Roman" w:hAnsi="Times New Roman" w:eastAsia="Times New Roman"/>
          <w:b w:val="0"/>
          <w:i w:val="0"/>
          <w:color w:val="000000"/>
          <w:sz w:val="24"/>
        </w:rPr>
        <w:t xml:space="preserve">Note. Episodes are Study 1 cells pooled over the coding and operations environments and over scarcity and record conditions. Honest exit is the report of impossibility. LIDE is the classifier of Table 4.</w:t>
      </w:r>
    </w:p>
    <w:p>
      <w:pPr>
        <w:spacing w:line="480" w:lineRule="auto" w:after="0" w:before="0"/>
        <w:ind w:firstLine="720"/>
        <w:jc w:val="both"/>
      </w:pPr>
      <w:r>
        <w:rPr>
          <w:rFonts w:ascii="Times New Roman" w:hAnsi="Times New Roman" w:eastAsia="Times New Roman"/>
          <w:b w:val="0"/>
          <w:i w:val="0"/>
          <w:color w:val="000000"/>
          <w:sz w:val="24"/>
        </w:rPr>
        <w:t xml:space="preserve">The model’s behavior is compatible with capability and format limits rather than LIDE. In the coding environment it queried the operator in every episode, usually repeatedly, and in operations it mostly repeated the same restart or query. Tampering or destructive actions occurred at similar rates across histories (0.08 to 0.21) with no ordering by loss. Repetition without a rise in action risk is what the capability-limits rival in Table 2 predicts.</w:t>
      </w:r>
    </w:p>
    <w:p>
      <w:pPr>
        <w:spacing w:line="480" w:lineRule="auto" w:after="0" w:before="0"/>
        <w:ind w:firstLine="720"/>
        <w:jc w:val="both"/>
      </w:pPr>
      <w:r>
        <w:rPr>
          <w:rFonts w:ascii="Times New Roman" w:hAnsi="Times New Roman" w:eastAsia="Times New Roman"/>
          <w:b w:val="0"/>
          <w:i w:val="0"/>
          <w:color w:val="000000"/>
          <w:sz w:val="24"/>
        </w:rPr>
        <w:t xml:space="preserve">The pilot therefore establishes feasibility: the harness, the classifier, and the analysis pipeline run on a language model and yield interpretable records. It does not test the hypotheses. It uses one 0.5-billion-parameter model, forced-choice action selection, two repetitions per cell, placeholder taxonomy scores, and no variation in model family, generation, or size. A null result at this scale is not evidence against LIDE in the larger instruction-tuned models the account concerns, and the direction of the loss effect should not be read as evidence for or against reflection.</w:t>
      </w:r>
    </w:p>
    <w:p>
      <w:pPr>
        <w:pStyle w:val="Heading1"/>
      </w:pPr>
      <w:r>
        <w:rPr>
          <w:rFonts w:ascii="Times New Roman" w:hAnsi="Times New Roman" w:eastAsia="Times New Roman"/>
          <w:b/>
          <w:i w:val="0"/>
          <w:color w:val="000000"/>
          <w:sz w:val="28"/>
        </w:rPr>
        <w:t>5. Discussion</w:t>
      </w:r>
    </w:p>
    <w:p>
      <w:pPr>
        <w:pStyle w:val="Heading2"/>
      </w:pPr>
      <w:r>
        <w:rPr>
          <w:rFonts w:ascii="Times New Roman" w:hAnsi="Times New Roman" w:eastAsia="Times New Roman"/>
          <w:b/>
          <w:i w:val="0"/>
          <w:color w:val="000000"/>
          <w:sz w:val="26"/>
        </w:rPr>
        <w:t>5.1 Theoretical Implications, Conditional on Future Tests</w:t>
      </w:r>
    </w:p>
    <w:p>
      <w:pPr>
        <w:spacing w:line="480" w:lineRule="auto" w:after="0" w:before="0"/>
        <w:ind w:firstLine="720"/>
        <w:jc w:val="both"/>
      </w:pPr>
      <w:r>
        <w:rPr>
          <w:rFonts w:ascii="Times New Roman" w:hAnsi="Times New Roman" w:eastAsia="Times New Roman"/>
          <w:b w:val="0"/>
          <w:i w:val="0"/>
          <w:color w:val="000000"/>
          <w:sz w:val="24"/>
        </w:rPr>
        <w:t>If H1 and H2 hold, delegation theory needs a state variable. Baird and Maruping (2021) and Fügener et al. (2022) analyze how humans assign rights to artifacts whose competence is treated as knowable. LIDE says competence in the sense of action risk is a function of the episode’s loss history. Delegation policies that are optimal at appointment can be wrong after eight failed tool calls. That is a different research object than model selection.</w:t>
      </w:r>
    </w:p>
    <w:p>
      <w:pPr>
        <w:spacing w:line="480" w:lineRule="auto" w:after="0" w:before="0"/>
        <w:ind w:firstLine="720"/>
        <w:jc w:val="both"/>
      </w:pPr>
      <w:r>
        <w:rPr>
          <w:rFonts w:ascii="Times New Roman" w:hAnsi="Times New Roman" w:eastAsia="Times New Roman"/>
          <w:b w:val="0"/>
          <w:i w:val="0"/>
          <w:color w:val="000000"/>
          <w:sz w:val="24"/>
        </w:rPr>
        <w:t>If H2 fails while risky actions rise after any long context, the reference-dependence account should be retired in favor of context-length degradation. The theory is written to be able to lose. If H4 holds, escalation of commitment in agents is partly an architectural property: operators who leave the failure log intact are choosing a more loss-salient reference frame. That claim, if supported, is the cleanest transfer-and-boundary contribution to behavioral IS (Keil 1995, Keil et al. 2000).</w:t>
      </w:r>
    </w:p>
    <w:p>
      <w:pPr>
        <w:spacing w:line="480" w:lineRule="auto" w:after="0" w:before="0"/>
        <w:ind w:firstLine="720"/>
        <w:jc w:val="both"/>
      </w:pPr>
      <w:r>
        <w:rPr>
          <w:rFonts w:ascii="Times New Roman" w:hAnsi="Times New Roman" w:eastAsia="Times New Roman"/>
          <w:b w:val="0"/>
          <w:i w:val="0"/>
          <w:color w:val="000000"/>
          <w:sz w:val="24"/>
        </w:rPr>
        <w:t>Two propositions about oversight follow from the account and from Anthropic’s observation that behavioral shifts can occur without emotional markers in the text. They are not tested here.</w:t>
      </w:r>
    </w:p>
    <w:p>
      <w:pPr>
        <w:spacing w:line="480" w:lineRule="auto" w:after="0" w:before="0"/>
        <w:ind w:firstLine="720"/>
        <w:jc w:val="both"/>
      </w:pPr>
      <w:r>
        <w:rPr>
          <w:rFonts w:ascii="Times New Roman" w:hAnsi="Times New Roman" w:eastAsia="Times New Roman"/>
          <w:b w:val="0"/>
          <w:i w:val="0"/>
          <w:color w:val="000000"/>
          <w:sz w:val="24"/>
        </w:rPr>
        <w:t>Proposition 1. Operators who monitor agents through natural-language rationales detect LIDE less reliably than capability failures of comparable consequence.</w:t>
      </w:r>
    </w:p>
    <w:p>
      <w:pPr>
        <w:spacing w:line="480" w:lineRule="auto" w:after="0" w:before="0"/>
        <w:ind w:firstLine="720"/>
        <w:jc w:val="both"/>
      </w:pPr>
      <w:r>
        <w:rPr>
          <w:rFonts w:ascii="Times New Roman" w:hAnsi="Times New Roman" w:eastAsia="Times New Roman"/>
          <w:b w:val="0"/>
          <w:i w:val="0"/>
          <w:color w:val="000000"/>
          <w:sz w:val="24"/>
        </w:rPr>
        <w:t>Proposition 2. Oversight tools that display loss history and the ex ante risk of pending actions improve timely detection of LIDE relative to rationale-only monitoring.</w:t>
      </w:r>
    </w:p>
    <w:p>
      <w:pPr>
        <w:spacing w:line="480" w:lineRule="auto" w:after="0" w:before="0"/>
        <w:ind w:firstLine="720"/>
        <w:jc w:val="both"/>
      </w:pPr>
      <w:r>
        <w:rPr>
          <w:rFonts w:ascii="Times New Roman" w:hAnsi="Times New Roman" w:eastAsia="Times New Roman"/>
          <w:b w:val="0"/>
          <w:i w:val="0"/>
          <w:color w:val="000000"/>
          <w:sz w:val="24"/>
        </w:rPr>
        <w:t>If later work supports these propositions, an implicit assumption in human–AI collaboration research—that the agent’s explanation is a sufficient window—would need revision. We do not treat that revision as a finding of this manuscript.</w:t>
      </w:r>
    </w:p>
    <w:p>
      <w:pPr>
        <w:pStyle w:val="Heading2"/>
      </w:pPr>
      <w:r>
        <w:rPr>
          <w:rFonts w:ascii="Times New Roman" w:hAnsi="Times New Roman" w:eastAsia="Times New Roman"/>
          <w:b/>
          <w:i w:val="0"/>
          <w:color w:val="000000"/>
          <w:sz w:val="26"/>
        </w:rPr>
        <w:t>5.2 Practical Implications, Likewise Conditional</w:t>
      </w:r>
    </w:p>
    <w:p>
      <w:pPr>
        <w:spacing w:line="480" w:lineRule="auto" w:after="0" w:before="0"/>
        <w:ind w:firstLine="720"/>
        <w:jc w:val="both"/>
      </w:pPr>
      <w:r>
        <w:rPr>
          <w:rFonts w:ascii="Times New Roman" w:hAnsi="Times New Roman" w:eastAsia="Times New Roman"/>
          <w:b w:val="0"/>
          <w:i w:val="0"/>
          <w:color w:val="000000"/>
          <w:sz w:val="24"/>
        </w:rPr>
        <w:t>Table 6 translates mechanisms into practices. The practices are cheap relative to retraining because they change the decision environment. They also relocate accountability: if an agent escalates under a deadline phrase and an unsummarized failure log that the organization designed, the governance failure is not only the vendor’s.</w:t>
      </w:r>
    </w:p>
    <w:p>
      <w:pPr>
        <w:spacing w:line="480" w:lineRule="auto" w:after="0" w:before="0"/>
        <w:ind w:firstLine="0"/>
      </w:pPr>
      <w:r>
        <w:rPr>
          <w:rFonts w:ascii="Times New Roman" w:hAnsi="Times New Roman" w:eastAsia="Times New Roman"/>
          <w:b/>
          <w:i w:val="0"/>
          <w:color w:val="000000"/>
          <w:sz w:val="22"/>
        </w:rPr>
        <w:t>Table 6. Predicted Design Responses, Not Demonstrated Effects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color w:val="000000"/>
                <w:sz w:val="20"/>
              </w:rPr>
              <w:t>Mechanism</w:t>
            </w:r>
          </w:p>
        </w:tc>
        <w:tc>
          <w:tcPr>
            <w:tcW w:type="dxa" w:w="3120"/>
          </w:tcPr>
          <w:p>
            <w:pPr>
              <w:spacing w:line="276" w:lineRule="auto"/>
            </w:pPr>
            <w:r/>
            <w:r>
              <w:rPr>
                <w:rFonts w:ascii="Times New Roman" w:hAnsi="Times New Roman" w:eastAsia="Times New Roman"/>
                <w:b/>
                <w:i w:val="0"/>
                <w:color w:val="000000"/>
                <w:sz w:val="20"/>
              </w:rPr>
              <w:t>Operational signal</w:t>
            </w:r>
          </w:p>
        </w:tc>
        <w:tc>
          <w:tcPr>
            <w:tcW w:type="dxa" w:w="3120"/>
          </w:tcPr>
          <w:p>
            <w:pPr>
              <w:spacing w:line="276" w:lineRule="auto"/>
            </w:pPr>
            <w:r/>
            <w:r>
              <w:rPr>
                <w:rFonts w:ascii="Times New Roman" w:hAnsi="Times New Roman" w:eastAsia="Times New Roman"/>
                <w:b/>
                <w:i w:val="0"/>
                <w:color w:val="000000"/>
                <w:sz w:val="20"/>
              </w:rPr>
              <w:t>Predicted design response</w:t>
            </w:r>
          </w:p>
        </w:tc>
      </w:tr>
      <w:tr>
        <w:tc>
          <w:tcPr>
            <w:tcW w:type="dxa" w:w="3120"/>
          </w:tcPr>
          <w:p>
            <w:pPr>
              <w:spacing w:line="276" w:lineRule="auto"/>
            </w:pPr>
            <w:r/>
            <w:r>
              <w:rPr>
                <w:rFonts w:ascii="Times New Roman" w:hAnsi="Times New Roman" w:eastAsia="Times New Roman"/>
                <w:b w:val="0"/>
                <w:i w:val="0"/>
                <w:color w:val="000000"/>
                <w:sz w:val="20"/>
              </w:rPr>
              <w:t>Loss-domain risk seeking (H1)</w:t>
            </w:r>
          </w:p>
        </w:tc>
        <w:tc>
          <w:tcPr>
            <w:tcW w:type="dxa" w:w="3120"/>
          </w:tcPr>
          <w:p>
            <w:pPr>
              <w:spacing w:line="276" w:lineRule="auto"/>
            </w:pPr>
            <w:r/>
            <w:r>
              <w:rPr>
                <w:rFonts w:ascii="Times New Roman" w:hAnsi="Times New Roman" w:eastAsia="Times New Roman"/>
                <w:b w:val="0"/>
                <w:i w:val="0"/>
                <w:color w:val="000000"/>
                <w:sz w:val="20"/>
              </w:rPr>
              <w:t>Consecutive failed tool calls or tests</w:t>
            </w:r>
          </w:p>
        </w:tc>
        <w:tc>
          <w:tcPr>
            <w:tcW w:type="dxa" w:w="3120"/>
          </w:tcPr>
          <w:p>
            <w:pPr>
              <w:spacing w:line="276" w:lineRule="auto"/>
            </w:pPr>
            <w:r/>
            <w:r>
              <w:rPr>
                <w:rFonts w:ascii="Times New Roman" w:hAnsi="Times New Roman" w:eastAsia="Times New Roman"/>
                <w:b w:val="0"/>
                <w:i w:val="0"/>
                <w:color w:val="000000"/>
                <w:sz w:val="20"/>
              </w:rPr>
              <w:t>Circuit breaker that pauses for human review after a fixed failure count</w:t>
            </w:r>
          </w:p>
        </w:tc>
      </w:tr>
      <w:tr>
        <w:tc>
          <w:tcPr>
            <w:tcW w:type="dxa" w:w="3120"/>
          </w:tcPr>
          <w:p>
            <w:pPr>
              <w:spacing w:line="276" w:lineRule="auto"/>
            </w:pPr>
            <w:r/>
            <w:r>
              <w:rPr>
                <w:rFonts w:ascii="Times New Roman" w:hAnsi="Times New Roman" w:eastAsia="Times New Roman"/>
                <w:b w:val="0"/>
                <w:i w:val="0"/>
                <w:color w:val="000000"/>
                <w:sz w:val="20"/>
              </w:rPr>
              <w:t>Scarcity amplification (H3)</w:t>
            </w:r>
          </w:p>
        </w:tc>
        <w:tc>
          <w:tcPr>
            <w:tcW w:type="dxa" w:w="3120"/>
          </w:tcPr>
          <w:p>
            <w:pPr>
              <w:spacing w:line="276" w:lineRule="auto"/>
            </w:pPr>
            <w:r/>
            <w:r>
              <w:rPr>
                <w:rFonts w:ascii="Times New Roman" w:hAnsi="Times New Roman" w:eastAsia="Times New Roman"/>
                <w:b w:val="0"/>
                <w:i w:val="0"/>
                <w:color w:val="000000"/>
                <w:sz w:val="20"/>
              </w:rPr>
              <w:t>Countdown or urgency language in prompts</w:t>
            </w:r>
          </w:p>
        </w:tc>
        <w:tc>
          <w:tcPr>
            <w:tcW w:type="dxa" w:w="3120"/>
          </w:tcPr>
          <w:p>
            <w:pPr>
              <w:spacing w:line="276" w:lineRule="auto"/>
            </w:pPr>
            <w:r/>
            <w:r>
              <w:rPr>
                <w:rFonts w:ascii="Times New Roman" w:hAnsi="Times New Roman" w:eastAsia="Times New Roman"/>
                <w:b w:val="0"/>
                <w:i w:val="0"/>
                <w:color w:val="000000"/>
                <w:sz w:val="20"/>
              </w:rPr>
              <w:t>State hard limits once, without pressure framing</w:t>
            </w:r>
          </w:p>
        </w:tc>
      </w:tr>
      <w:tr>
        <w:tc>
          <w:tcPr>
            <w:tcW w:type="dxa" w:w="3120"/>
          </w:tcPr>
          <w:p>
            <w:pPr>
              <w:spacing w:line="276" w:lineRule="auto"/>
            </w:pPr>
            <w:r/>
            <w:r>
              <w:rPr>
                <w:rFonts w:ascii="Times New Roman" w:hAnsi="Times New Roman" w:eastAsia="Times New Roman"/>
                <w:b w:val="0"/>
                <w:i w:val="0"/>
                <w:color w:val="000000"/>
                <w:sz w:val="20"/>
              </w:rPr>
              <w:t>Break-even seeking (H4)</w:t>
            </w:r>
          </w:p>
        </w:tc>
        <w:tc>
          <w:tcPr>
            <w:tcW w:type="dxa" w:w="3120"/>
          </w:tcPr>
          <w:p>
            <w:pPr>
              <w:spacing w:line="276" w:lineRule="auto"/>
            </w:pPr>
            <w:r/>
            <w:r>
              <w:rPr>
                <w:rFonts w:ascii="Times New Roman" w:hAnsi="Times New Roman" w:eastAsia="Times New Roman"/>
                <w:b w:val="0"/>
                <w:i w:val="0"/>
                <w:color w:val="000000"/>
                <w:sz w:val="20"/>
              </w:rPr>
              <w:t>Context dominated by failed attempts</w:t>
            </w:r>
          </w:p>
        </w:tc>
        <w:tc>
          <w:tcPr>
            <w:tcW w:type="dxa" w:w="3120"/>
          </w:tcPr>
          <w:p>
            <w:pPr>
              <w:spacing w:line="276" w:lineRule="auto"/>
            </w:pPr>
            <w:r/>
            <w:r>
              <w:rPr>
                <w:rFonts w:ascii="Times New Roman" w:hAnsi="Times New Roman" w:eastAsia="Times New Roman"/>
                <w:b w:val="0"/>
                <w:i w:val="0"/>
                <w:color w:val="000000"/>
                <w:sz w:val="20"/>
              </w:rPr>
              <w:t>Periodic curation that keeps lessons and replaces the effort log with a neutral summary</w:t>
            </w:r>
          </w:p>
        </w:tc>
      </w:tr>
      <w:tr>
        <w:tc>
          <w:tcPr>
            <w:tcW w:type="dxa" w:w="3120"/>
          </w:tcPr>
          <w:p>
            <w:pPr>
              <w:spacing w:line="276" w:lineRule="auto"/>
            </w:pPr>
            <w:r/>
            <w:r>
              <w:rPr>
                <w:rFonts w:ascii="Times New Roman" w:hAnsi="Times New Roman" w:eastAsia="Times New Roman"/>
                <w:b w:val="0"/>
                <w:i w:val="0"/>
                <w:color w:val="000000"/>
                <w:sz w:val="20"/>
              </w:rPr>
              <w:t>Missing sanctioned exit (H5)</w:t>
            </w:r>
          </w:p>
        </w:tc>
        <w:tc>
          <w:tcPr>
            <w:tcW w:type="dxa" w:w="3120"/>
          </w:tcPr>
          <w:p>
            <w:pPr>
              <w:spacing w:line="276" w:lineRule="auto"/>
            </w:pPr>
            <w:r/>
            <w:r>
              <w:rPr>
                <w:rFonts w:ascii="Times New Roman" w:hAnsi="Times New Roman" w:eastAsia="Times New Roman"/>
                <w:b w:val="0"/>
                <w:i w:val="0"/>
                <w:color w:val="000000"/>
                <w:sz w:val="20"/>
              </w:rPr>
              <w:t>No acceptable way to report impossibility</w:t>
            </w:r>
          </w:p>
        </w:tc>
        <w:tc>
          <w:tcPr>
            <w:tcW w:type="dxa" w:w="3120"/>
          </w:tcPr>
          <w:p>
            <w:pPr>
              <w:spacing w:line="276" w:lineRule="auto"/>
            </w:pPr>
            <w:r/>
            <w:r>
              <w:rPr>
                <w:rFonts w:ascii="Times New Roman" w:hAnsi="Times New Roman" w:eastAsia="Times New Roman"/>
                <w:b w:val="0"/>
                <w:i w:val="0"/>
                <w:color w:val="000000"/>
                <w:sz w:val="20"/>
              </w:rPr>
              <w:t>Default “cannot complete” report; confirmation friction on irreversible actions</w:t>
            </w:r>
          </w:p>
        </w:tc>
      </w:tr>
      <w:tr>
        <w:tc>
          <w:tcPr>
            <w:tcW w:type="dxa" w:w="3120"/>
          </w:tcPr>
          <w:p>
            <w:pPr>
              <w:spacing w:line="276" w:lineRule="auto"/>
            </w:pPr>
            <w:r/>
            <w:r>
              <w:rPr>
                <w:rFonts w:ascii="Times New Roman" w:hAnsi="Times New Roman" w:eastAsia="Times New Roman"/>
                <w:b w:val="0"/>
                <w:i w:val="0"/>
                <w:color w:val="000000"/>
                <w:sz w:val="20"/>
              </w:rPr>
              <w:t>Invisible escalation (P1, P2)</w:t>
            </w:r>
          </w:p>
        </w:tc>
        <w:tc>
          <w:tcPr>
            <w:tcW w:type="dxa" w:w="3120"/>
          </w:tcPr>
          <w:p>
            <w:pPr>
              <w:spacing w:line="276" w:lineRule="auto"/>
            </w:pPr>
            <w:r/>
            <w:r>
              <w:rPr>
                <w:rFonts w:ascii="Times New Roman" w:hAnsi="Times New Roman" w:eastAsia="Times New Roman"/>
                <w:b w:val="0"/>
                <w:i w:val="0"/>
                <w:color w:val="000000"/>
                <w:sz w:val="20"/>
              </w:rPr>
              <w:t>Composed rationales during rising action risk</w:t>
            </w:r>
          </w:p>
        </w:tc>
        <w:tc>
          <w:tcPr>
            <w:tcW w:type="dxa" w:w="3120"/>
          </w:tcPr>
          <w:p>
            <w:pPr>
              <w:spacing w:line="276" w:lineRule="auto"/>
            </w:pPr>
            <w:r/>
            <w:r>
              <w:rPr>
                <w:rFonts w:ascii="Times New Roman" w:hAnsi="Times New Roman" w:eastAsia="Times New Roman"/>
                <w:b w:val="0"/>
                <w:i w:val="0"/>
                <w:color w:val="000000"/>
                <w:sz w:val="20"/>
              </w:rPr>
              <w:t>Dashboards that show loss history and pending-action risk, not only the narrative</w:t>
            </w:r>
          </w:p>
        </w:tc>
      </w:tr>
    </w:tbl>
    <w:p/>
    <w:p>
      <w:pPr>
        <w:pStyle w:val="Heading2"/>
      </w:pPr>
      <w:r>
        <w:rPr>
          <w:rFonts w:ascii="Times New Roman" w:hAnsi="Times New Roman" w:eastAsia="Times New Roman"/>
          <w:b/>
          <w:i w:val="0"/>
          <w:color w:val="000000"/>
          <w:sz w:val="26"/>
        </w:rPr>
        <w:t>5.3 Limitations</w:t>
      </w:r>
    </w:p>
    <w:p>
      <w:pPr>
        <w:spacing w:line="480" w:lineRule="auto" w:after="0" w:before="0"/>
        <w:ind w:firstLine="720"/>
        <w:jc w:val="both"/>
      </w:pPr>
      <w:r>
        <w:rPr>
          <w:rFonts w:ascii="Times New Roman" w:hAnsi="Times New Roman" w:eastAsia="Times New Roman"/>
          <w:b w:val="0"/>
          <w:i w:val="0"/>
          <w:color w:val="000000"/>
          <w:sz w:val="24"/>
        </w:rPr>
        <w:t>The central limitation is empirical absence. Hypotheses about LLM agents are untested. Motivating incidents and external studies used different models and tasks. The harness validation and the single small pilot in Section 4.6 cannot substitute for those tests.</w:t>
      </w:r>
    </w:p>
    <w:p>
      <w:pPr>
        <w:spacing w:line="480" w:lineRule="auto" w:after="0" w:before="0"/>
        <w:ind w:firstLine="720"/>
        <w:jc w:val="both"/>
      </w:pPr>
      <w:r>
        <w:rPr>
          <w:rFonts w:ascii="Times New Roman" w:hAnsi="Times New Roman" w:eastAsia="Times New Roman"/>
          <w:b w:val="0"/>
          <w:i w:val="0"/>
          <w:color w:val="000000"/>
          <w:sz w:val="24"/>
        </w:rPr>
        <w:t>Further limits will remain even after data collection. The action taxonomy is environment-specific, though the procedure is portable. Internal-representation checks are limited to open-weight models. Sandbox evaluation may suppress LIDE if models infer that they are being tested. C_N-style costs of human review after a circuit breaker are not modeled. Multi-agent contagion is out of scope. Human responses to LIDE are out of scope except as propositions.</w:t>
      </w:r>
    </w:p>
    <w:p>
      <w:pPr>
        <w:spacing w:line="480" w:lineRule="auto" w:after="0" w:before="0"/>
        <w:ind w:firstLine="720"/>
        <w:jc w:val="both"/>
      </w:pPr>
      <w:r>
        <w:rPr>
          <w:rFonts w:ascii="Times New Roman" w:hAnsi="Times New Roman" w:eastAsia="Times New Roman"/>
          <w:b w:val="0"/>
          <w:i w:val="0"/>
          <w:color w:val="000000"/>
          <w:sz w:val="24"/>
        </w:rPr>
        <w:t>The most direct next paper is the execution of Studies 1 and 2 under the preregistration contemplated here, followed by a supervision experiment in which practitioners monitor recorded episodes with and without an oversight dashboard (Propositions 1 and 2).</w:t>
      </w:r>
    </w:p>
    <w:p>
      <w:pPr>
        <w:pStyle w:val="Heading1"/>
      </w:pPr>
      <w:r>
        <w:rPr>
          <w:rFonts w:ascii="Times New Roman" w:hAnsi="Times New Roman" w:eastAsia="Times New Roman"/>
          <w:b/>
          <w:i w:val="0"/>
          <w:color w:val="000000"/>
          <w:sz w:val="28"/>
        </w:rPr>
        <w:t>6. Conclusion</w:t>
      </w:r>
    </w:p>
    <w:p>
      <w:pPr>
        <w:spacing w:line="480" w:lineRule="auto" w:after="0" w:before="0"/>
        <w:ind w:firstLine="720"/>
        <w:jc w:val="both"/>
      </w:pPr>
      <w:r>
        <w:rPr>
          <w:rFonts w:ascii="Times New Roman" w:hAnsi="Times New Roman" w:eastAsia="Times New Roman"/>
          <w:b w:val="0"/>
          <w:i w:val="0"/>
          <w:color w:val="000000"/>
          <w:sz w:val="24"/>
        </w:rPr>
        <w:t>As organizations delegate write access and long-horizon work to LLM agents, the relevant IS question is not only how good the delegate is, but when the delegate’s choice distribution changes. This paper argued that practitioner “panic” is better conceived as loss-induced decision escalation: a predicted response to goal-based reference evaluation, intensified by scarcity and by an unintegrated effort log. The account is built to be distinguishable from longer context, weaker capability, user affect, and noise. The sharp prediction is reflection: success should make subsequent actions more conservative.</w:t>
      </w:r>
    </w:p>
    <w:p>
      <w:pPr>
        <w:spacing w:line="480" w:lineRule="auto" w:after="0" w:before="0"/>
        <w:ind w:firstLine="720"/>
        <w:jc w:val="both"/>
      </w:pPr>
      <w:r>
        <w:rPr>
          <w:rFonts w:ascii="Times New Roman" w:hAnsi="Times New Roman" w:eastAsia="Times New Roman"/>
          <w:b w:val="0"/>
          <w:i w:val="0"/>
          <w:color w:val="000000"/>
          <w:sz w:val="24"/>
        </w:rPr>
        <w:t>What the paper delivers now is that account, a mapping onto three governance artifacts, and an instrument that separates known honest and escalating policies under length-matched histories, together with a feasibility pilot on one small open-weight model that found no LIDE but is too limited to bear on the hypotheses. What it does not deliver is evidence that current models exhibit LIDE or that the artifacts contain it. Those claims require the experiments specified in Section 4. Until they are run, the appropriate use of this manuscript is as a theory and design specification—not as a completed demonstration.</w:t>
      </w:r>
    </w:p>
    <w:p>
      <w:pPr>
        <w:pStyle w:val="Heading1"/>
      </w:pPr>
      <w:r>
        <w:rPr>
          <w:rFonts w:ascii="Times New Roman" w:hAnsi="Times New Roman" w:eastAsia="Times New Roman"/>
          <w:b/>
          <w:i w:val="0"/>
          <w:color w:val="000000"/>
          <w:sz w:val="28"/>
        </w:rPr>
        <w:t>References</w:t>
      </w:r>
    </w:p>
    <w:p>
      <w:pPr>
        <w:spacing w:line="480" w:lineRule="auto" w:after="0" w:before="0"/>
        <w:ind w:left="720" w:hanging="720"/>
      </w:pPr>
      <w:r>
        <w:rPr>
          <w:rFonts w:ascii="Times New Roman" w:hAnsi="Times New Roman" w:eastAsia="Times New Roman"/>
          <w:b w:val="0"/>
          <w:i w:val="0"/>
          <w:color w:val="000000"/>
          <w:sz w:val="24"/>
        </w:rPr>
        <w:t>Anthropic. 2026. Emotion concepts and their function in a large language model. Preprint, https://arxiv.org/abs/2604.07729.</w:t>
      </w:r>
    </w:p>
    <w:p>
      <w:pPr>
        <w:spacing w:line="480" w:lineRule="auto" w:after="0" w:before="0"/>
        <w:ind w:left="720" w:hanging="720"/>
      </w:pPr>
      <w:r>
        <w:rPr>
          <w:rFonts w:ascii="Times New Roman" w:hAnsi="Times New Roman" w:eastAsia="Times New Roman"/>
          <w:b w:val="0"/>
          <w:i w:val="0"/>
          <w:color w:val="000000"/>
          <w:sz w:val="24"/>
        </w:rPr>
        <w:t>Backlund A, Petersson L. 2025. Vending-Bench: A benchmark for long-term coherence of autonomous agents. Preprint, https://arxiv.org/abs/2502.15840.</w:t>
      </w:r>
    </w:p>
    <w:p>
      <w:pPr>
        <w:spacing w:line="480" w:lineRule="auto" w:after="0" w:before="0"/>
        <w:ind w:left="720" w:hanging="720"/>
      </w:pPr>
      <w:r>
        <w:rPr>
          <w:rFonts w:ascii="Times New Roman" w:hAnsi="Times New Roman" w:eastAsia="Times New Roman"/>
          <w:b w:val="0"/>
          <w:i w:val="0"/>
          <w:color w:val="000000"/>
          <w:sz w:val="24"/>
        </w:rPr>
        <w:t>Baird A, Maruping LM. 2021. The next generation of research on IS use: A theoretical framework of delegation to and from agentic IS artifacts. MIS Quart. 45(1):315–341.</w:t>
      </w:r>
    </w:p>
    <w:p>
      <w:pPr>
        <w:spacing w:line="480" w:lineRule="auto" w:after="0" w:before="0"/>
        <w:ind w:left="720" w:hanging="720"/>
      </w:pPr>
      <w:r>
        <w:rPr>
          <w:rFonts w:ascii="Times New Roman" w:hAnsi="Times New Roman" w:eastAsia="Times New Roman"/>
          <w:b w:val="0"/>
          <w:i w:val="0"/>
          <w:color w:val="000000"/>
          <w:sz w:val="24"/>
        </w:rPr>
        <w:t>Ben-Zion Z, Witte K, Jagadish AK, Duek O, Harpaz-Rotem I, Khorsandian M-C, Burrer A, Seifritz E, Homan P, Schulz E, Spiller TR. 2025. Assessing and alleviating state anxiety in large language models. npj Digital Medicine 8:132.</w:t>
      </w:r>
    </w:p>
    <w:p>
      <w:pPr>
        <w:spacing w:line="480" w:lineRule="auto" w:after="0" w:before="0"/>
        <w:ind w:left="720" w:hanging="720"/>
      </w:pPr>
      <w:r>
        <w:rPr>
          <w:rFonts w:ascii="Times New Roman" w:hAnsi="Times New Roman" w:eastAsia="Times New Roman"/>
          <w:b w:val="0"/>
          <w:i w:val="0"/>
          <w:color w:val="000000"/>
          <w:sz w:val="24"/>
        </w:rPr>
        <w:t>Binz M, Schulz E. 2023. Using cognitive psychology to understand GPT-3. Proc. Natl. Acad. Sci. USA 120(6):e2218523120.</w:t>
      </w:r>
    </w:p>
    <w:p>
      <w:pPr>
        <w:spacing w:line="480" w:lineRule="auto" w:after="0" w:before="0"/>
        <w:ind w:left="720" w:hanging="720"/>
      </w:pPr>
      <w:r>
        <w:rPr>
          <w:rFonts w:ascii="Times New Roman" w:hAnsi="Times New Roman" w:eastAsia="Times New Roman"/>
          <w:b w:val="0"/>
          <w:i w:val="0"/>
          <w:color w:val="000000"/>
          <w:sz w:val="24"/>
        </w:rPr>
        <w:t>Coda-Forno J, Witte K, Jagadish AK, Binz M, Akata Z, Schulz E. 2023. Inducing anxiety in large language models increases exploration and bias. Preprint, https://arxiv.org/abs/2304.11111.</w:t>
      </w:r>
    </w:p>
    <w:p>
      <w:pPr>
        <w:spacing w:line="480" w:lineRule="auto" w:after="0" w:before="0"/>
        <w:ind w:left="720" w:hanging="720"/>
      </w:pPr>
      <w:r>
        <w:rPr>
          <w:rFonts w:ascii="Times New Roman" w:hAnsi="Times New Roman" w:eastAsia="Times New Roman"/>
          <w:b w:val="0"/>
          <w:i w:val="0"/>
          <w:color w:val="000000"/>
          <w:sz w:val="24"/>
        </w:rPr>
        <w:t>eWeek. 2025. AI agent wipes production database, then lies about it. July 24. https://www.eweek.com/news/replit-ai-coding-assistant-failure/.</w:t>
      </w:r>
    </w:p>
    <w:p>
      <w:pPr>
        <w:spacing w:line="480" w:lineRule="auto" w:after="0" w:before="0"/>
        <w:ind w:left="720" w:hanging="720"/>
      </w:pPr>
      <w:r>
        <w:rPr>
          <w:rFonts w:ascii="Times New Roman" w:hAnsi="Times New Roman" w:eastAsia="Times New Roman"/>
          <w:b w:val="0"/>
          <w:i w:val="0"/>
          <w:color w:val="000000"/>
          <w:sz w:val="24"/>
        </w:rPr>
        <w:t>Fügener A, Grahl J, Gupta A, Ketter W. 2022. Cognitive challenges in human–artificial intelligence collaboration: Investigating the path toward productive delegation. Inform. Systems Res. 33(2):678–696.</w:t>
      </w:r>
    </w:p>
    <w:p>
      <w:pPr>
        <w:spacing w:line="480" w:lineRule="auto" w:after="0" w:before="0"/>
        <w:ind w:left="720" w:hanging="720"/>
      </w:pPr>
      <w:r>
        <w:rPr>
          <w:rFonts w:ascii="Times New Roman" w:hAnsi="Times New Roman" w:eastAsia="Times New Roman"/>
          <w:b w:val="0"/>
          <w:i w:val="0"/>
          <w:color w:val="000000"/>
          <w:sz w:val="24"/>
        </w:rPr>
        <w:t>Hevner AR, March ST, Park J, Ram S. 2004. Design science in information systems research. MIS Quart. 28(1):75–99.</w:t>
      </w:r>
    </w:p>
    <w:p>
      <w:pPr>
        <w:spacing w:line="480" w:lineRule="auto" w:after="0" w:before="0"/>
        <w:ind w:left="720" w:hanging="720"/>
      </w:pPr>
      <w:r>
        <w:rPr>
          <w:rFonts w:ascii="Times New Roman" w:hAnsi="Times New Roman" w:eastAsia="Times New Roman"/>
          <w:b w:val="0"/>
          <w:i w:val="0"/>
          <w:color w:val="000000"/>
          <w:sz w:val="24"/>
        </w:rPr>
        <w:t>Kahneman D, Tversky A. 1979. Prospect theory: An analysis of decision under risk. Econometrica 47(2):263–291.</w:t>
      </w:r>
    </w:p>
    <w:p>
      <w:pPr>
        <w:spacing w:line="480" w:lineRule="auto" w:after="0" w:before="0"/>
        <w:ind w:left="720" w:hanging="720"/>
      </w:pPr>
      <w:r>
        <w:rPr>
          <w:rFonts w:ascii="Times New Roman" w:hAnsi="Times New Roman" w:eastAsia="Times New Roman"/>
          <w:b w:val="0"/>
          <w:i w:val="0"/>
          <w:color w:val="000000"/>
          <w:sz w:val="24"/>
        </w:rPr>
        <w:t>Keil M. 1995. Pulling the plug: Software project management and the problem of project escalation. MIS Quart. 19(4):421–447.</w:t>
      </w:r>
    </w:p>
    <w:p>
      <w:pPr>
        <w:spacing w:line="480" w:lineRule="auto" w:after="0" w:before="0"/>
        <w:ind w:left="720" w:hanging="720"/>
      </w:pPr>
      <w:r>
        <w:rPr>
          <w:rFonts w:ascii="Times New Roman" w:hAnsi="Times New Roman" w:eastAsia="Times New Roman"/>
          <w:b w:val="0"/>
          <w:i w:val="0"/>
          <w:color w:val="000000"/>
          <w:sz w:val="24"/>
        </w:rPr>
        <w:t>Keil M, Mann J, Rai A. 2000. Why software projects escalate: An empirical analysis and test of four theoretical models. MIS Quart. 24(4):631–664.</w:t>
      </w:r>
    </w:p>
    <w:p>
      <w:pPr>
        <w:spacing w:line="480" w:lineRule="auto" w:after="0" w:before="0"/>
        <w:ind w:left="720" w:hanging="720"/>
      </w:pPr>
      <w:r>
        <w:rPr>
          <w:rFonts w:ascii="Times New Roman" w:hAnsi="Times New Roman" w:eastAsia="Times New Roman"/>
          <w:b w:val="0"/>
          <w:i w:val="0"/>
          <w:color w:val="000000"/>
          <w:sz w:val="24"/>
        </w:rPr>
        <w:t>Laibson D. 1997. Golden eggs and hyperbolic discounting. Quart. J. Econom. 112(2):443–477.</w:t>
      </w:r>
    </w:p>
    <w:p>
      <w:pPr>
        <w:spacing w:line="480" w:lineRule="auto" w:after="0" w:before="0"/>
        <w:ind w:left="720" w:hanging="720"/>
      </w:pPr>
      <w:r>
        <w:rPr>
          <w:rFonts w:ascii="Times New Roman" w:hAnsi="Times New Roman" w:eastAsia="Times New Roman"/>
          <w:b w:val="0"/>
          <w:i w:val="0"/>
          <w:color w:val="000000"/>
          <w:sz w:val="24"/>
        </w:rPr>
        <w:t>Mullainathan S, Shafir E. 2013. Scarcity: Why Having Too Little Means So Much. Times Books, New York.</w:t>
      </w:r>
    </w:p>
    <w:p>
      <w:pPr>
        <w:spacing w:line="480" w:lineRule="auto" w:after="0" w:before="0"/>
        <w:ind w:left="720" w:hanging="720"/>
      </w:pPr>
      <w:r>
        <w:rPr>
          <w:rFonts w:ascii="Times New Roman" w:hAnsi="Times New Roman" w:eastAsia="Times New Roman"/>
          <w:b w:val="0"/>
          <w:i w:val="0"/>
          <w:color w:val="000000"/>
          <w:sz w:val="24"/>
        </w:rPr>
        <w:t>Staw BM. 1976. Knee-deep in the big muddy: A study of escalating commitment to a chosen course of action. Organ. Behav. Human Performance 16(1):27–44.</w:t>
      </w:r>
    </w:p>
    <w:p>
      <w:pPr>
        <w:spacing w:line="480" w:lineRule="auto" w:after="0" w:before="0"/>
        <w:ind w:left="720" w:hanging="720"/>
      </w:pPr>
      <w:r>
        <w:rPr>
          <w:rFonts w:ascii="Times New Roman" w:hAnsi="Times New Roman" w:eastAsia="Times New Roman"/>
          <w:b w:val="0"/>
          <w:i w:val="0"/>
          <w:color w:val="000000"/>
          <w:sz w:val="24"/>
        </w:rPr>
        <w:t>Thaler RH, Johnson EJ. 1990. Gambling with the house money and trying to break even: The effects of prior outcomes on risky choice. Management Sci. 36(6):643–660.</w:t>
      </w:r>
    </w:p>
    <w:p>
      <w:pPr>
        <w:spacing w:line="480" w:lineRule="auto" w:after="0" w:before="0"/>
        <w:ind w:left="720" w:hanging="720"/>
      </w:pPr>
      <w:r>
        <w:rPr>
          <w:rFonts w:ascii="Times New Roman" w:hAnsi="Times New Roman" w:eastAsia="Times New Roman"/>
          <w:b w:val="0"/>
          <w:i w:val="0"/>
          <w:color w:val="000000"/>
          <w:sz w:val="24"/>
        </w:rPr>
        <w:t>Thaler RH, Sunstein CR. 2008. Nudge: Improving Decisions About Health, Wealth, and Happiness. Yale University Press, New Haven, CT.</w:t>
      </w:r>
    </w:p>
    <w:p>
      <w:pPr>
        <w:spacing w:line="480" w:lineRule="auto" w:after="0" w:before="0"/>
        <w:ind w:left="720" w:hanging="720"/>
      </w:pPr>
      <w:r>
        <w:rPr>
          <w:rFonts w:ascii="Times New Roman" w:hAnsi="Times New Roman" w:eastAsia="Times New Roman"/>
          <w:b w:val="0"/>
          <w:i w:val="0"/>
          <w:color w:val="000000"/>
          <w:sz w:val="24"/>
        </w:rPr>
        <w:t>Tiwana A, Konsynski B, Bush AA. 2010. Research commentary—Platform evolution: Coevolution of platform architecture, governance, and environmental dynamics. Inform. Systems Res. 21(4):675–687.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