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 and no detectable response to 38 upstream model launches. The release hazard also tends to rise with the stock of merged changes, although the data cannot cleanly separate that stock from calendar time. Release cadence therefore </w:t>
      </w:r>
      <w:del w:id="9001" w:author="Claude" w:date="2026-10-13T00:00:00Z">
        <w:r>
          <w:delText xml:space="preserve">reflects user activity and accumulated work more clearly than responsiveness to degradation and should not be read as a validated signal of it</w:delText>
        </w:r>
      </w:del>
      <w:ins w:id="9002" w:author="Claude" w:date="2026-10-13T00:00:00Z">
        <w:r>
          <w:t xml:space="preserve">carries information about responsiveness to users and to accumulated work, but the data do not identify it as a signal of responsiveness to degradation specifically</w:t>
        </w:r>
      </w:ins>
      <w:r>
        <w:t xml:space="preserve">.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w:t>
      </w:r>
      <w:del w:id="9003" w:author="Claude" w:date="2026-10-13T00:00:00Z">
        <w:r>
          <w:delText xml:space="preserve">routinely treated by practitioners, buyers, and regulators as evidence that a project is actively maintained and that degradation is being managed. Our results give no support to</w:delText>
        </w:r>
      </w:del>
      <w:ins w:id="9004" w:author="Claude" w:date="2026-10-13T00:00:00Z">
        <w:r>
          <w:t xml:space="preserve">treated as evidence that a project is actively maintained, both by practitioners and by widely used project-health metrics (Section 2.4), and it is easily read as evidence that degradation is being managed. Our results do not support the second half of</w:t>
        </w:r>
      </w:ins>
      <w:r>
        <w:t xml:space="preserve"> this inference in the open-source LLM tooling ecosystem. Bug reports show no measurable rise with release age relative to total issues, releases respond to </w:t>
      </w:r>
      <w:del w:id="9005" w:author="Claude" w:date="2026-10-13T00:00:00Z">
        <w:r>
          <w:delText xml:space="preserve">the volume of user issues but not distinguishably to bug reports as such</w:delText>
        </w:r>
      </w:del>
      <w:ins w:id="9006" w:author="Claude" w:date="2026-10-13T00:00:00Z">
        <w:r>
          <w:t xml:space="preserve">user issues, but a response to bug reports cannot be distinguished from a response to overall issue volume</w:t>
        </w:r>
      </w:ins>
      <w:r>
        <w:t xml:space="preserve">, and they show no detectable response to upstream model launches. Release timing also tends to track the accumulation of merged work. Release cadence therefore looks more like a signal of </w:t>
      </w:r>
      <w:del w:id="9007" w:author="Claude" w:date="2026-10-13T00:00:00Z">
        <w:r>
          <w:delText xml:space="preserve">user activity and development activity than of responsiveness to system deterioration</w:delText>
        </w:r>
      </w:del>
      <w:ins w:id="9008" w:author="Claude" w:date="2026-10-13T00:00:00Z">
        <w:r>
          <w:t xml:space="preserve">responsiveness to users and to development work than a signal of responsiveness to system deterioration specifically</w:t>
        </w:r>
      </w:ins>
      <w:r>
        <w:t xml:space="preserve">—a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t>
      </w:r>
      <w:del w:id="9009" w:author="Claude" w:date="2026-10-13T00:00:00Z">
        <w:r>
          <w:delText xml:space="preserve">work or the calendar, a high cadence is as likely among unresponsive maintainers as among responsive ones, and reading it as evidence of maintenance quality</w:delText>
        </w:r>
      </w:del>
      <w:ins w:id="9010" w:author="Claude" w:date="2026-10-13T00:00:00Z">
        <w:r>
          <w:t xml:space="preserve">work, overall user activity, or the calendar, a high cadence can be as likely among maintainers who do not respond to degradation as among those who do, and reading it as evidence that degradation is managed</w:t>
        </w:r>
      </w:ins>
      <w:r>
        <w:t xml:space="preserve"> is an error of inference. The distinction between state-dependent and time-dependent adjustment gives this question testable content: state dependence in errors is the condition under which cadence is a valid signal of </w:t>
      </w:r>
      <w:del w:id="9011" w:author="Claude" w:date="2026-10-13T00:00:00Z">
        <w:r>
          <w:delText xml:space="preserve">responsiveness</w:delText>
        </w:r>
      </w:del>
      <w:ins w:id="9012" w:author="Claude" w:date="2026-10-13T00:00:00Z">
        <w:r>
          <w:t xml:space="preserve">responsiveness to degradation, as distinct from responsiveness to users or to accumulated work</w:t>
        </w:r>
      </w:ins>
      <w:r>
        <w:t xml:space="preserve">.</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rPr>
          <w:ins w:id="9102" w:author="Claude" w:date="2026-10-13T00:00:00Z"/>
        </w:rPr>
      </w:pPr>
      <w:ins w:id="9103" w:author="Claude" w:date="2026-10-13T00:00:00Z">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w:t>
        </w:r>
      </w:ins>
    </w:p>
    <w:p>
      <w:pPr>
        <w:pStyle w:val="BodyText"/>
      </w:pPr>
      <w:r>
        <w:t xml:space="preserve">The answer to RQ3 is that release probabilities respond to </w:t>
      </w:r>
      <w:del w:id="9013" w:author="Claude" w:date="2026-10-13T00:00:00Z">
        <w:r>
          <w:delText xml:space="preserve">the volume of user issues but not distinguishably to bug reports as such</w:delText>
        </w:r>
      </w:del>
      <w:ins w:id="9014" w:author="Claude" w:date="2026-10-13T00:00:00Z">
        <w:r>
          <w:t xml:space="preserve">user issues, including bug reports, but a response to bug reports cannot be distinguished from a response to the overall volume of issues</w:t>
        </w:r>
      </w:ins>
      <w:r>
        <w:t xml:space="preserve">. With non-bug issues held fixed, one standard deviation more bug reports in the previous week raises the log-odds of a release by 0.26 (wild cluster bootstrap p = 0.01), </w:t>
      </w:r>
      <w:r>
        <w:rPr/>
        <w:t xml:space="preserve">a response of about the same size as that to non-bug issues (0.23)</w:t>
      </w:r>
      <w:r>
        <w:t xml:space="preserve">, and the additional response to bug reports at a given total volume is positive but not significant (0.19; wild cluster bootstrap p = 0.20). </w:t>
      </w:r>
      <w:del w:id="9015" w:author="Claude" w:date="2026-10-13T00:00:00Z">
        <w:r>
          <w:delText xml:space="preserve">Releases</w:delText>
        </w:r>
      </w:del>
      <w:ins w:id="9016" w:author="Claude" w:date="2026-10-13T00:00:00Z">
        <w:r>
          <w:t xml:space="preserve">Because bug reports are part of total issues, this last comparison is conservative, and its interval does not exclude a sizable additional response. Releases</w:t>
        </w:r>
      </w:ins>
      <w:r>
        <w:t xml:space="preserve"> show no detectable response to 38 upstream model launches, although release notes often mention a new model after its launch, which suggests that the content of releases responds while their timing does not. </w:t>
      </w:r>
    </w:p>
    <w:p>
      <w:pPr>
        <w:pStyle w:val="BodyText"/>
      </w:pPr>
      <w:del w:id="9101" w:author="Claude" w:date="2026-10-13T00:00:00Z">
        <w:r>
          <w:delTex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w:delText>
        </w:r>
      </w:del>
      <w:r>
        <w:t xml:space="preserve">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w:t>
      </w:r>
      <w:del w:id="9017" w:author="Claude" w:date="2026-10-13T00:00:00Z">
        <w:r>
          <w:delText xml:space="preserve">the volume of user issues but not distinguishably to bug reports as such or</w:delText>
        </w:r>
      </w:del>
      <w:ins w:id="9018" w:author="Claude" w:date="2026-10-13T00:00:00Z">
        <w:r>
          <w:t xml:space="preserve">user issues without a response to bug reports that can be distinguished from a response to overall volume, that their timing shows no detectable response</w:t>
        </w:r>
      </w:ins>
      <w:r>
        <w:t xml:space="preserve">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w:t>
      </w:r>
      <w:del w:id="9019" w:author="Claude" w:date="2026-10-13T00:00:00Z">
        <w:r>
          <w:delText xml:space="preserve">buyers, auditors, and regulators routinely use update frequency as a signal of maintenance quality, because how responsively a maintainer deals with problems is hard to observe</w:delText>
        </w:r>
      </w:del>
      <w:ins w:id="9020" w:author="Claude" w:date="2026-10-13T00:00:00Z">
        <w:r>
          <w:t xml:space="preserve">release and update frequency is built into widely used assessments of maintenance quality, because how responsively a maintainer deals with problems is hard to observe. The Release Frequency metric of the CHAOSS project treats a higher frequency of releases as a sign that a project iterates rapidly in response to user needs (CHAOSS n.d.), Snyk's package-health ratings judge maintenance partly by a package's version release cadence (Snyk n.d.), and the Maintained check of the OpenSSF Scorecard scores recent commit and issue activity (OpenSSF n.d.). These assessments inform the selection of dependencies and vendor due diligence without testing whether the activity they count responds to defects</w:t>
        </w:r>
      </w:ins>
      <w:r>
        <w:t xml:space="preserve">. For AI components the signal is relied on more heavily still, because degradation is itself hard to observe (Section 3.3). Release frequency is cheap in one important respect: an automated pipeline can publish a release every week whatever the system needs. A cheap signal can be informative only if its timing is tied to the quality it is meant to indicate. We therefore test the correlation condition directly, asking whether release timing responds to accumulating errors, bug surges, or upstream </w:t>
      </w:r>
      <w:del w:id="9021" w:author="Claude" w:date="2026-10-13T00:00:00Z">
        <w:r>
          <w:delText xml:space="preserve">shocks</w:delText>
        </w:r>
      </w:del>
      <w:ins w:id="9022" w:author="Claude" w:date="2026-10-13T00:00:00Z">
        <w:r>
          <w:t xml:space="preserve">shocks. A signal can be valid for one quality and not for another: a cadence that follows user activity is informative about responsiveness to users, but it is informative about responsiveness to degradation only if its timing moves with the error state itself</w:t>
        </w:r>
      </w:ins>
      <w:r>
        <w:t xml:space="preserve">. The state-dependent rule of Section 3.2 is the case in which cadence is a valid signal of </w:t>
      </w:r>
      <w:del w:id="9023" w:author="Claude" w:date="2026-10-13T00:00:00Z">
        <w:r>
          <w:delText xml:space="preserve">responsiveness</w:delText>
        </w:r>
      </w:del>
      <w:ins w:id="9024" w:author="Claude" w:date="2026-10-13T00:00:00Z">
        <w:r>
          <w:t xml:space="preserve">responsiveness to degradation</w:t>
        </w:r>
      </w:ins>
      <w:r>
        <w:t xml:space="preserve">,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and with 143 to 197 weekly observations per repository an estimate of it would be imprecise, so we do not report one and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and DeepSeek-V3 publish model weights elsewhere and have few or no GitHub releases, and llama.cpp publishes automated builds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did not meet this rule, which leaves 19. This is a convenience sample of prominent projects and not a random sample of the ecosystem, and nearly all of them are software and tooling and not model-retraining pipelines. Two retained repositories (anthropic-sdk-python and openai-python) release at a weekly cadence and may rely on automated release pipelines. We keep them, because even an automated pipeline leaves open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three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rPr>
          <w:ins w:id="9129" w:author="Claude" w:date="2026-10-13T00:00:00Z"/>
        </w:rPr>
      </w:pPr>
      <w:ins w:id="9130" w:author="Claude" w:date="2026-10-13T00:00:00Z">
        <w:r>
          <w:rPr>
            <w:b/>
            <w:bCs/>
          </w:rPr>
          <w:t xml:space="preserve">Receivers of the signal.</w:t>
        </w:r>
        <w:r>
          <w:t xml:space="preserve"> Sections 5.1 to 5.5 test whether release timing is correlated with degradation. Signaling also requires that receivers act on the signal. We therefore ask whether adoption responds to release cadence and whether it responds differently to releases that follow a surge in bug reports. For each repository-week we measure adoption growth as the change in log mean weekly PyPI downloads between weeks </w:t>
        </w:r>
        <w:r>
          <w:rPr>
            <w:i/>
            <w:iCs/>
          </w:rPr>
          <w:t xml:space="preserve">t</w:t>
        </w:r>
        <w:r>
          <w:t xml:space="preserve">−3 to </w:t>
        </w:r>
        <w:r>
          <w:rPr>
            <w:i/>
            <w:iCs/>
          </w:rPr>
          <w:t xml:space="preserve">t</w:t>
        </w:r>
        <w:r>
          <w:t xml:space="preserve"> and weeks </w:t>
        </w:r>
        <w:r>
          <w:rPr>
            <w:i/>
            <w:iCs/>
          </w:rPr>
          <w:t xml:space="preserve">t</w:t>
        </w:r>
        <w:r>
          <w:t xml:space="preserve">+1 to </w:t>
        </w:r>
        <w:r>
          <w:rPr>
            <w:i/>
            <w:iCs/>
          </w:rPr>
          <w:t xml:space="preserve">t</w:t>
        </w:r>
        <w:r>
          <w:t xml:space="preserve">+4, and, for all 19 repositories, the corresponding change in log new GitHub stars from GH Archive. Three repositories (whisper.cpp, text-generation-inference, and ollama) have no PyPI artifact and enter only the star models. The regressors are the number of releases in the trailing eight weeks, the number of those releases that follow a week whose bug share exceeded the repository's median, the number of hot-fix releases in the same window, and the log of issues in the window as a control for project activity, together with the outcome measured four weeks earlier and repository and week fixed effects. Because total releases are in the model, the coefficient on bug-preceded releases is the additional response of adoption to a release that follows a bug surge, relative to any other release. Standard errors are clustered by repository, and p-values come from a wild cluster restricted bootstrap with Webb weights. Adoption and releases share momentum, so these estimates describe how receivers' behavior covaries with cadence and are not causal.</w:t>
        </w:r>
      </w:ins>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t xml:space="preserve">which is about the size of the response to non-bug issues that the data detect (0.23;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that may rely on automated release pipelines (anthropic-sdk-python and openai-python), (ii) separately for </w:t>
      </w:r>
      <w:del w:id="9104" w:author="Claude" w:date="2026-10-13T00:00:00Z">
        <w:r>
          <w:delText xml:space="preserve">the weekly releasers (a median gap of at most one week between release weeks)</w:delText>
        </w:r>
      </w:del>
      <w:ins w:id="9105" w:author="Claude" w:date="2026-10-13T00:00:00Z">
        <w:r>
          <w:t xml:space="preserve">the weekly releasers (the seven repositories with a median release cycle of one week in Table 1)</w:t>
        </w:r>
      </w:ins>
      <w:r>
        <w:t xml:space="preserve">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ins w:id="9114" w:author="Claude" w:date="2026-10-13T00:00:00Z">
        <w:r>
          <w:t xml:space="preserve"> Figure 1a shows the repository-level slopes.</w:t>
        </w:r>
      </w:ins>
    </w:p>
    <w:p>
      <w:pPr>
        <w:keepNext/>
        <w:pStyle w:val="BodyText"/>
        <w:spacing w:before="120" w:after="60" w:line="240" w:lineRule="auto"/>
        <w:ind w:firstLine="0"/>
        <w:jc w:val="center"/>
        <w:rPr>
          <w:ins w:id="9115" w:author="Claude" w:date="2026-10-13T00:00:00Z"/>
        </w:rPr>
      </w:pPr>
      <w:ins w:id="9116" w:author="Claude" w:date="2026-10-13T00:00:00Z">
        <w:r>
          <w:drawing>
            <wp:inline xmlns:wp="http://schemas.openxmlformats.org/drawingml/2006/wordprocessingDrawing" distT="0" distB="0" distL="0" distR="0">
              <wp:extent cx="5486400" cy="4114800"/>
              <wp:docPr id="9001" name="Figure 1" descr="Figure 1"/>
              <a:graphic xmlns:a="http://schemas.openxmlformats.org/drawingml/2006/main">
                <a:graphicData uri="http://schemas.openxmlformats.org/drawingml/2006/picture">
                  <pic:pic xmlns:pic="http://schemas.openxmlformats.org/drawingml/2006/picture">
                    <pic:nvPicPr>
                      <pic:cNvPr id="9001" name="fig1_repository_slopes.png"/>
                      <pic:cNvPicPr/>
                    </pic:nvPicPr>
                    <pic:blipFill>
                      <a:blip xmlns:r="http://schemas.openxmlformats.org/officeDocument/2006/relationships" r:embed="rId9001"/>
                      <a:stretch>
                        <a:fillRect/>
                      </a:stretch>
                    </pic:blipFill>
                    <pic:spPr>
                      <a:xfrm>
                        <a:off x="0" y="0"/>
                        <a:ext cx="5486400" cy="4114800"/>
                      </a:xfrm>
                      <a:prstGeom prst="rect">
                        <a:avLst/>
                      </a:prstGeom>
                    </pic:spPr>
                  </pic:pic>
                </a:graphicData>
              </a:graphic>
            </wp:inline>
          </w:drawing>
        </w:r>
      </w:ins>
    </w:p>
    <w:p>
      <w:pPr>
        <w:pStyle w:val="BodyText"/>
        <w:rPr>
          <w:ins w:id="9117" w:author="Claude" w:date="2026-10-13T00:00:00Z"/>
        </w:rPr>
      </w:pPr>
      <w:ins w:id="9118" w:author="Claude" w:date="2026-10-13T00:00:00Z">
        <w:r>
          <w:rPr>
            <w:b/>
            <w:bCs/>
          </w:rPr>
          <w:t xml:space="preserve">Figure 1.</w:t>
        </w:r>
        <w:r>
          <w:t xml:space="preserve"> Repository-level age slopes. (a) Log-rate slope of weekly bug reports on weeks since the last release, specification (b). (b) Logit slope of the release hazard on weeks since the last release. Points are estimates with 95% intervals from the cycle bootstrap; grey points are repositories with a median release cycle of one week; diamonds are random-effects pooled estimates. Rows are ordered by the release-hazard slope.</w:t>
        </w:r>
      </w:ins>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w:t>
      </w:r>
      <w:ins w:id="9119" w:author="Claude" w:date="2026-10-13T00:00:00Z">
        <w:r>
          <w:t xml:space="preserve"> Figure 2 compares the four specifications.</w:t>
        </w:r>
      </w:ins>
      <w:r>
        <w:t xml:space="preserve"> The evidence against an accumulating error state is thus weaker than the estimate under (b) alone suggests.</w:t>
      </w:r>
    </w:p>
    <w:p>
      <w:pPr>
        <w:keepNext/>
        <w:pStyle w:val="BodyText"/>
        <w:spacing w:before="120" w:after="60" w:line="240" w:lineRule="auto"/>
        <w:ind w:firstLine="0"/>
        <w:jc w:val="center"/>
        <w:rPr>
          <w:ins w:id="9120" w:author="Claude" w:date="2026-10-13T00:00:00Z"/>
        </w:rPr>
      </w:pPr>
      <w:ins w:id="9121" w:author="Claude" w:date="2026-10-13T00:00:00Z">
        <w:r>
          <w:drawing>
            <wp:inline xmlns:wp="http://schemas.openxmlformats.org/drawingml/2006/wordprocessingDrawing" distT="0" distB="0" distL="0" distR="0">
              <wp:extent cx="5486400" cy="2286000"/>
              <wp:docPr id="9002" name="Figure 2" descr="Figure 2"/>
              <a:graphic xmlns:a="http://schemas.openxmlformats.org/drawingml/2006/main">
                <a:graphicData uri="http://schemas.openxmlformats.org/drawingml/2006/picture">
                  <pic:pic xmlns:pic="http://schemas.openxmlformats.org/drawingml/2006/picture">
                    <pic:nvPicPr>
                      <pic:cNvPr id="9002" name="fig2_rq1_specifications.png"/>
                      <pic:cNvPicPr/>
                    </pic:nvPicPr>
                    <pic:blipFill>
                      <a:blip xmlns:r="http://schemas.openxmlformats.org/officeDocument/2006/relationships" r:embed="rId9002"/>
                      <a:stretch>
                        <a:fillRect/>
                      </a:stretch>
                    </pic:blipFill>
                    <pic:spPr>
                      <a:xfrm>
                        <a:off x="0" y="0"/>
                        <a:ext cx="5486400" cy="2286000"/>
                      </a:xfrm>
                      <a:prstGeom prst="rect">
                        <a:avLst/>
                      </a:prstGeom>
                    </pic:spPr>
                  </pic:pic>
                </a:graphicData>
              </a:graphic>
            </wp:inline>
          </w:drawing>
        </w:r>
      </w:ins>
    </w:p>
    <w:p>
      <w:pPr>
        <w:pStyle w:val="BodyText"/>
        <w:rPr>
          <w:ins w:id="9122" w:author="Claude" w:date="2026-10-13T00:00:00Z"/>
        </w:rPr>
      </w:pPr>
      <w:ins w:id="9123" w:author="Claude" w:date="2026-10-13T00:00:00Z">
        <w:r>
          <w:rPr>
            <w:b/>
            <w:bCs/>
          </w:rPr>
          <w:t xml:space="preserve">Figure 2.</w:t>
        </w:r>
        <w:r>
          <w:t xml:space="preserve"> Pooled age slope of bug reports under four ways of handling issue volume (Section 4.3). Specifications (b) and (d), in black, are the primary tests of H1; (a) and (c) are biased downward by the burst of issues after a release. The shaded band marks the equivalence bound of ±0.02.</w:t>
        </w:r>
      </w:ins>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0.049), which is not distinguishable from zero.</w:t>
      </w:r>
      <w:ins w:id="9112" w:author="Claude" w:date="2026-10-13T00:00:00Z">
        <w:r>
          <w:t xml:space="preserve"> Figure 1b shows the repository-level slopes.</w:t>
        </w:r>
      </w:ins>
      <w:r>
        <w:t xml:space="preserve">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t xml:space="preserve">One standard deviation more non-bug issues in the same model raises the log-odds by 0.233 (0.082; wild cluster bootstrap p &lt; 0.01), close to the effect of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ins w:id="9113" w:author="Claude" w:date="2026-10-13T00:00:00Z">
        <w:r>
          <w:t xml:space="preserve"> Figure 3a plots the main coefficients.</w:t>
        </w:r>
      </w:ins>
    </w:p>
    <w:p>
      <w:pPr>
        <w:pStyle w:val="FirstParagraph"/>
      </w:pPr>
      <w:r>
        <w:t xml:space="preserve">Holding total issues fixed instead, the coefficient on bug reports is 0.191 (0.123; p = 0.12; wild cluster bootstrap p = 0.20) and that on total issues is 0.225 (0.105; wild cluster bootstrap p = 0.04), and the three-week average of bug reports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0.32) and 0.218 (0.120; wild cluster bootstrap p = 0.11) with total issues held fixed. The coefficients on non-bug and total issues in these samples are 0.250 (0.078) and 0.303 (0.115).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BodyText"/>
        <w:rPr>
          <w:ins w:id="9026" w:author="Claude" w:date="2026-10-13T00:00:00Z"/>
        </w:rPr>
      </w:pPr>
      <w:ins w:id="9025" w:author="Claude" w:date="2026-10-13T00:00:00Z">
        <w:r>
          <w:t xml:space="preserve">These results admit a reading that is more favorable to cadence than ours, and we state it explicitly. A release that follows a week of many user issues is itself a response to an observable state, and a maintainer who releases when users report problems of any kind is responsive in a meaningful sense; under this reading the response to non-bug issues is not a confound but part of what responsiveness means. We do not dispute it. Our question is narrower: whether release timing carries information about degradation specifically, as distinct from user activity in general. The specification that holds total issues fixed answers that question, because it asks whether a week in which a larger share of reports concern defects is more likely to end in a release. It is conservative, because bug reports are part of total issues and part of any response to them is absorbed by the total, and its interval (−0.05 to 0.43 in log-odds) is compatible both with no additional response and with a sizable one. We therefore read the evidence as failing to identify a response to degradation as such, not as showing that maintainers ignore defects. For the signal, this means that cadence is informative about responsiveness to users, and it is informative about responsiveness to degradation only to the extent that degradation is what drives user reports.</w:t>
        </w:r>
      </w:ins>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ins w:id="9124" w:author="Claude" w:date="2026-10-13T00:00:00Z">
        <w:r>
          <w:t xml:space="preserve"> Figure 3b plots the pooled coefficients.</w:t>
        </w:r>
      </w:ins>
    </w:p>
    <w:p>
      <w:pPr>
        <w:keepNext/>
        <w:pStyle w:val="BodyText"/>
        <w:spacing w:before="120" w:after="60" w:line="240" w:lineRule="auto"/>
        <w:ind w:firstLine="0"/>
        <w:jc w:val="center"/>
        <w:rPr>
          <w:ins w:id="9125" w:author="Claude" w:date="2026-10-13T00:00:00Z"/>
        </w:rPr>
      </w:pPr>
      <w:ins w:id="9126" w:author="Claude" w:date="2026-10-13T00:00:00Z">
        <w:r>
          <w:drawing>
            <wp:inline xmlns:wp="http://schemas.openxmlformats.org/drawingml/2006/wordprocessingDrawing" distT="0" distB="0" distL="0" distR="0">
              <wp:extent cx="5486400" cy="2209800"/>
              <wp:docPr id="9003" name="Figure 3" descr="Figure 3"/>
              <a:graphic xmlns:a="http://schemas.openxmlformats.org/drawingml/2006/main">
                <a:graphicData uri="http://schemas.openxmlformats.org/drawingml/2006/picture">
                  <pic:pic xmlns:pic="http://schemas.openxmlformats.org/drawingml/2006/picture">
                    <pic:nvPicPr>
                      <pic:cNvPr id="9003" name="fig3_rq3_rq4_coefficients.png"/>
                      <pic:cNvPicPr/>
                    </pic:nvPicPr>
                    <pic:blipFill>
                      <a:blip xmlns:r="http://schemas.openxmlformats.org/officeDocument/2006/relationships" r:embed="rId9003"/>
                      <a:stretch>
                        <a:fillRect/>
                      </a:stretch>
                    </pic:blipFill>
                    <pic:spPr>
                      <a:xfrm>
                        <a:off x="0" y="0"/>
                        <a:ext cx="5486400" cy="2209800"/>
                      </a:xfrm>
                      <a:prstGeom prst="rect">
                        <a:avLst/>
                      </a:prstGeom>
                    </pic:spPr>
                  </pic:pic>
                </a:graphicData>
              </a:graphic>
            </wp:inline>
          </w:drawing>
        </w:r>
      </w:ins>
    </w:p>
    <w:p>
      <w:pPr>
        <w:pStyle w:val="BodyText"/>
        <w:rPr>
          <w:ins w:id="9127" w:author="Claude" w:date="2026-10-13T00:00:00Z"/>
        </w:rPr>
      </w:pPr>
      <w:ins w:id="9128" w:author="Claude" w:date="2026-10-13T00:00:00Z">
        <w:r>
          <w:rPr>
            <w:b/>
            <w:bCs/>
          </w:rPr>
          <w:t xml:space="preserve">Figure 3.</w:t>
        </w:r>
        <w:r>
          <w:t xml:space="preserve"> (a) Response of the release hazard to issues in the previous week, holding non-bug issues or total issues fixed (Section 5.3). (b) Pooled coefficients on work age and calendar age in the regular-release hazard, entered alone and jointly (Section 5.5).</w:t>
        </w:r>
      </w:ins>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w:t>
      </w:r>
      <w:del w:id="9110" w:author="Claude" w:date="2026-10-13T00:00:00Z">
        <w:r>
          <w:delText xml:space="preserve">A hand check of 12 randomly drawn entries found</w:delText>
        </w:r>
      </w:del>
      <w:ins w:id="9111" w:author="Claude" w:date="2026-10-13T00:00:00Z">
        <w:r>
          <w:t xml:space="preserve">A hand check of the fix-entry classifier (not the bug-report classifier; see Section 6.3) on 12 randomly drawn entries found</w:t>
        </w:r>
      </w:ins>
      <w:r>
        <w:t xml:space="preserve"> the two flagged as fixes to be fixes and none of the other ten to be an obvious fix, although one of them was a contributor name and not a change entry, which the classifier now excludes;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For the launch event study the estimate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that may rely on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w:t>
      </w:r>
      <w:del w:id="9106" w:author="Claude" w:date="2026-10-13T00:00:00Z">
        <w:r>
          <w:delText xml:space="preserve">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w:delText>
        </w:r>
      </w:del>
      <w:ins w:id="9107" w:author="Claude" w:date="2026-10-13T00:00:00Z">
        <w:r>
          <w:t xml:space="preserve">The twelve other repositories give [ ] under (b), [ ] under (d), and [ ] for the response to bug reports. For the seven weekly releasers (Table 1), the (b) estimate is [ ] and the (d) estimate is [ ]; the latter rests on few observations beyond the third week after a release and should be read with caution.</w:t>
        </w:r>
      </w:ins>
      <w:r>
        <w:t xml:space="preserv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3"/>
        <w:rPr>
          <w:ins w:id="9131" w:author="Claude" w:date="2026-10-13T00:00:00Z"/>
        </w:rPr>
      </w:pPr>
      <w:ins w:id="9132" w:author="Claude" w:date="2026-10-13T00:00:00Z">
        <w:r>
          <w:t xml:space="preserve">5.7. Receivers: Does Adoption Respond to Cadence?</w:t>
        </w:r>
      </w:ins>
    </w:p>
    <w:p>
      <w:pPr>
        <w:pStyle w:val="FirstParagraph"/>
        <w:rPr>
          <w:ins w:id="9133" w:author="Claude" w:date="2026-10-13T00:00:00Z"/>
        </w:rPr>
      </w:pPr>
      <w:ins w:id="9134" w:author="Claude" w:date="2026-10-13T00:00:00Z">
        <w:r>
          <w:t xml:space="preserve">We find no detectable response of adoption to release cadence. One standard deviation more releases in the trailing eight weeks is followed by a change of −0.008 in log download growth (clustered SE 0.034; wild cluster bootstrap p = 0.94) and of 0.047 in log star growth (SE 0.025; p = 0.10). The additional response to releases that follow a bug surge is −0.031 (p = 0.35) for downloads and −0.027 (p = 0.16) for stars, and that to hot-fixes is 0.020 (p = 0.63) and −0.020 (p = 0.66). In one of the six estimates of the response to releases, the star model that adds bug-preceded releases, the coefficient is 0.067 with a bootstrap p-value of 0.049; we do not read it as a finding, given the number of specifications we report and the estimate of 0.047 (p = 0.10) in the model without that term. With 16 clusters for downloads and 19 for stars, the minimum detectable effect at 80 percent power is about 0.09 and 0.07 log points per standard deviation, so the result does not show that receivers ignore cadence, only that adoption at weekly frequency does not reveal it. The argument of Section 2.4 then rests on the documented use of cadence in project-health assessments rather than on revealed behavior, and we say so in Section 6.3.</w:t>
        </w:r>
      </w:ins>
    </w:p>
    <w:p>
      <w:pPr>
        <w:pStyle w:val="Heading2"/>
      </w:pPr>
      <w:r>
        <w:t xml:space="preserve">6. Discussion</w:t>
      </w:r>
    </w:p>
    <w:p>
      <w:pPr>
        <w:pStyle w:val="Heading3"/>
      </w:pPr>
      <w:r>
        <w:t xml:space="preserve">6.1. Interpretation</w:t>
      </w:r>
    </w:p>
    <w:p>
      <w:pPr>
        <w:pStyle w:val="FirstParagraph"/>
      </w:pPr>
      <w:r>
        <w:t xml:space="preserve">Releases in these repositories respond to the volume of user activity and, more weakly, to accumulated work,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tends to rise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mainly reflecting user activity and the accumulation of development work. This distinction has implications for how information systems researchers conceptualize monitoring, feedback, and control in AI-enabled systems. In particular, treating release cadence as a validated signal of responsiveness </w:t>
      </w:r>
      <w:del w:id="9027" w:author="Claude" w:date="2026-10-13T00:00:00Z">
        <w:r>
          <w:delText xml:space="preserve">conflates development activity with a control response to degradation</w:delText>
        </w:r>
      </w:del>
      <w:ins w:id="9028" w:author="Claude" w:date="2026-10-13T00:00:00Z">
        <w:r>
          <w:t xml:space="preserve">to degradation conflates responsiveness to users and to development work with a control response to deterioration</w:t>
        </w:r>
      </w:ins>
      <w:r>
        <w:t xml:space="preserve">.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although releases do respond to the flow of user reports. In the language of signaling theory, release cadence </w:t>
      </w:r>
      <w:del w:id="9029" w:author="Claude" w:date="2026-10-13T00:00:00Z">
        <w:r>
          <w:delText xml:space="preserve">shows no sign of being a valid signal of responsiveness to degradation: it covaries with user activity in general and not distinguishably with the defects that it is read as indicating</w:delText>
        </w:r>
      </w:del>
      <w:ins w:id="9030" w:author="Claude" w:date="2026-10-13T00:00:00Z">
        <w:r>
          <w:t xml:space="preserve">meets the correlation condition for responsiveness to users, but the data do not show that it meets it for responsiveness to degradation: it covaries with user activity in general, and its additional covariation with defects cannot be distinguished from zero</w:t>
        </w:r>
      </w:ins>
      <w:r>
        <w:t xml:space="preserve">.</w:t>
      </w:r>
    </w:p>
    <w:p>
      <w:pPr>
        <w:pStyle w:val="Heading3"/>
      </w:pPr>
      <w:r>
        <w:t xml:space="preserve">6.2. Implications for Policy and Practice</w:t>
      </w:r>
    </w:p>
    <w:p>
      <w:pPr>
        <w:pStyle w:val="FirstParagraph"/>
      </w:pPr>
      <w:r>
        <w:rPr>
          <w:b/>
          <w:bCs/>
        </w:rPr>
        <w:t xml:space="preserve">Release cadence should not be read as a signal of </w:t>
      </w:r>
      <w:del w:id="9031" w:author="Claude" w:date="2026-10-13T00:00:00Z">
        <w:r>
          <w:rPr>
            <w:b/>
            <w:bCs/>
          </w:rPr>
          <w:delText xml:space="preserve">responsiveness</w:delText>
        </w:r>
      </w:del>
      <w:ins w:id="9032" w:author="Claude" w:date="2026-10-13T00:00:00Z">
        <w:r>
          <w:rPr>
            <w:b/>
            <w:bCs/>
          </w:rPr>
          <w:t xml:space="preserve">responsiveness to degradation</w:t>
        </w:r>
      </w:ins>
      <w:r>
        <w:rPr>
          <w:b/>
          <w:bCs/>
        </w:rPr>
        <w:t xml:space="preserve">.</w:t>
      </w:r>
      <w:r>
        <w:t xml:space="preserve"> A project that releases every week looks actively maintained, but if release timing follows user activity,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user activity, accumulated work, or a calendar.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w:t>
      </w:r>
      <w:del w:id="9033" w:author="Claude" w:date="2026-10-13T00:00:00Z">
        <w:r>
          <w:delText xml:space="preserve">and</w:delText>
        </w:r>
      </w:del>
      <w:ins w:id="9034" w:author="Claude" w:date="2026-10-13T00:00:00Z">
        <w:r>
          <w:t xml:space="preserve">to degradation and</w:t>
        </w:r>
      </w:ins>
      <w:r>
        <w:t xml:space="preserve">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del w:id="9108" w:author="Claude" w:date="2026-10-13T00:00:00Z">
        <w:r>
          <w:delText xml:space="preserve">We did not validate the classification against a manually labeled sample, so misclassification remains a limitation.</w:delText>
        </w:r>
      </w:del>
      <w:ins w:id="9109" w:author="Claude" w:date="2026-10-13T00:00:00Z">
        <w:r>
          <w:t xml:space="preserve">We did not validate the bug classification against a manually labeled sample, so misclassification remains a limitation. Two other classifiers have had only a small check or none: the coding of fix entries in release notes was checked on 12 entries (Section 5.6), which says nothing about its recall, and the matching of launched models in release notes has not been checked by hand.</w:t>
        </w:r>
      </w:ins>
      <w:r>
        <w:t xml:space="preserve">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rPr>
          <w:ins w:id="9135" w:author="Claude" w:date="2026-10-13T00:00:00Z"/>
        </w:rPr>
      </w:pPr>
      <w:ins w:id="9136" w:author="Claude" w:date="2026-10-13T00:00:00Z">
        <w:r>
          <w:rPr>
            <w:b/>
            <w:bCs/>
          </w:rPr>
          <w:t xml:space="preserve">Adoption measures.</w:t>
        </w:r>
        <w:r>
          <w:t xml:space="preserve"> The receiver-side analysis uses downloads and stars as measures of adoption. Downloads include mirrors and continuous-integration installs, stars measure attention more than use, three repositories have no PyPI artifact, and the PyPI counts of TensorRT-LLM are incomplete because early versions were distributed through the NVIDIA package index. Adoption and releases are both driven by project momentum, which the lagged outcome and the issue control absorb only in part.</w:t>
        </w:r>
      </w:ins>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w:t>
      </w:r>
      <w:del w:id="9137" w:author="Claude" w:date="2026-10-13T00:00:00Z">
        <w:r>
          <w:delText xml:space="preserve">in Sections 5.1 to 5.6 and in Table 1</w:delText>
        </w:r>
      </w:del>
      <w:ins w:id="9138" w:author="Claude" w:date="2026-10-13T00:00:00Z">
        <w:r>
          <w:t xml:space="preserve">in Sections 5.1 to 5.7 and in Table 1</w:t>
        </w:r>
      </w:ins>
      <w:r>
        <w:t xml:space="preserve">,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user activity and accumulating work, and we </w:t>
      </w:r>
      <w:del w:id="9035" w:author="Claude" w:date="2026-10-13T00:00:00Z">
        <w:r>
          <w:delText xml:space="preserve">find no clear sign that it follows accumulating errors. The findings suggest that release cadence</w:delText>
        </w:r>
      </w:del>
      <w:ins w:id="9036" w:author="Claude" w:date="2026-10-13T00:00:00Z">
        <w:r>
          <w:t xml:space="preserve">cannot identify a response to accumulating errors beyond that. Release cadence thus says something about responsiveness to users, but it</w:t>
        </w:r>
      </w:ins>
      <w:r>
        <w:t xml:space="preserv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Mira P (2010) Dynamic discrete choice structural models: A survey. </w:t>
      </w:r>
      <w:r>
        <w:rPr>
          <w:i/>
          <w:iCs/>
        </w:rPr>
        <w:t xml:space="preserve">J. Econometrics</w:t>
      </w:r>
      <w:r>
        <w:t xml:space="preserve"> 156(1):38–67.</w:t>
      </w:r>
    </w:p>
    <w:p>
      <w:pPr>
        <w:pStyle w:val="Bibliography"/>
      </w:pPr>
      <w:r>
        <w:t xml:space="preserve">Alvarez FE, Lippi F, Paciello L (2011) Optimal price setting with observation and menu costs. </w:t>
      </w:r>
      <w:r>
        <w:rPr>
          <w:i/>
          <w:iCs/>
        </w:rPr>
        <w:t xml:space="preserve">Quart. J. Econom.</w:t>
      </w:r>
      <w:r>
        <w:t xml:space="preserve"> 126(4):1909–1960.</w:t>
      </w:r>
    </w:p>
    <w:p>
      <w:pPr>
        <w:pStyle w:val="Bibliography"/>
      </w:pPr>
      <w:r>
        <w:t xml:space="preserve">Amershi S, Begel A, Bird C, DeLine R, Gall H, Kamar E, Nagappan N, Nushi B, Zimmermann T (2019) Software engineering for machine learning: A case study. </w:t>
      </w:r>
      <w:r>
        <w:rPr>
          <w:i/>
          <w:iCs/>
        </w:rPr>
        <w:t xml:space="preserve">Proc. 41st Internat. Conf. Software Engrg. Software Engrg. Practice (ICSE-SEIP)</w:t>
      </w:r>
      <w:r>
        <w:t xml:space="preserve"> (IEEE, Piscataway, NJ), 291–300.</w:t>
      </w:r>
    </w:p>
    <w:p>
      <w:pPr>
        <w:pStyle w:val="Bibliography"/>
      </w:pPr>
      <w:r>
        <w:t xml:space="preserve">Banker RD, Datar SM, Kemerer CF, Zweig D (1993) Software complexity and maintenance costs. </w:t>
      </w:r>
      <w:r>
        <w:rPr>
          <w:i/>
          <w:iCs/>
        </w:rPr>
        <w:t xml:space="preserve">Comm. ACM</w:t>
      </w:r>
      <w:r>
        <w:t xml:space="preserve"> 36(11):81–94.</w:t>
      </w:r>
    </w:p>
    <w:p>
      <w:pPr>
        <w:pStyle w:val="Bibliography"/>
      </w:pPr>
      <w:r>
        <w:t xml:space="preserve">Barlow R, Hunter L (1960) Optimum preventive maintenance policies. </w:t>
      </w:r>
      <w:r>
        <w:rPr>
          <w:i/>
          <w:iCs/>
        </w:rPr>
        <w:t xml:space="preserve">Oper. Res.</w:t>
      </w:r>
      <w:r>
        <w:t xml:space="preserve"> 8(1):90–100.</w:t>
      </w:r>
    </w:p>
    <w:p>
      <w:pPr>
        <w:pStyle w:val="Bibliography"/>
      </w:pPr>
      <w:r>
        <w:t xml:space="preserve">Caballero RJ, Engel EMRA (1999) Explaining investment dynamics in U.S. manufacturing: A generalized (S,s) approach. </w:t>
      </w:r>
      <w:r>
        <w:rPr>
          <w:i/>
          <w:iCs/>
        </w:rPr>
        <w:t xml:space="preserve">Econometrica</w:t>
      </w:r>
      <w:r>
        <w:t xml:space="preserve"> 67:783–826.</w:t>
      </w:r>
    </w:p>
    <w:p>
      <w:pPr>
        <w:pStyle w:val="Bibliography"/>
      </w:pPr>
      <w:r>
        <w:t xml:space="preserve">Calvo GA (1983) Staggered prices in a utility-maximizing framework. </w:t>
      </w:r>
      <w:r>
        <w:rPr>
          <w:i/>
          <w:iCs/>
        </w:rPr>
        <w:t xml:space="preserve">J. Monetary Econom.</w:t>
      </w:r>
      <w:r>
        <w:t xml:space="preserve"> 12(3):383–398.</w:t>
      </w:r>
    </w:p>
    <w:p>
      <w:pPr>
        <w:pStyle w:val="Bibliography"/>
      </w:pPr>
      <w:r>
        <w:t xml:space="preserve">Cameron AC, Gelbach JB, Miller DL (2008) Bootstrap-based improvements for inference with clustered errors. </w:t>
      </w:r>
      <w:r>
        <w:rPr>
          <w:i/>
          <w:iCs/>
        </w:rPr>
        <w:t xml:space="preserve">Rev. Econom. Statist.</w:t>
      </w:r>
      <w:r>
        <w:t xml:space="preserve"> 90(3):414–427.</w:t>
      </w:r>
    </w:p>
    <w:p>
      <w:pPr>
        <w:pStyle w:val="Bibliography"/>
        <w:rPr>
          <w:ins w:id="9038" w:author="Claude" w:date="2026-10-13T00:00:00Z"/>
        </w:rPr>
      </w:pPr>
      <w:ins w:id="9037" w:author="Claude" w:date="2026-10-13T00:00:00Z">
        <w:r>
          <w:t xml:space="preserve">CHAOSS (n.d.) Release frequency. CHAOSS Metrics. https://chaoss.community/?p=4765. Accessed October 13, 2026.</w:t>
        </w:r>
      </w:ins>
    </w:p>
    <w:p>
      <w:pPr>
        <w:pStyle w:val="Bibliography"/>
      </w:pPr>
      <w:r>
        <w:t xml:space="preserve">Chen L, Zaharia M, Zou J (2024) How is ChatGPT’s behavior changing over time? </w:t>
      </w:r>
      <w:r>
        <w:rPr>
          <w:i/>
          <w:iCs/>
        </w:rPr>
        <w:t xml:space="preserve">Harvard Data Sci. Rev.</w:t>
      </w:r>
      <w:r>
        <w:t xml:space="preserve"> 6(2).</w:t>
      </w:r>
    </w:p>
    <w:p>
      <w:pPr>
        <w:pStyle w:val="Bibliography"/>
      </w:pPr>
      <w:r>
        <w:t xml:space="preserve">Chen W, Liu X, Krishnan V, Zhu K (2026) Strategic release and co-creation: Empirical insights for managing open-source software. </w:t>
      </w:r>
      <w:r>
        <w:rPr>
          <w:i/>
          <w:iCs/>
        </w:rPr>
        <w:t xml:space="preserve">Inform. Systems Res.</w:t>
      </w:r>
      <w:r>
        <w:t xml:space="preserve"> Forthcoming.</w:t>
      </w:r>
    </w:p>
    <w:p>
      <w:pPr>
        <w:pStyle w:val="Bibliography"/>
      </w:pPr>
      <w:r>
        <w:t xml:space="preserve">Connelly BL, Certo ST, Ireland RD, Reutzel CR (2011) Signaling theory: A review and assessment. </w:t>
      </w:r>
      <w:r>
        <w:rPr>
          <w:i/>
          <w:iCs/>
        </w:rPr>
        <w:t xml:space="preserve">J. Management</w:t>
      </w:r>
      <w:r>
        <w:t xml:space="preserve"> 37(1):39–67.</w:t>
      </w:r>
    </w:p>
    <w:p>
      <w:pPr>
        <w:pStyle w:val="Bibliography"/>
      </w:pPr>
      <w:r>
        <w:t xml:space="preserve">DerSimonian R, Laird N (1986) Meta-analysis in clinical trials. </w:t>
      </w:r>
      <w:r>
        <w:rPr>
          <w:i/>
          <w:iCs/>
        </w:rPr>
        <w:t xml:space="preserve">Controlled Clinical Trials</w:t>
      </w:r>
      <w:r>
        <w:t xml:space="preserve"> 7(3):177–188.</w:t>
      </w:r>
    </w:p>
    <w:p>
      <w:pPr>
        <w:pStyle w:val="Bibliography"/>
      </w:pPr>
      <w:r>
        <w:t xml:space="preserve">Duncan AJ (1956) The economic design of X̄ charts used to maintain current control of a process. </w:t>
      </w:r>
      <w:r>
        <w:rPr>
          <w:i/>
          <w:iCs/>
        </w:rPr>
        <w:t xml:space="preserve">J. Amer. Statist. Assoc.</w:t>
      </w:r>
      <w:r>
        <w:t xml:space="preserve"> 51(274):228–242.</w:t>
      </w:r>
    </w:p>
    <w:p>
      <w:pPr>
        <w:pStyle w:val="Bibliography"/>
      </w:pPr>
      <w:r>
        <w:t xml:space="preserve">Gama J, Žliobaitė I, Bifet A, Pechenizkiy M, Bouchachia A (2014) A survey on concept drift adaptation. </w:t>
      </w:r>
      <w:r>
        <w:rPr>
          <w:i/>
          <w:iCs/>
        </w:rPr>
        <w:t xml:space="preserve">ACM Comput. Surveys</w:t>
      </w:r>
      <w:r>
        <w:t xml:space="preserve"> 46(4):Article 44.</w:t>
      </w:r>
    </w:p>
    <w:p>
      <w:pPr>
        <w:pStyle w:val="Bibliography"/>
      </w:pPr>
      <w:r>
        <w:t xml:space="preserve">Gourieroux C, Monfort A, Trognon A (1984) Pseudo maximum likelihood methods: Applications to Poisson models. </w:t>
      </w:r>
      <w:r>
        <w:rPr>
          <w:i/>
          <w:iCs/>
        </w:rPr>
        <w:t xml:space="preserve">Econometrica</w:t>
      </w:r>
      <w:r>
        <w:t xml:space="preserve"> 52:701–720.</w:t>
      </w:r>
    </w:p>
    <w:p>
      <w:pPr>
        <w:pStyle w:val="Bibliography"/>
      </w:pPr>
      <w:r>
        <w:t xml:space="preserve">Heckman J, Singer B (1984) A method for minimizing the impact of distributional assumptions in econometric models for duration data. </w:t>
      </w:r>
      <w:r>
        <w:rPr>
          <w:i/>
          <w:iCs/>
        </w:rPr>
        <w:t xml:space="preserve">Econometrica</w:t>
      </w:r>
      <w:r>
        <w:t xml:space="preserve"> 52:271–320.</w:t>
      </w:r>
    </w:p>
    <w:p>
      <w:pPr>
        <w:pStyle w:val="Bibliography"/>
      </w:pPr>
      <w:r>
        <w:t xml:space="preserve">Hotz VJ, Miller RA (1993) Conditional choice probabilities and the estimation of dynamic models. </w:t>
      </w:r>
      <w:r>
        <w:rPr>
          <w:i/>
          <w:iCs/>
        </w:rPr>
        <w:t xml:space="preserve">Rev. Econom. Stud.</w:t>
      </w:r>
      <w:r>
        <w:t xml:space="preserve"> 60(3):497–529.</w:t>
      </w:r>
    </w:p>
    <w:p>
      <w:pPr>
        <w:pStyle w:val="Bibliography"/>
      </w:pPr>
      <w:r>
        <w:t xml:space="preserve">Jenkins SP (1995) Easy estimation methods for discrete-time duration models. </w:t>
      </w:r>
      <w:r>
        <w:rPr>
          <w:i/>
          <w:iCs/>
        </w:rPr>
        <w:t xml:space="preserve">Oxford Bull. Econom. Statist.</w:t>
      </w:r>
      <w:r>
        <w:t xml:space="preserve"> 57(1):129–138.</w:t>
      </w:r>
    </w:p>
    <w:p>
      <w:pPr>
        <w:pStyle w:val="Bibliography"/>
      </w:pPr>
      <w:r>
        <w:t xml:space="preserve">Kemerer CF, Slaughter S (1999) An empirical approach to studying software evolution. </w:t>
      </w:r>
      <w:r>
        <w:rPr>
          <w:i/>
          <w:iCs/>
        </w:rPr>
        <w:t xml:space="preserve">IEEE Trans. Software Engrg.</w:t>
      </w:r>
      <w:r>
        <w:t xml:space="preserve"> 25(4):493–509.</w:t>
      </w:r>
    </w:p>
    <w:p>
      <w:pPr>
        <w:pStyle w:val="Bibliography"/>
      </w:pPr>
      <w:r>
        <w:t xml:space="preserve">Khomh F, Dhaliwal T, Zou Y, Adams B (2012) Do faster releases improve software quality? An empirical case study of Mozilla Firefox. </w:t>
      </w:r>
      <w:r>
        <w:rPr>
          <w:i/>
          <w:iCs/>
        </w:rPr>
        <w:t xml:space="preserve">Proc. 9th IEEE Working Conf. Mining Software Repositories (MSR)</w:t>
      </w:r>
      <w:r>
        <w:t xml:space="preserve"> (IEEE, Piscataway, NJ), 179–188.</w:t>
      </w:r>
    </w:p>
    <w:p>
      <w:pPr>
        <w:pStyle w:val="Bibliography"/>
      </w:pPr>
      <w:r>
        <w:t xml:space="preserve">Klenow PJ, Kryvtsov O (2008) State-dependent or time-dependent pricing: Does it matter for recent U.S. inflation? </w:t>
      </w:r>
      <w:r>
        <w:rPr>
          <w:i/>
          <w:iCs/>
        </w:rPr>
        <w:t xml:space="preserve">Quart. J. Econom.</w:t>
      </w:r>
      <w:r>
        <w:t xml:space="preserve"> 123(3):863–904.</w:t>
      </w:r>
    </w:p>
    <w:p>
      <w:pPr>
        <w:pStyle w:val="Bibliography"/>
      </w:pPr>
      <w:r>
        <w:t xml:space="preserve">Lazaridou A, Kuncoro A, Gribovskaya E, Agrawal D, Liska A, Terzi T, Gimenez M, de Masson d’Autume C, Kocisky T, Ruder S, Yogatama D, Cao K, Young S, Blunsom P (2021) Mind the gap: Assessing temporal generalization in neural language models. </w:t>
      </w:r>
      <w:r>
        <w:rPr>
          <w:i/>
          <w:iCs/>
        </w:rPr>
        <w:t xml:space="preserve">Adv. Neural Inform. Processing Systems, vol. 34</w:t>
      </w:r>
      <w:r>
        <w:t xml:space="preserve">.</w:t>
      </w:r>
    </w:p>
    <w:p>
      <w:pPr>
        <w:pStyle w:val="Bibliography"/>
      </w:pPr>
      <w:r>
        <w:t xml:space="preserve">Lehman MM (1980) Programs, life cycles, and laws of software evolution. </w:t>
      </w:r>
      <w:r>
        <w:rPr>
          <w:i/>
          <w:iCs/>
        </w:rPr>
        <w:t xml:space="preserve">Proc. IEEE</w:t>
      </w:r>
      <w:r>
        <w:t xml:space="preserve"> 68(9):1060–1076.</w:t>
      </w:r>
    </w:p>
    <w:p>
      <w:pPr>
        <w:pStyle w:val="Bibliography"/>
      </w:pPr>
      <w:r>
        <w:t xml:space="preserve">Lerner J, Tirole J (2002) Some simple economics of open source. </w:t>
      </w:r>
      <w:r>
        <w:rPr>
          <w:i/>
          <w:iCs/>
        </w:rPr>
        <w:t xml:space="preserve">J. Indust. Econom.</w:t>
      </w:r>
      <w:r>
        <w:t xml:space="preserve"> 50(2):197–234.</w:t>
      </w:r>
    </w:p>
    <w:p>
      <w:pPr>
        <w:pStyle w:val="Bibliography"/>
      </w:pPr>
      <w:r>
        <w:t xml:space="preserve">Luu K, Khashabi D, Gururangan S, Mandyam K, Smith NA (2022) Time waits for no one! Analysis and challenges of temporal misalignment. </w:t>
      </w:r>
      <w:r>
        <w:rPr>
          <w:i/>
          <w:iCs/>
        </w:rPr>
        <w:t xml:space="preserve">Proc. 2022 Conf. North Amer. Chapter Assoc. Comput. Linguistics Human Language Tech.</w:t>
      </w:r>
      <w:r>
        <w:t xml:space="preserve"> (Association for Computational Linguistics), 5944–5958.</w:t>
      </w:r>
    </w:p>
    <w:p>
      <w:pPr>
        <w:pStyle w:val="Bibliography"/>
      </w:pPr>
      <w:r>
        <w:t xml:space="preserve">Mankiw NG, Reis R (2002) Sticky information versus sticky prices: A proposal to replace the New Keynesian Phillips curve. </w:t>
      </w:r>
      <w:r>
        <w:rPr>
          <w:i/>
          <w:iCs/>
        </w:rPr>
        <w:t xml:space="preserve">Quart. J. Econom.</w:t>
      </w:r>
      <w:r>
        <w:t xml:space="preserve"> 117(4):1295–1328.</w:t>
      </w:r>
    </w:p>
    <w:p>
      <w:pPr>
        <w:pStyle w:val="Bibliography"/>
      </w:pPr>
      <w:r>
        <w:t xml:space="preserve">Nakamura E, Steinsson J (2008) Five facts about prices: A reevaluation of menu cost models. </w:t>
      </w:r>
      <w:r>
        <w:rPr>
          <w:i/>
          <w:iCs/>
        </w:rPr>
        <w:t xml:space="preserve">Quart. J. Econom.</w:t>
      </w:r>
      <w:r>
        <w:t xml:space="preserve"> 123(4):1415–1464.</w:t>
      </w:r>
    </w:p>
    <w:p>
      <w:pPr>
        <w:pStyle w:val="Bibliography"/>
        <w:rPr>
          <w:ins w:id="9040" w:author="Claude" w:date="2026-10-13T00:00:00Z"/>
        </w:rPr>
      </w:pPr>
      <w:ins w:id="9039" w:author="Claude" w:date="2026-10-13T00:00:00Z">
        <w:r>
          <w:t xml:space="preserve">OpenSSF (n.d.) Scorecard checks: Maintained. https://github.com/ossf/scorecard/blob/main/docs/checks.md#maintained. Accessed October 13, 2026.</w:t>
        </w:r>
      </w:ins>
    </w:p>
    <w:p>
      <w:pPr>
        <w:pStyle w:val="Bibliography"/>
      </w:pPr>
      <w:r>
        <w:t xml:space="preserve">Reis R (2006) Inattentive producers. </w:t>
      </w:r>
      <w:r>
        <w:rPr>
          <w:i/>
          <w:iCs/>
        </w:rPr>
        <w:t xml:space="preserve">Rev. Econom. Stud.</w:t>
      </w:r>
      <w:r>
        <w:t xml:space="preserve"> 73(3):793–821.</w:t>
      </w:r>
    </w:p>
    <w:p>
      <w:pPr>
        <w:pStyle w:val="Bibliography"/>
      </w:pPr>
      <w:r>
        <w:t xml:space="preserve">Rust J (1987) Optimal replacement of GMC bus engines: An empirical model of Harold Zurcher. </w:t>
      </w:r>
      <w:r>
        <w:rPr>
          <w:i/>
          <w:iCs/>
        </w:rPr>
        <w:t xml:space="preserve">Econometrica</w:t>
      </w:r>
      <w:r>
        <w:t xml:space="preserve"> 55:999–1033.</w:t>
      </w:r>
    </w:p>
    <w:p>
      <w:pPr>
        <w:pStyle w:val="Bibliography"/>
      </w:pPr>
      <w:r>
        <w:t xml:space="preserve">Sculley D, Holt G, Golovin D, Davydov E, Phillips T, Ebner D, Chaudhary V, Young M, Crespo J-F, Dennison D (2015) Hidden technical debt in machine learning systems. </w:t>
      </w:r>
      <w:r>
        <w:rPr>
          <w:i/>
          <w:iCs/>
        </w:rPr>
        <w:t xml:space="preserve">Adv. Neural Inform. Processing Systems, vol. 28</w:t>
      </w:r>
      <w:r>
        <w:t xml:space="preserve"> (Curran Associates, Red Hook, NY), 2503–2511.</w:t>
      </w:r>
    </w:p>
    <w:p>
      <w:pPr>
        <w:pStyle w:val="Bibliography"/>
      </w:pPr>
      <w:r>
        <w:t xml:space="preserve">Sheshinski E, Weiss Y (1977) Inflation and costs of price adjustment. </w:t>
      </w:r>
      <w:r>
        <w:rPr>
          <w:i/>
          <w:iCs/>
        </w:rPr>
        <w:t xml:space="preserve">Rev. Econom. Stud.</w:t>
      </w:r>
      <w:r>
        <w:t xml:space="preserve"> 44(2):287–303.</w:t>
      </w:r>
    </w:p>
    <w:p>
      <w:pPr>
        <w:pStyle w:val="Bibliography"/>
      </w:pPr>
      <w:r>
        <w:t xml:space="preserve">Sims CA (2003) Implications of rational inattention. </w:t>
      </w:r>
      <w:r>
        <w:rPr>
          <w:i/>
          <w:iCs/>
        </w:rPr>
        <w:t xml:space="preserve">J. Monetary Econom.</w:t>
      </w:r>
      <w:r>
        <w:t xml:space="preserve"> 50(3):665–690.</w:t>
      </w:r>
    </w:p>
    <w:p>
      <w:pPr>
        <w:pStyle w:val="Bibliography"/>
        <w:rPr>
          <w:ins w:id="9042" w:author="Claude" w:date="2026-10-13T00:00:00Z"/>
        </w:rPr>
      </w:pPr>
      <w:ins w:id="9041" w:author="Claude" w:date="2026-10-13T00:00:00Z">
        <w:r>
          <w:t xml:space="preserve">Snyk (n.d.) Snyk Advisor: Package health score, maintenance. https://snyk.io/advisor/. Accessed October 13, 2026.</w:t>
        </w:r>
      </w:ins>
    </w:p>
    <w:p>
      <w:pPr>
        <w:pStyle w:val="Bibliography"/>
      </w:pPr>
      <w:r>
        <w:t xml:space="preserve">Song F, Agarwal A, Wen W (2026) The impact of generative AI on collaborative open-source software development: Evidence from GitHub Copilot. </w:t>
      </w:r>
      <w:r>
        <w:rPr>
          <w:i/>
          <w:iCs/>
        </w:rPr>
        <w:t xml:space="preserve">Inform. Systems Res.</w:t>
      </w:r>
      <w:r>
        <w:t xml:space="preserve"> Forthcoming.</w:t>
      </w:r>
    </w:p>
    <w:p>
      <w:pPr>
        <w:pStyle w:val="Bibliography"/>
      </w:pPr>
      <w:r>
        <w:t xml:space="preserve">Spence M (1973) Job market signaling. </w:t>
      </w:r>
      <w:r>
        <w:rPr>
          <w:i/>
          <w:iCs/>
        </w:rPr>
        <w:t xml:space="preserve">Quart. J. Econom.</w:t>
      </w:r>
      <w:r>
        <w:t xml:space="preserve"> 87(3):355–374.</w:t>
      </w:r>
    </w:p>
    <w:p>
      <w:pPr>
        <w:pStyle w:val="Bibliography"/>
      </w:pPr>
      <w:r>
        <w:t xml:space="preserve">Swanson EB (1976) The dimensions of maintenance. </w:t>
      </w:r>
      <w:r>
        <w:rPr>
          <w:i/>
          <w:iCs/>
        </w:rPr>
        <w:t xml:space="preserve">Proc. 2nd Internat. Conf. Software Engrg.</w:t>
      </w:r>
      <w:r>
        <w:t xml:space="preserve"> (IEEE Computer Society Press), 492–497.</w:t>
      </w:r>
    </w:p>
    <w:p>
      <w:pPr>
        <w:pStyle w:val="Bibliography"/>
      </w:pPr>
      <w:r>
        <w:t xml:space="preserve">Taylor JB (1980) Aggregate dynamics and staggered contracts. </w:t>
      </w:r>
      <w:r>
        <w:rPr>
          <w:i/>
          <w:iCs/>
        </w:rPr>
        <w:t xml:space="preserve">J. Political Econom.</w:t>
      </w:r>
      <w:r>
        <w:t xml:space="preserve"> 88(1):1–23.</w:t>
      </w:r>
    </w:p>
    <w:p>
      <w:pPr>
        <w:pStyle w:val="Bibliography"/>
      </w:pPr>
      <w:r>
        <w:t xml:space="preserve">von Hippel E, von Krogh G (2003) Open source software and the “private-collective” innovation model: Issues for organization science. </w:t>
      </w:r>
      <w:r>
        <w:rPr>
          <w:i/>
          <w:iCs/>
        </w:rPr>
        <w:t xml:space="preserve">Organ. Sci.</w:t>
      </w:r>
      <w:r>
        <w:t xml:space="preserve"> 14(2):209–223.</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240" w:after="0"/>
      <w:outlineLvl w:val="1"/>
    </w:pPr>
    <w:rPr>
      <w:rFonts w:ascii="Times New Roman" w:hAnsi="Times New Roman" w:eastAsia="Times New Roman" w:cs="Times New Roman"/>
      <w:b/>
      <w:bCs/>
      <w:color w:val="000000"/>
      <w:sz w:val="22"/>
      <w:szCs w:val="22"/>
    </w:rPr>
  </w:style>
  <w:style w:type="paragraph" w:styleId="Heading3">
    <w:name w:val="Heading 3"/>
    <w:basedOn w:val="Normal"/>
    <w:next w:val="BodyText"/>
    <w:uiPriority w:val="9"/>
    <w:unhideWhenUsed/>
    <w:qFormat/>
    <w:pPr>
      <w:keepNext w:val="true"/>
      <w:keepLines/>
      <w:spacing w:before="240" w:after="0"/>
      <w:outlineLvl w:val="2"/>
    </w:pPr>
    <w:rPr>
      <w:rFonts w:ascii="Times New Roman" w:hAnsi="Times New Roman" w:eastAsia="Times New Roman" w:cs="Times New Roman"/>
      <w:b/>
      <w:bCs/>
      <w:i/>
      <w:iCs/>
      <w:color w:val="000000"/>
      <w:sz w:val="22"/>
      <w:szCs w:val="22"/>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exact" w:line="39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28"/>
      <w:szCs w:val="28"/>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exact" w:line="390" w:before="0" w:after="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001" Type="http://schemas.openxmlformats.org/officeDocument/2006/relationships/image" Target="media/fig1_repository_slopes.png"/><Relationship Id="rId9002" Type="http://schemas.openxmlformats.org/officeDocument/2006/relationships/image" Target="media/fig2_rq1_specifications.png"/><Relationship Id="rId9003" Type="http://schemas.openxmlformats.org/officeDocument/2006/relationships/image" Target="media/fig3_rq3_rq4_coefficients.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