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 and no detectable response to 38 upstream model launches. The release hazard also tends to rise with the stock of merged changes, although the data cannot cleanly separate that stock from calendar time. Release cadence therefore </w:t>
      </w:r>
      <w:del w:id="9001" w:author="Claude" w:date="2026-10-13T00:00:00Z">
        <w:r>
          <w:delText xml:space="preserve">reflects user activity and accumulated work more clearly than responsiveness to degradation and should not be read as a validated signal of it</w:delText>
        </w:r>
      </w:del>
      <w:ins w:id="9002" w:author="Claude" w:date="2026-10-13T00:00:00Z">
        <w:r>
          <w:t xml:space="preserve">carries information about responsiveness to users and to accumulated work, but the data do not identify it as a signal of responsiveness to degradation specifically</w:t>
        </w:r>
      </w:ins>
      <w:r>
        <w:t xml:space="preserve">.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w:t>
      </w:r>
      <w:del w:id="9003" w:author="Claude" w:date="2026-10-13T00:00:00Z">
        <w:r>
          <w:delText xml:space="preserve">routinely treated by practitioners, buyers, and regulators as evidence that a project is actively maintained and that degradation is being managed. Our results give no support to</w:delText>
        </w:r>
      </w:del>
      <w:ins w:id="9004" w:author="Claude" w:date="2026-10-13T00:00:00Z">
        <w:r>
          <w:t xml:space="preserve">treated as evidence that a project is actively maintained, both by practitioners and by widely used project-health metrics (Section 2.4), and it is easily read as evidence that degradation is being managed. Our results do not support the second half of</w:t>
        </w:r>
      </w:ins>
      <w:r>
        <w:t xml:space="preserve"> this inference in the open-source LLM tooling ecosystem. Bug reports show no measurable rise with release age relative to total issues, releases respond to </w:t>
      </w:r>
      <w:del w:id="9005" w:author="Claude" w:date="2026-10-13T00:00:00Z">
        <w:r>
          <w:delText xml:space="preserve">the volume of user issues but not distinguishably to bug reports as such</w:delText>
        </w:r>
      </w:del>
      <w:ins w:id="9006" w:author="Claude" w:date="2026-10-13T00:00:00Z">
        <w:r>
          <w:t xml:space="preserve">user issues, but a response to bug reports cannot be distinguished from a response to overall issue volume</w:t>
        </w:r>
      </w:ins>
      <w:r>
        <w:t xml:space="preserve">, and they show no detectable response to upstream model launches. Release timing also tends to track the accumulation of merged work. Release cadence therefore looks more like a signal of </w:t>
      </w:r>
      <w:del w:id="9007" w:author="Claude" w:date="2026-10-13T00:00:00Z">
        <w:r>
          <w:delText xml:space="preserve">user activity and development activity than of responsiveness to system deterioration</w:delText>
        </w:r>
      </w:del>
      <w:ins w:id="9008" w:author="Claude" w:date="2026-10-13T00:00:00Z">
        <w:r>
          <w:t xml:space="preserve">responsiveness to users and to development work than a signal of responsiveness to system deterioration specifically</w:t>
        </w:r>
      </w:ins>
      <w:r>
        <w:t xml:space="preserve">—a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t>
      </w:r>
      <w:del w:id="9009" w:author="Claude" w:date="2026-10-13T00:00:00Z">
        <w:r>
          <w:delText xml:space="preserve">work or the calendar, a high cadence is as likely among unresponsive maintainers as among responsive ones, and reading it as evidence of maintenance quality</w:delText>
        </w:r>
      </w:del>
      <w:ins w:id="9010" w:author="Claude" w:date="2026-10-13T00:00:00Z">
        <w:r>
          <w:t xml:space="preserve">work, overall user activity, or the calendar, a high cadence can be as likely among maintainers who do not respond to degradation as among those who do, and reading it as evidence that degradation is managed</w:t>
        </w:r>
      </w:ins>
      <w:r>
        <w:t xml:space="preserve"> is an error of inference. The distinction between state-dependent and time-dependent adjustment gives this question testable content: state dependence in errors is the condition under which cadence is a valid signal of </w:t>
      </w:r>
      <w:del w:id="9011" w:author="Claude" w:date="2026-10-13T00:00:00Z">
        <w:r>
          <w:delText xml:space="preserve">responsiveness</w:delText>
        </w:r>
      </w:del>
      <w:ins w:id="9012" w:author="Claude" w:date="2026-10-13T00:00:00Z">
        <w:r>
          <w:t xml:space="preserve">responsiveness to degradation, as distinct from responsiveness to users or to accumulated work</w:t>
        </w:r>
      </w:ins>
      <w:r>
        <w:t xml:space="preserve">.</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rPr>
          <w:ins w:id="9102" w:author="Claude" w:date="2026-10-13T00:00:00Z"/>
        </w:rPr>
      </w:pPr>
      <w:ins w:id="9103" w:author="Claude" w:date="2026-10-13T00:00:00Z">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w:t>
        </w:r>
      </w:ins>
    </w:p>
    <w:p>
      <w:pPr>
        <w:pStyle w:val="BodyText"/>
      </w:pPr>
      <w:r>
        <w:t xml:space="preserve">The answer to RQ3 is that release probabilities respond to </w:t>
      </w:r>
      <w:del w:id="9013" w:author="Claude" w:date="2026-10-13T00:00:00Z">
        <w:r>
          <w:delText xml:space="preserve">the volume of user issues but not distinguishably to bug reports as such</w:delText>
        </w:r>
      </w:del>
      <w:ins w:id="9014" w:author="Claude" w:date="2026-10-13T00:00:00Z">
        <w:r>
          <w:t xml:space="preserve">user issues, including bug reports, but a response to bug reports cannot be distinguished from a response to the overall volume of issues</w:t>
        </w:r>
      </w:ins>
      <w:r>
        <w:t xml:space="preserve">.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w:t>
      </w:r>
      <w:del w:id="9015" w:author="Claude" w:date="2026-10-13T00:00:00Z">
        <w:r>
          <w:delText xml:space="preserve">Releases</w:delText>
        </w:r>
      </w:del>
      <w:ins w:id="9016" w:author="Claude" w:date="2026-10-13T00:00:00Z">
        <w:r>
          <w:t xml:space="preserve">Because bug reports are part of total issues, this last comparison is conservative, and its interval does not exclude a sizable additional response. Releases</w:t>
        </w:r>
      </w:ins>
      <w:r>
        <w:t xml:space="preserve"> show no detectable response to 38 upstream model launches, although release notes often mention a new model after its launch, which suggests that the content of releases responds while their timing does not. </w:t>
      </w:r>
    </w:p>
    <w:p>
      <w:pPr>
        <w:pStyle w:val="BodyText"/>
      </w:pPr>
      <w:del w:id="9101" w:author="Claude" w:date="2026-10-13T00:00:00Z">
        <w:r>
          <w:delTex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w:delText>
        </w:r>
      </w:del>
      <w:r>
        <w:t xml:space="preserve">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w:t>
      </w:r>
      <w:del w:id="9017" w:author="Claude" w:date="2026-10-13T00:00:00Z">
        <w:r>
          <w:delText xml:space="preserve">the volume of user issues but not distinguishably to bug reports as such or</w:delText>
        </w:r>
      </w:del>
      <w:ins w:id="9018" w:author="Claude" w:date="2026-10-13T00:00:00Z">
        <w:r>
          <w:t xml:space="preserve">user issues without a response to bug reports that can be distinguished from a response to overall volume, that their timing shows no detectable response</w:t>
        </w:r>
      </w:ins>
      <w:r>
        <w:t xml:space="preserve">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w:t>
      </w:r>
      <w:del w:id="9019" w:author="Claude" w:date="2026-10-13T00:00:00Z">
        <w:r>
          <w:delText xml:space="preserve">buyers, auditors, and regulators routinely use update frequency as a signal of maintenance quality, because how responsively a maintainer deals with problems is hard to observe</w:delText>
        </w:r>
      </w:del>
      <w:ins w:id="9020" w:author="Claude" w:date="2026-10-13T00:00:00Z">
        <w:r>
          <w:t xml:space="preserve">release and update frequency is built into widely used assessments of maintenance quality, because how responsively a maintainer deals with problems is hard to observe. The Release Frequency metric of the CHAOSS project treats a higher frequency of releases as a sign that a project iterates rapidly in response to user needs (CHAOSS n.d.), Snyk's package-health ratings judge maintenance partly by a package's version release cadence (Snyk n.d.), and the Maintained check of the OpenSSF Scorecard scores recent commit and issue activity (OpenSSF n.d.). These assessments inform the selection of dependencies and vendor due diligence without testing whether the activity they count responds to defects</w:t>
        </w:r>
      </w:ins>
      <w:r>
        <w:t xml:space="preserve">. For AI components the signal is relied on more heavily still, because degradation is itself hard to observe (Section 3.3). Release frequency is cheap in one important respect: an automated pipeline can publish a release every week whatever the system needs. A cheap signal can be informative only if its timing is tied to the quality it is meant to indicate. We therefore test the correlation condition directly, asking whether release timing responds to accumulating errors, bug surges, or upstream </w:t>
      </w:r>
      <w:del w:id="9021" w:author="Claude" w:date="2026-10-13T00:00:00Z">
        <w:r>
          <w:delText xml:space="preserve">shocks</w:delText>
        </w:r>
      </w:del>
      <w:ins w:id="9022" w:author="Claude" w:date="2026-10-13T00:00:00Z">
        <w:r>
          <w:t xml:space="preserve">shocks. A signal can be valid for one quality and not for another: a cadence that follows user activity is informative about responsiveness to users, but it is informative about responsiveness to degradation only if its timing moves with the error state itself</w:t>
        </w:r>
      </w:ins>
      <w:r>
        <w:t xml:space="preserve">. The state-dependent rule of Section 3.2 is the case in which cadence is a valid signal of </w:t>
      </w:r>
      <w:del w:id="9023" w:author="Claude" w:date="2026-10-13T00:00:00Z">
        <w:r>
          <w:delText xml:space="preserve">responsiveness</w:delText>
        </w:r>
      </w:del>
      <w:ins w:id="9024" w:author="Claude" w:date="2026-10-13T00:00:00Z">
        <w:r>
          <w:t xml:space="preserve">responsiveness to degradation</w:t>
        </w:r>
      </w:ins>
      <w:r>
        <w:t xml:space="preserve">,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and DeepSeek-V3 publish model weights elsewhere and have few or no GitHub releases, and llama.cpp publishes automated builds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did not meet this rule, which leaves 19. This is a convenience sample of prominent projects and not a random sample of the ecosystem, and nearly all of them are software and tooling and not model-retraining pipelines. Two retained repositories (anthropic-sdk-python and openai-python) release at a weekly cadence and may rely on automated release pipelines. We keep them, because even an automated pipeline leaves open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three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that may rely on automated release pipelines (anthropic-sdk-python and openai-python), (ii) separately for the weekly releasers (a median gap of at most one week between release weeks)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 The evidence against an accumulating error state is thus weaker than the estimate under (b) alone suggests.</w:t>
      </w:r>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0.049), which is not distinguishable from zero.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w:t>
      </w:r>
      <w:del w:id="9104" w:author="Claude" w:date="2026-10-13T00:00:00Z">
        <w:r>
          <w:delText xml:space="preserve">Excluding the seven weekly releasers gives</w:delText>
        </w:r>
      </w:del>
      <w:ins w:id="9105" w:author="Claude" w:date="2026-10-13T00:00:00Z">
        <w:r>
          <w:t xml:space="preserve">Excluding the seven repositories with a median release cycle of one week (Table 1) gives</w:t>
        </w:r>
      </w:ins>
      <w:r>
        <w:t xml:space="preserve">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BodyText"/>
        <w:rPr>
          <w:ins w:id="9026" w:author="Claude" w:date="2026-10-13T00:00:00Z"/>
        </w:rPr>
      </w:pPr>
      <w:ins w:id="9025" w:author="Claude" w:date="2026-10-13T00:00:00Z">
        <w:r>
          <w:t xml:space="preserve">These results admit a reading that is more favorable to cadence than ours, and we state it explicitly. A release that follows a week of many user issues is itself a response to an observable state, and a maintainer who releases when users report problems of any kind is responsive in a meaningful sense; under this reading the response to non-bug issues is not a confound but part of what responsiveness means. We do not dispute it. Our question is narrower: whether release timing carries information about degradation specifically, as distinct from user activity in general. The specification that holds total issues fixed answers that question, because it asks whether a week in which a larger share of reports concern defects is more likely to end in a release. It is conservative, because bug reports are part of total issues and part of any response to them is absorbed by the total, and its interval (−0.05 to 0.43 in log-odds) is compatible both with no additional response and with a sizable one. We therefore read the evidence as failing to identify a response to degradation as such, not as showing that maintainers ignore defects. For the signal, this means that cadence is informative about responsiveness to users, and it is informative about responsiveness to degradation only to the extent that degradation is what drives user reports.</w:t>
        </w:r>
      </w:ins>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w:t>
      </w:r>
      <w:del w:id="9110" w:author="Claude" w:date="2026-10-13T00:00:00Z">
        <w:r>
          <w:delText xml:space="preserve">A hand check of 12 randomly drawn entries found</w:delText>
        </w:r>
      </w:del>
      <w:ins w:id="9111" w:author="Claude" w:date="2026-10-13T00:00:00Z">
        <w:r>
          <w:t xml:space="preserve">A hand check of the fix-entry classifier (not the bug-report classifier; see Section 6.3) on 12 randomly drawn entries found</w:t>
        </w:r>
      </w:ins>
      <w:r>
        <w:t xml:space="preserve"> the two flagged as fixes to be fixes and none of the other ten to be an obvious fix, although one of them was a contributor name and not a change entry, which the classifier now excludes;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For the launch event study the estimate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that may rely on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The thirteen slower releasers give 0.000 under (b) (−0.009 to 0.009), +0.015 under (d) (−0.006 to 0.034), and 0.211 (SE 0.082) for the response to bug reports. </w:t>
      </w:r>
      <w:del w:id="9106" w:author="Claude" w:date="2026-10-13T00:00:00Z">
        <w:r>
          <w:delText xml:space="preserve">For the six weekly releasers (a median gap of at most one week between release weeks among all collected releases; Table 1 lists seven repositories with a median cycle of one week)</w:delText>
        </w:r>
      </w:del>
      <w:ins w:id="9107" w:author="Claude" w:date="2026-10-13T00:00:00Z">
        <w:r>
          <w:t xml:space="preserve">For the six weekly releasers, defined as in Section 4.3 by a median gap of at most one week between release weeks among all collected releases (a different criterion from the median release cycle of one week in Table 1, which selects seven repositories and is used in Section 5.2)</w:t>
        </w:r>
      </w:ins>
      <w:r>
        <w:t xml:space="preserve"> the (b) estimate is imprecise (−0.033; −0.104 to 0.038), and the (d) estimate (0.248; 0.077 to 0.418) rests on few observations beyond the third week after a release and is not reliable.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2"/>
      </w:pPr>
      <w:r>
        <w:t xml:space="preserve">6. Discussion</w:t>
      </w:r>
    </w:p>
    <w:p>
      <w:pPr>
        <w:pStyle w:val="Heading3"/>
      </w:pPr>
      <w:r>
        <w:t xml:space="preserve">6.1. Interpretation</w:t>
      </w:r>
    </w:p>
    <w:p>
      <w:pPr>
        <w:pStyle w:val="FirstParagraph"/>
      </w:pPr>
      <w:r>
        <w:t xml:space="preserve">Releases in these repositories respond to the volume of user activity and, more weakly, to accumulated work,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tends to rise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mainly reflecting user activity and the accumulation of development work. This distinction has implications for how information systems researchers conceptualize monitoring, feedback, and control in AI-enabled systems. In particular, treating release cadence as a validated signal of responsiveness </w:t>
      </w:r>
      <w:del w:id="9027" w:author="Claude" w:date="2026-10-13T00:00:00Z">
        <w:r>
          <w:delText xml:space="preserve">conflates development activity with a control response to degradation</w:delText>
        </w:r>
      </w:del>
      <w:ins w:id="9028" w:author="Claude" w:date="2026-10-13T00:00:00Z">
        <w:r>
          <w:t xml:space="preserve">to degradation conflates responsiveness to users and to development work with a control response to deterioration</w:t>
        </w:r>
      </w:ins>
      <w:r>
        <w:t xml:space="preserve">.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although releases do respond to the flow of user reports. In the language of signaling theory, release cadence </w:t>
      </w:r>
      <w:del w:id="9029" w:author="Claude" w:date="2026-10-13T00:00:00Z">
        <w:r>
          <w:delText xml:space="preserve">shows no sign of being a valid signal of responsiveness to degradation: it covaries with user activity in general and not distinguishably with the defects that it is read as indicating</w:delText>
        </w:r>
      </w:del>
      <w:ins w:id="9030" w:author="Claude" w:date="2026-10-13T00:00:00Z">
        <w:r>
          <w:t xml:space="preserve">meets the correlation condition for responsiveness to users, but the data do not show that it meets it for responsiveness to degradation: it covaries with user activity in general, and its additional covariation with defects cannot be distinguished from zero</w:t>
        </w:r>
      </w:ins>
      <w:r>
        <w:t xml:space="preserve">.</w:t>
      </w:r>
    </w:p>
    <w:p>
      <w:pPr>
        <w:pStyle w:val="Heading3"/>
      </w:pPr>
      <w:r>
        <w:t xml:space="preserve">6.2. Implications for Policy and Practice</w:t>
      </w:r>
    </w:p>
    <w:p>
      <w:pPr>
        <w:pStyle w:val="FirstParagraph"/>
      </w:pPr>
      <w:r>
        <w:rPr>
          <w:b/>
          <w:bCs/>
        </w:rPr>
        <w:t xml:space="preserve">Release cadence should not be read as a signal of </w:t>
      </w:r>
      <w:del w:id="9031" w:author="Claude" w:date="2026-10-13T00:00:00Z">
        <w:r>
          <w:rPr>
            <w:b/>
            <w:bCs/>
          </w:rPr>
          <w:delText xml:space="preserve">responsiveness</w:delText>
        </w:r>
      </w:del>
      <w:ins w:id="9032" w:author="Claude" w:date="2026-10-13T00:00:00Z">
        <w:r>
          <w:rPr>
            <w:b/>
            <w:bCs/>
          </w:rPr>
          <w:t xml:space="preserve">responsiveness to degradation</w:t>
        </w:r>
      </w:ins>
      <w:r>
        <w:rPr>
          <w:b/>
          <w:bCs/>
        </w:rPr>
        <w:t xml:space="preserve">.</w:t>
      </w:r>
      <w:r>
        <w:t xml:space="preserve"> A project that releases every week looks actively maintained, but if release timing follows user activity,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user activity, accumulated work, or a calendar.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w:t>
      </w:r>
      <w:del w:id="9033" w:author="Claude" w:date="2026-10-13T00:00:00Z">
        <w:r>
          <w:delText xml:space="preserve">and</w:delText>
        </w:r>
      </w:del>
      <w:ins w:id="9034" w:author="Claude" w:date="2026-10-13T00:00:00Z">
        <w:r>
          <w:t xml:space="preserve">to degradation and</w:t>
        </w:r>
      </w:ins>
      <w:r>
        <w:t xml:space="preserve">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del w:id="9108" w:author="Claude" w:date="2026-10-13T00:00:00Z">
        <w:r>
          <w:delText xml:space="preserve">We did not validate the classification against a manually labeled sample, so misclassification remains a limitation.</w:delText>
        </w:r>
      </w:del>
      <w:ins w:id="9109" w:author="Claude" w:date="2026-10-13T00:00:00Z">
        <w:r>
          <w:t xml:space="preserve">We did not validate the bug classification against a manually labeled sample, so misclassification remains a limitation. Two other classifiers have had only a small check or none: the coding of fix entries in release notes was checked on 12 entries (Section 5.6), which says nothing about its recall, and the matching of launched models in release notes has not been checked by hand.</w:t>
        </w:r>
      </w:ins>
      <w:r>
        <w:t xml:space="preserve">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in Sections 5.1 to 5.6 and in Table 1,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user activity and accumulating work, and we </w:t>
      </w:r>
      <w:del w:id="9035" w:author="Claude" w:date="2026-10-13T00:00:00Z">
        <w:r>
          <w:delText xml:space="preserve">find no clear sign that it follows accumulating errors. The findings suggest that release cadence</w:delText>
        </w:r>
      </w:del>
      <w:ins w:id="9036" w:author="Claude" w:date="2026-10-13T00:00:00Z">
        <w:r>
          <w:t xml:space="preserve">cannot identify a response to accumulating errors beyond that. Release cadence thus says something about responsiveness to users, but it</w:t>
        </w:r>
      </w:ins>
      <w:r>
        <w:t xml:space="preserv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Mira P (2010) Dynamic discrete choice structural models: A survey. </w:t>
      </w:r>
      <w:r>
        <w:rPr>
          <w:i/>
          <w:iCs/>
        </w:rPr>
        <w:t xml:space="preserve">J. Econometrics</w:t>
      </w:r>
      <w:r>
        <w:t xml:space="preserve"> 156(1):38–67.</w:t>
      </w:r>
    </w:p>
    <w:p>
      <w:pPr>
        <w:pStyle w:val="Bibliography"/>
      </w:pPr>
      <w:r>
        <w:t xml:space="preserve">Alvarez FE, Lippi F, Paciello L (2011) Optimal price setting with observation and menu costs. </w:t>
      </w:r>
      <w:r>
        <w:rPr>
          <w:i/>
          <w:iCs/>
        </w:rPr>
        <w:t xml:space="preserve">Quart. J. Econom.</w:t>
      </w:r>
      <w:r>
        <w:t xml:space="preserve"> 126(4):1909–1960.</w:t>
      </w:r>
    </w:p>
    <w:p>
      <w:pPr>
        <w:pStyle w:val="Bibliography"/>
      </w:pPr>
      <w:r>
        <w:t xml:space="preserve">Amershi S, Begel A, Bird C, DeLine R, Gall H, Kamar E, Nagappan N, Nushi B, Zimmermann T (2019) Software engineering for machine learning: A case study. </w:t>
      </w:r>
      <w:r>
        <w:rPr>
          <w:i/>
          <w:iCs/>
        </w:rPr>
        <w:t xml:space="preserve">Proc. 41st Internat. Conf. Software Engrg. Software Engrg. Practice (ICSE-SEIP)</w:t>
      </w:r>
      <w:r>
        <w:t xml:space="preserve"> (IEEE, Piscataway, NJ), 291–300.</w:t>
      </w:r>
    </w:p>
    <w:p>
      <w:pPr>
        <w:pStyle w:val="Bibliography"/>
      </w:pPr>
      <w:r>
        <w:t xml:space="preserve">Banker RD, Datar SM, Kemerer CF, Zweig D (1993) Software complexity and maintenance costs. </w:t>
      </w:r>
      <w:r>
        <w:rPr>
          <w:i/>
          <w:iCs/>
        </w:rPr>
        <w:t xml:space="preserve">Comm. ACM</w:t>
      </w:r>
      <w:r>
        <w:t xml:space="preserve"> 36(11):81–94.</w:t>
      </w:r>
    </w:p>
    <w:p>
      <w:pPr>
        <w:pStyle w:val="Bibliography"/>
      </w:pPr>
      <w:r>
        <w:t xml:space="preserve">Barlow R, Hunter L (1960) Optimum preventive maintenance policies. </w:t>
      </w:r>
      <w:r>
        <w:rPr>
          <w:i/>
          <w:iCs/>
        </w:rPr>
        <w:t xml:space="preserve">Oper. Res.</w:t>
      </w:r>
      <w:r>
        <w:t xml:space="preserve"> 8(1):90–100.</w:t>
      </w:r>
    </w:p>
    <w:p>
      <w:pPr>
        <w:pStyle w:val="Bibliography"/>
      </w:pPr>
      <w:r>
        <w:t xml:space="preserve">Caballero RJ, Engel EMRA (1999) Explaining investment dynamics in U.S. manufacturing: A generalized (S,s) approach. </w:t>
      </w:r>
      <w:r>
        <w:rPr>
          <w:i/>
          <w:iCs/>
        </w:rPr>
        <w:t xml:space="preserve">Econometrica</w:t>
      </w:r>
      <w:r>
        <w:t xml:space="preserve"> 67:783–826.</w:t>
      </w:r>
    </w:p>
    <w:p>
      <w:pPr>
        <w:pStyle w:val="Bibliography"/>
      </w:pPr>
      <w:r>
        <w:t xml:space="preserve">Calvo GA (1983) Staggered prices in a utility-maximizing framework. </w:t>
      </w:r>
      <w:r>
        <w:rPr>
          <w:i/>
          <w:iCs/>
        </w:rPr>
        <w:t xml:space="preserve">J. Monetary Econom.</w:t>
      </w:r>
      <w:r>
        <w:t xml:space="preserve"> 12(3):383–398.</w:t>
      </w:r>
    </w:p>
    <w:p>
      <w:pPr>
        <w:pStyle w:val="Bibliography"/>
      </w:pPr>
      <w:r>
        <w:t xml:space="preserve">Cameron AC, Gelbach JB, Miller DL (2008) Bootstrap-based improvements for inference with clustered errors. </w:t>
      </w:r>
      <w:r>
        <w:rPr>
          <w:i/>
          <w:iCs/>
        </w:rPr>
        <w:t xml:space="preserve">Rev. Econom. Statist.</w:t>
      </w:r>
      <w:r>
        <w:t xml:space="preserve"> 90(3):414–427.</w:t>
      </w:r>
    </w:p>
    <w:p>
      <w:pPr>
        <w:pStyle w:val="Bibliography"/>
        <w:rPr>
          <w:ins w:id="9038" w:author="Claude" w:date="2026-10-13T00:00:00Z"/>
        </w:rPr>
      </w:pPr>
      <w:ins w:id="9037" w:author="Claude" w:date="2026-10-13T00:00:00Z">
        <w:r>
          <w:t xml:space="preserve">CHAOSS (n.d.) Release frequency. CHAOSS Metrics. https://chaoss.community/?p=4765. Accessed October 13, 2026.</w:t>
        </w:r>
      </w:ins>
    </w:p>
    <w:p>
      <w:pPr>
        <w:pStyle w:val="Bibliography"/>
      </w:pPr>
      <w:r>
        <w:t xml:space="preserve">Chen L, Zaharia M, Zou J (2024) How is ChatGPT’s behavior changing over time? </w:t>
      </w:r>
      <w:r>
        <w:rPr>
          <w:i/>
          <w:iCs/>
        </w:rPr>
        <w:t xml:space="preserve">Harvard Data Sci. Rev.</w:t>
      </w:r>
      <w:r>
        <w:t xml:space="preserve"> 6(2).</w:t>
      </w:r>
    </w:p>
    <w:p>
      <w:pPr>
        <w:pStyle w:val="Bibliography"/>
      </w:pPr>
      <w:r>
        <w:t xml:space="preserve">Chen W, Liu X, Krishnan V, Zhu K (2026) Strategic release and co-creation: Empirical insights for managing open-source software. </w:t>
      </w:r>
      <w:r>
        <w:rPr>
          <w:i/>
          <w:iCs/>
        </w:rPr>
        <w:t xml:space="preserve">Inform. Systems Res.</w:t>
      </w:r>
      <w:r>
        <w:t xml:space="preserve"> Forthcoming.</w:t>
      </w:r>
    </w:p>
    <w:p>
      <w:pPr>
        <w:pStyle w:val="Bibliography"/>
      </w:pPr>
      <w:r>
        <w:t xml:space="preserve">Connelly BL, Certo ST, Ireland RD, Reutzel CR (2011) Signaling theory: A review and assessment. </w:t>
      </w:r>
      <w:r>
        <w:rPr>
          <w:i/>
          <w:iCs/>
        </w:rPr>
        <w:t xml:space="preserve">J. Management</w:t>
      </w:r>
      <w:r>
        <w:t xml:space="preserve"> 37(1):39–67.</w:t>
      </w:r>
    </w:p>
    <w:p>
      <w:pPr>
        <w:pStyle w:val="Bibliography"/>
      </w:pPr>
      <w:r>
        <w:t xml:space="preserve">DerSimonian R, Laird N (1986) Meta-analysis in clinical trials. </w:t>
      </w:r>
      <w:r>
        <w:rPr>
          <w:i/>
          <w:iCs/>
        </w:rPr>
        <w:t xml:space="preserve">Controlled Clinical Trials</w:t>
      </w:r>
      <w:r>
        <w:t xml:space="preserve"> 7(3):177–188.</w:t>
      </w:r>
    </w:p>
    <w:p>
      <w:pPr>
        <w:pStyle w:val="Bibliography"/>
      </w:pPr>
      <w:r>
        <w:t xml:space="preserve">Duncan AJ (1956) The economic design of X̄ charts used to maintain current control of a process. </w:t>
      </w:r>
      <w:r>
        <w:rPr>
          <w:i/>
          <w:iCs/>
        </w:rPr>
        <w:t xml:space="preserve">J. Amer. Statist. Assoc.</w:t>
      </w:r>
      <w:r>
        <w:t xml:space="preserve"> 51(274):228–242.</w:t>
      </w:r>
    </w:p>
    <w:p>
      <w:pPr>
        <w:pStyle w:val="Bibliography"/>
      </w:pPr>
      <w:r>
        <w:t xml:space="preserve">Gama J, Žliobaitė I, Bifet A, Pechenizkiy M, Bouchachia A (2014) A survey on concept drift adaptation. </w:t>
      </w:r>
      <w:r>
        <w:rPr>
          <w:i/>
          <w:iCs/>
        </w:rPr>
        <w:t xml:space="preserve">ACM Comput. Surveys</w:t>
      </w:r>
      <w:r>
        <w:t xml:space="preserve"> 46(4):Article 44.</w:t>
      </w:r>
    </w:p>
    <w:p>
      <w:pPr>
        <w:pStyle w:val="Bibliography"/>
      </w:pPr>
      <w:r>
        <w:t xml:space="preserve">Gourieroux C, Monfort A, Trognon A (1984) Pseudo maximum likelihood methods: Applications to Poisson models. </w:t>
      </w:r>
      <w:r>
        <w:rPr>
          <w:i/>
          <w:iCs/>
        </w:rPr>
        <w:t xml:space="preserve">Econometrica</w:t>
      </w:r>
      <w:r>
        <w:t xml:space="preserve"> 52:701–720.</w:t>
      </w:r>
    </w:p>
    <w:p>
      <w:pPr>
        <w:pStyle w:val="Bibliography"/>
      </w:pPr>
      <w:r>
        <w:t xml:space="preserve">Heckman J, Singer B (1984) A method for minimizing the impact of distributional assumptions in econometric models for duration data. </w:t>
      </w:r>
      <w:r>
        <w:rPr>
          <w:i/>
          <w:iCs/>
        </w:rPr>
        <w:t xml:space="preserve">Econometrica</w:t>
      </w:r>
      <w:r>
        <w:t xml:space="preserve"> 52:271–320.</w:t>
      </w:r>
    </w:p>
    <w:p>
      <w:pPr>
        <w:pStyle w:val="Bibliography"/>
      </w:pPr>
      <w:r>
        <w:t xml:space="preserve">Hotz VJ, Miller RA (1993) Conditional choice probabilities and the estimation of dynamic models. </w:t>
      </w:r>
      <w:r>
        <w:rPr>
          <w:i/>
          <w:iCs/>
        </w:rPr>
        <w:t xml:space="preserve">Rev. Econom. Stud.</w:t>
      </w:r>
      <w:r>
        <w:t xml:space="preserve"> 60(3):497–529.</w:t>
      </w:r>
    </w:p>
    <w:p>
      <w:pPr>
        <w:pStyle w:val="Bibliography"/>
      </w:pPr>
      <w:r>
        <w:t xml:space="preserve">Jenkins SP (1995) Easy estimation methods for discrete-time duration models. </w:t>
      </w:r>
      <w:r>
        <w:rPr>
          <w:i/>
          <w:iCs/>
        </w:rPr>
        <w:t xml:space="preserve">Oxford Bull. Econom. Statist.</w:t>
      </w:r>
      <w:r>
        <w:t xml:space="preserve"> 57(1):129–138.</w:t>
      </w:r>
    </w:p>
    <w:p>
      <w:pPr>
        <w:pStyle w:val="Bibliography"/>
      </w:pPr>
      <w:r>
        <w:t xml:space="preserve">Kemerer CF, Slaughter S (1999) An empirical approach to studying software evolution. </w:t>
      </w:r>
      <w:r>
        <w:rPr>
          <w:i/>
          <w:iCs/>
        </w:rPr>
        <w:t xml:space="preserve">IEEE Trans. Software Engrg.</w:t>
      </w:r>
      <w:r>
        <w:t xml:space="preserve"> 25(4):493–509.</w:t>
      </w:r>
    </w:p>
    <w:p>
      <w:pPr>
        <w:pStyle w:val="Bibliography"/>
      </w:pPr>
      <w:r>
        <w:t xml:space="preserve">Khomh F, Dhaliwal T, Zou Y, Adams B (2012) Do faster releases improve software quality? An empirical case study of Mozilla Firefox. </w:t>
      </w:r>
      <w:r>
        <w:rPr>
          <w:i/>
          <w:iCs/>
        </w:rPr>
        <w:t xml:space="preserve">Proc. 9th IEEE Working Conf. Mining Software Repositories (MSR)</w:t>
      </w:r>
      <w:r>
        <w:t xml:space="preserve"> (IEEE, Piscataway, NJ), 179–188.</w:t>
      </w:r>
    </w:p>
    <w:p>
      <w:pPr>
        <w:pStyle w:val="Bibliography"/>
      </w:pPr>
      <w:r>
        <w:t xml:space="preserve">Klenow PJ, Kryvtsov O (2008) State-dependent or time-dependent pricing: Does it matter for recent U.S. inflation? </w:t>
      </w:r>
      <w:r>
        <w:rPr>
          <w:i/>
          <w:iCs/>
        </w:rPr>
        <w:t xml:space="preserve">Quart. J. Econom.</w:t>
      </w:r>
      <w:r>
        <w:t xml:space="preserve"> 123(3):863–904.</w:t>
      </w:r>
    </w:p>
    <w:p>
      <w:pPr>
        <w:pStyle w:val="Bibliography"/>
      </w:pPr>
      <w:r>
        <w:t xml:space="preserve">Lazaridou A, Kuncoro A, Gribovskaya E, Agrawal D, Liska A, Terzi T, Gimenez M, de Masson d’Autume C, Kocisky T, Ruder S, Yogatama D, Cao K, Young S, Blunsom P (2021) Mind the gap: Assessing temporal generalization in neural language models. </w:t>
      </w:r>
      <w:r>
        <w:rPr>
          <w:i/>
          <w:iCs/>
        </w:rPr>
        <w:t xml:space="preserve">Adv. Neural Inform. Processing Systems, vol. 34</w:t>
      </w:r>
      <w:r>
        <w:t xml:space="preserve">.</w:t>
      </w:r>
    </w:p>
    <w:p>
      <w:pPr>
        <w:pStyle w:val="Bibliography"/>
      </w:pPr>
      <w:r>
        <w:t xml:space="preserve">Lehman MM (1980) Programs, life cycles, and laws of software evolution. </w:t>
      </w:r>
      <w:r>
        <w:rPr>
          <w:i/>
          <w:iCs/>
        </w:rPr>
        <w:t xml:space="preserve">Proc. IEEE</w:t>
      </w:r>
      <w:r>
        <w:t xml:space="preserve"> 68(9):1060–1076.</w:t>
      </w:r>
    </w:p>
    <w:p>
      <w:pPr>
        <w:pStyle w:val="Bibliography"/>
      </w:pPr>
      <w:r>
        <w:t xml:space="preserve">Lerner J, Tirole J (2002) Some simple economics of open source. </w:t>
      </w:r>
      <w:r>
        <w:rPr>
          <w:i/>
          <w:iCs/>
        </w:rPr>
        <w:t xml:space="preserve">J. Indust. Econom.</w:t>
      </w:r>
      <w:r>
        <w:t xml:space="preserve"> 50(2):197–234.</w:t>
      </w:r>
    </w:p>
    <w:p>
      <w:pPr>
        <w:pStyle w:val="Bibliography"/>
      </w:pPr>
      <w:r>
        <w:t xml:space="preserve">Luu K, Khashabi D, Gururangan S, Mandyam K, Smith NA (2022) Time waits for no one! Analysis and challenges of temporal misalignment. </w:t>
      </w:r>
      <w:r>
        <w:rPr>
          <w:i/>
          <w:iCs/>
        </w:rPr>
        <w:t xml:space="preserve">Proc. 2022 Conf. North Amer. Chapter Assoc. Comput. Linguistics Human Language Tech.</w:t>
      </w:r>
      <w:r>
        <w:t xml:space="preserve"> (Association for Computational Linguistics), 5944–5958.</w:t>
      </w:r>
    </w:p>
    <w:p>
      <w:pPr>
        <w:pStyle w:val="Bibliography"/>
      </w:pPr>
      <w:r>
        <w:t xml:space="preserve">Mankiw NG, Reis R (2002) Sticky information versus sticky prices: A proposal to replace the New Keynesian Phillips curve. </w:t>
      </w:r>
      <w:r>
        <w:rPr>
          <w:i/>
          <w:iCs/>
        </w:rPr>
        <w:t xml:space="preserve">Quart. J. Econom.</w:t>
      </w:r>
      <w:r>
        <w:t xml:space="preserve"> 117(4):1295–1328.</w:t>
      </w:r>
    </w:p>
    <w:p>
      <w:pPr>
        <w:pStyle w:val="Bibliography"/>
      </w:pPr>
      <w:r>
        <w:t xml:space="preserve">Nakamura E, Steinsson J (2008) Five facts about prices: A reevaluation of menu cost models. </w:t>
      </w:r>
      <w:r>
        <w:rPr>
          <w:i/>
          <w:iCs/>
        </w:rPr>
        <w:t xml:space="preserve">Quart. J. Econom.</w:t>
      </w:r>
      <w:r>
        <w:t xml:space="preserve"> 123(4):1415–1464.</w:t>
      </w:r>
    </w:p>
    <w:p>
      <w:pPr>
        <w:pStyle w:val="Bibliography"/>
        <w:rPr>
          <w:ins w:id="9040" w:author="Claude" w:date="2026-10-13T00:00:00Z"/>
        </w:rPr>
      </w:pPr>
      <w:ins w:id="9039" w:author="Claude" w:date="2026-10-13T00:00:00Z">
        <w:r>
          <w:t xml:space="preserve">OpenSSF (n.d.) Scorecard checks: Maintained. https://github.com/ossf/scorecard/blob/main/docs/checks.md#maintained. Accessed October 13, 2026.</w:t>
        </w:r>
      </w:ins>
    </w:p>
    <w:p>
      <w:pPr>
        <w:pStyle w:val="Bibliography"/>
      </w:pPr>
      <w:r>
        <w:t xml:space="preserve">Reis R (2006) Inattentive producers. </w:t>
      </w:r>
      <w:r>
        <w:rPr>
          <w:i/>
          <w:iCs/>
        </w:rPr>
        <w:t xml:space="preserve">Rev. Econom. Stud.</w:t>
      </w:r>
      <w:r>
        <w:t xml:space="preserve"> 73(3):793–821.</w:t>
      </w:r>
    </w:p>
    <w:p>
      <w:pPr>
        <w:pStyle w:val="Bibliography"/>
      </w:pPr>
      <w:r>
        <w:t xml:space="preserve">Rust J (1987) Optimal replacement of GMC bus engines: An empirical model of Harold Zurcher. </w:t>
      </w:r>
      <w:r>
        <w:rPr>
          <w:i/>
          <w:iCs/>
        </w:rPr>
        <w:t xml:space="preserve">Econometrica</w:t>
      </w:r>
      <w:r>
        <w:t xml:space="preserve"> 55:999–1033.</w:t>
      </w:r>
    </w:p>
    <w:p>
      <w:pPr>
        <w:pStyle w:val="Bibliography"/>
      </w:pPr>
      <w:r>
        <w:t xml:space="preserve">Sculley D, Holt G, Golovin D, Davydov E, Phillips T, Ebner D, Chaudhary V, Young M, Crespo J-F, Dennison D (2015) Hidden technical debt in machine learning systems. </w:t>
      </w:r>
      <w:r>
        <w:rPr>
          <w:i/>
          <w:iCs/>
        </w:rPr>
        <w:t xml:space="preserve">Adv. Neural Inform. Processing Systems, vol. 28</w:t>
      </w:r>
      <w:r>
        <w:t xml:space="preserve"> (Curran Associates, Red Hook, NY), 2503–2511.</w:t>
      </w:r>
    </w:p>
    <w:p>
      <w:pPr>
        <w:pStyle w:val="Bibliography"/>
      </w:pPr>
      <w:r>
        <w:t xml:space="preserve">Sheshinski E, Weiss Y (1977) Inflation and costs of price adjustment. </w:t>
      </w:r>
      <w:r>
        <w:rPr>
          <w:i/>
          <w:iCs/>
        </w:rPr>
        <w:t xml:space="preserve">Rev. Econom. Stud.</w:t>
      </w:r>
      <w:r>
        <w:t xml:space="preserve"> 44(2):287–303.</w:t>
      </w:r>
    </w:p>
    <w:p>
      <w:pPr>
        <w:pStyle w:val="Bibliography"/>
      </w:pPr>
      <w:r>
        <w:t xml:space="preserve">Sims CA (2003) Implications of rational inattention. </w:t>
      </w:r>
      <w:r>
        <w:rPr>
          <w:i/>
          <w:iCs/>
        </w:rPr>
        <w:t xml:space="preserve">J. Monetary Econom.</w:t>
      </w:r>
      <w:r>
        <w:t xml:space="preserve"> 50(3):665–690.</w:t>
      </w:r>
    </w:p>
    <w:p>
      <w:pPr>
        <w:pStyle w:val="Bibliography"/>
        <w:rPr>
          <w:ins w:id="9042" w:author="Claude" w:date="2026-10-13T00:00:00Z"/>
        </w:rPr>
      </w:pPr>
      <w:ins w:id="9041" w:author="Claude" w:date="2026-10-13T00:00:00Z">
        <w:r>
          <w:t xml:space="preserve">Snyk (n.d.) Snyk Advisor: Package health score, maintenance. https://snyk.io/advisor/. Accessed October 13, 2026.</w:t>
        </w:r>
      </w:ins>
    </w:p>
    <w:p>
      <w:pPr>
        <w:pStyle w:val="Bibliography"/>
      </w:pPr>
      <w:r>
        <w:t xml:space="preserve">Song F, Agarwal A, Wen W (2026) The impact of generative AI on collaborative open-source software development: Evidence from GitHub Copilot. </w:t>
      </w:r>
      <w:r>
        <w:rPr>
          <w:i/>
          <w:iCs/>
        </w:rPr>
        <w:t xml:space="preserve">Inform. Systems Res.</w:t>
      </w:r>
      <w:r>
        <w:t xml:space="preserve"> Forthcoming.</w:t>
      </w:r>
    </w:p>
    <w:p>
      <w:pPr>
        <w:pStyle w:val="Bibliography"/>
      </w:pPr>
      <w:r>
        <w:t xml:space="preserve">Spence M (1973) Job market signaling. </w:t>
      </w:r>
      <w:r>
        <w:rPr>
          <w:i/>
          <w:iCs/>
        </w:rPr>
        <w:t xml:space="preserve">Quart. J. Econom.</w:t>
      </w:r>
      <w:r>
        <w:t xml:space="preserve"> 87(3):355–374.</w:t>
      </w:r>
    </w:p>
    <w:p>
      <w:pPr>
        <w:pStyle w:val="Bibliography"/>
      </w:pPr>
      <w:r>
        <w:t xml:space="preserve">Swanson EB (1976) The dimensions of maintenance. </w:t>
      </w:r>
      <w:r>
        <w:rPr>
          <w:i/>
          <w:iCs/>
        </w:rPr>
        <w:t xml:space="preserve">Proc. 2nd Internat. Conf. Software Engrg.</w:t>
      </w:r>
      <w:r>
        <w:t xml:space="preserve"> (IEEE Computer Society Press), 492–497.</w:t>
      </w:r>
    </w:p>
    <w:p>
      <w:pPr>
        <w:pStyle w:val="Bibliography"/>
      </w:pPr>
      <w:r>
        <w:t xml:space="preserve">Taylor JB (1980) Aggregate dynamics and staggered contracts. </w:t>
      </w:r>
      <w:r>
        <w:rPr>
          <w:i/>
          <w:iCs/>
        </w:rPr>
        <w:t xml:space="preserve">J. Political Econom.</w:t>
      </w:r>
      <w:r>
        <w:t xml:space="preserve"> 88(1):1–23.</w:t>
      </w:r>
    </w:p>
    <w:p>
      <w:pPr>
        <w:pStyle w:val="Bibliography"/>
      </w:pPr>
      <w:r>
        <w:t xml:space="preserve">von Hippel E, von Krogh G (2003) Open source software and the “private-collective” innovation model: Issues for organization science. </w:t>
      </w:r>
      <w:r>
        <w:rPr>
          <w:i/>
          <w:iCs/>
        </w:rPr>
        <w:t xml:space="preserve">Organ. Sci.</w:t>
      </w:r>
      <w:r>
        <w:t xml:space="preserve"> 14(2):209–223.</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240" w:after="0"/>
      <w:outlineLvl w:val="1"/>
    </w:pPr>
    <w:rPr>
      <w:rFonts w:ascii="Times New Roman" w:hAnsi="Times New Roman" w:eastAsia="Times New Roman" w:cs="Times New Roman"/>
      <w:b/>
      <w:bCs/>
      <w:color w:val="000000"/>
      <w:sz w:val="22"/>
      <w:szCs w:val="22"/>
    </w:rPr>
  </w:style>
  <w:style w:type="paragraph" w:styleId="Heading3">
    <w:name w:val="Heading 3"/>
    <w:basedOn w:val="Normal"/>
    <w:next w:val="BodyText"/>
    <w:uiPriority w:val="9"/>
    <w:unhideWhenUsed/>
    <w:qFormat/>
    <w:pPr>
      <w:keepNext w:val="true"/>
      <w:keepLines/>
      <w:spacing w:before="240" w:after="0"/>
      <w:outlineLvl w:val="2"/>
    </w:pPr>
    <w:rPr>
      <w:rFonts w:ascii="Times New Roman" w:hAnsi="Times New Roman" w:eastAsia="Times New Roman" w:cs="Times New Roman"/>
      <w:b/>
      <w:bCs/>
      <w:i/>
      <w:iCs/>
      <w:color w:val="000000"/>
      <w:sz w:val="22"/>
      <w:szCs w:val="22"/>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exact" w:line="39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28"/>
      <w:szCs w:val="28"/>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exact" w:line="390" w:before="0" w:after="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