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Pricing Forgetting: Shapley-Based Data Valuation for Compensated Unlearning in Large Language Models</w:t>
      </w:r>
    </w:p>
    <w:p>
      <w:pPr/>
      <w:r>
        <w:t xml:space="preserve">Oct 5, 2026 · @ook</w:t>
      </w:r>
    </w:p>
    <w:p>
      <w:pPr>
        <w:pStyle w:val="Heading2"/>
      </w:pPr>
      <w:r>
        <w:t xml:space="preserve">Abstract</w:t>
      </w:r>
    </w:p>
    <w:p>
      <w:pPr/>
      <w:r>
        <w:t xml:space="preserve">Requests to remove data from trained language models are becoming routine, driven by privacy law, copyright disputes, and safety concerns. Yet two questions are usually treated separately: how much a piece of training data was worth, and what is lost when it is removed. We argue that these are the same question viewed from opposite ends, and that cooperative game theory gives a principled way to connect them. Modeling data contributors as players in a coalitional game, we show that the Shapley value of the contribution game coincides with the Shapley value of the corresponding deletion game, so a contributor's share of value created and their share of value destroyed by removal agree exactly. This duality motivates a compensation rule for unlearning that is consistent with ex ante data pricing. We then turn to a practical complication. Exact retraining is infeasible for large models, so the counterfactual utilities needed for Shapley estimation must themselves be produced by approximate unlearning. We show that residual knowledge left behind by approximate methods enters the estimated values additively, and that the aggregate bias is pinned down by a single quantity: the performance the model retains after every contributor has nominally been removed. Finally, we study the incentives of a model developer who is paid, or penalized, according to these values, and derive a simple audit condition under which reporting full unlearning is incentive compatible. We test these predictions in a small experiment on fictitious authors, with four contributor groups and exact retraining of every coalition. With gradient-ascent unlearning, the aggregate bias changes sign as unlearning strengthens, from a large understatement of total value to an overstatement, and individual biases do not vanish where the aggregate bias does. Sequential estimates depart from set-function estimates by an amount that grows with unlearning strength, and a brief relearning attack restores most of the removed knowledge even where the aggregate diagnostic suggests complete or excessive forgetting. The predictions on redundant contributors and on data that is hard to forget are not tested in this version.</w:t>
      </w:r>
    </w:p>
    <w:p>
      <w:pPr>
        <w:pStyle w:val="Heading2"/>
      </w:pPr>
      <w:r>
        <w:t xml:space="preserve">1 Introduction</w:t>
      </w:r>
    </w:p>
    <w:p>
      <w:pPr/>
      <w:r>
        <w:t xml:space="preserve">A language model is, among other things, a lossy summary of the data it was trained on. When a data owner later asks for that data to be removed, the developer faces an awkward problem. Retraining from scratch is the only method that is guaranteed to work, and for frontier-scale models it is far too expensive to do on demand. The field of machine unlearning has responded with a large family of approximate methods, ranging from gradient ascent on the forget set to preference-style objectives that push the model away from memorized completions. These methods are cheap. Whether they actually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answer this by treating training examples, or groups of examples, as players in a cooperative game whose payoff is model performance. The Shapley value then distributes the total performance among players according to their average marginal contribution across all possible coalitions. This idea has found its way into proposals for data markets, revenue sharing with content creators, and the curation of training sets.</w:t>
      </w:r>
    </w:p>
    <w:p>
      <w:pPr/>
      <w:r>
        <w:t xml:space="preserve">The two literatures rarely speak to each other, which is surprising once one notices that they are built on the same object. Data valuation asks what happens to performance when data is added. Unlearning asks what happens when it is taken away. If a regulator or a court were to require that contributors be compensated for the use of their data, and also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the point of data acquisition and Shapley-based compensation at the point of deletion are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that, by linearity of the Shapley value, the estimated values equal the true values plus the Shapley value of the residual game. The total bias across all contributors equals minus the residual value at the empty coalition. Put plainly, if the developer's unlearning method leaves behind some general competence even after all contributors are nominally removed, the sum of estimated values will understate the true total by exactly that amount. Individual values can be biased in either direction.</w:t>
      </w:r>
    </w:p>
    <w:p>
      <w:pPr/>
      <w:r>
        <w:t xml:space="preserve">Third, we consider incentives. A developer who is liable for the value of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make it possible to define contributors cleanly and to know, by construction, what a model trained without a given author should and should not know. We describe how to estimate both true and unlearning-based Shapley values on small models where exact retraining is still feasible, and how to measure the residual game directly. We report a first experiment with four contributor groups and a 0.5B-parameter model, in which every coalition is retrained exactly. It tests the results on residual bias and order dependence and the audit-power channel (through a relearning attack), but not the predictions on redundant or heavily duplicated contributors, which we leave to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Subsequent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Grosse et al. (2023) scaled influence functions to models with tens of billions of parameters. Our work treats these estimators as given and focuses on what happens when the counterfactual they rely on is generated by unlearning rather than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training so that only a fraction of the model needs to be retrained. For large language models, most methods are approximate. Eldan and Russinovich (2023) proposed fine-tuning toward generic substitutes for memorized content; Zhang et al. (2024) introduced Negative Preference Optimization as a more stable alternative to gradient ascent. Evaluation has become a research area of its own, with benchmarks such as TOFU (Maini et al., 2024), WMDP (Li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and the incentive problem created by unverifiable unlearning has not been modeled formally.</w:t>
      </w:r>
    </w:p>
    <w:p>
      <w:pPr>
        <w:pStyle w:val="Heading2"/>
      </w:pPr>
      <w:r>
        <w:t xml:space="preserve">3 Model</w:t>
      </w:r>
    </w:p>
    <w:p>
      <w:pPr>
        <w:pStyle w:val="Heading3"/>
      </w:pPr>
      <w:r>
        <w:t xml:space="preserve">3.1 The contribution game</w:t>
      </w:r>
    </w:p>
    <w:p>
      <w:pPr/>
      <w:r>
        <w:t xml:space="preserve">Let N = {1, …, n} be a set of data contributors.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pStyle w:val="Code"/>
      </w:pPr>
      <w:bookmarkStart w:id="1" w:name="bongo_lang_latex_1"/>
      <w:bookmarkEnd w:id="1"/>
      <w:r>
        <w:t xml:space="preserve">v(S) = U(S) - U(\varnothing), \qquad v(\varnothing) = 0,</w:t>
      </w:r>
    </w:p>
    <w:p>
      <w:pPr/>
      <w:r>
        <w:t xml:space="preserve">which we call the contribution game. The Shapley value of contributor i is</w:t>
      </w:r>
    </w:p>
    <w:p>
      <w:pPr>
        <w:pStyle w:val="Code"/>
      </w:pPr>
      <w:bookmarkStart w:id="2" w:name="bongo_lang_latex_2"/>
      <w:bookmarkEnd w:id="2"/>
      <w:r>
        <w:t xml:space="preserve">\phi_i(v) = \sum_{S \subseteq N \setminus \{i\}} \frac{|S|!\,(n - |S| - 1)!}{n!} \bigl[ v(S \cup \{i\}) - v(S) \bigr].</w:t>
      </w:r>
    </w:p>
    <w:p>
      <w:pPr/>
      <w:r>
        <w:t xml:space="preserve">It is the unique allocation satisfying efficiency, symmetry, the null-player property, and additivity (Shapley, 1953). Efficiency means that the values sum to v(N), the total gain from all contributors' data.</w:t>
      </w:r>
    </w:p>
    <w:p>
      <w:pPr/>
      <w:r>
        <w:t xml:space="preserve">We treat contributors rather than individual examples as players for two reasons. Deletion requests in practice usually come from an identifiable party (an author, a publisher, a data subject) and concern all of their data at once. And grouping keeps n small enough that sampling-based estimation is conceivable even when each evaluation of v is expensive.</w:t>
      </w:r>
    </w:p>
    <w:p>
      <w:pPr>
        <w:pStyle w:val="Heading3"/>
      </w:pPr>
      <w:r>
        <w:t xml:space="preserve">3.2 The deletion game</w:t>
      </w:r>
    </w:p>
    <w:p>
      <w:pPr/>
      <w:r>
        <w:t xml:space="preserve">Now suppose the model has been trained on all of N, and a coalition R ⊆ N asks to be removed. The value destroyed by the removal is</w:t>
      </w:r>
    </w:p>
    <w:p>
      <w:pPr>
        <w:pStyle w:val="Code"/>
      </w:pPr>
      <w:bookmarkStart w:id="3" w:name="bongo_lang_latex_3"/>
      <w:bookmarkEnd w:id="3"/>
      <w:r>
        <w:t xml:space="preserve">w(R) = v(N) - v(N \setminus R).</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The following result says that it introduces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pStyle w:val="Code"/>
      </w:pPr>
      <w:bookmarkStart w:id="4" w:name="bongo_lang_latex_4"/>
      <w:bookmarkEnd w:id="4"/>
      <w:r>
        <w:t xml:space="preserve">w(R \cup \{i\}) - w(R) = v(N \setminus R) - v(N \setminus R \setminus \{i\}).</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The result is classical as a fact about games. Its interest here lies in the interpretation. A contributor's Shapley share of the value their data created, computed at the time of acquisition, equals their Shapley share of the value that would be destroyed by deletion. A compensation scheme that pays contributors their Shapley value for inclusion and a liability scheme that charges the developer their Shapley value upon withdrawal are therefore consistent with each other.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if one simply retrained, or unlearned, after a single deletion request. It has two well-known defects that become sharper in the deletion setting.</w:t>
      </w:r>
    </w:p>
    <w:p>
      <w:pPr/>
      <w:r>
        <w:t xml:space="preserve">The first is redundancy. Suppose contributors 1 and 2 hold near-identical data, so that v({1}) ≈ v({2}) ≈ v({1, 2}) = a. Each has leave-one-out loss close to zero, although jointly they are worth a. The Shapley value assigns each a/2. Language model training corpora are full of such near-duplicates (syndicated news, mirrored code, reposted text), so this case is not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depends on the order of requests, and contributors with substitutable data have an incentive to wait. Shapley values computed on the original game do not have this problem: they are fixed ex ante and sum to the same total regardless of the order in which contributors leave.</w:t>
      </w:r>
    </w:p>
    <w:p>
      <w:pPr/>
      <w:r>
        <w:t xml:space="preserve">We do not claim that Shapley values are the only reasonable rule. Semivalues such as Banzhaf drop efficiency and may be preferable for statistical reasons. Proposition 1 extends to any semivalue whose weights are symmetric under |S| ↦ n − 1 − |S|, which includes the Banzhaf value but not, in general,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For a large model, each evaluation would mean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pStyle w:val="Code"/>
      </w:pPr>
      <w:bookmarkStart w:id="5" w:name="bongo_lang_latex_5"/>
      <w:bookmarkEnd w:id="5"/>
      <w:r>
        <w:t xml:space="preserve">\varepsilon(T) = \hat{U}(T) - U(T), \qquad \varepsilon(N) = 0,</w:t>
      </w:r>
    </w:p>
    <w:p>
      <w:pPr/>
      <w:r>
        <w:t xml:space="preserve">where U(T) is the performance of a model actually retrained on D_0 together with the data of T. The residual captures everything that distinguishes approximate unlearning from retraining. It is useful to think of it as the difference of two non-negative parts, ε(T) = ρ(T) − κ(T). Here ρ(T) is residual knowledge, the performance that survives because the removed data was not fully forgotten, and κ(T) is collateral damage, the performance lost on unrelated capabilities as a side effect of the unlearning update.</w:t>
      </w:r>
    </w:p>
    <w:p>
      <w:pPr/>
      <w:r>
        <w:t xml:space="preserve">Throughout we assume that Û depends only on the coalition removed and not on the order in which removals were performed. This is a real restriction, since sequential unlearning can compound errors.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pStyle w:val="Code"/>
      </w:pPr>
      <w:bookmarkStart w:id="6" w:name="bongo_lang_latex_6"/>
      <w:bookmarkEnd w:id="6"/>
      <w:r>
        <w:t xml:space="preserve">\phi_i(\hat{v}) = \phi_i(v) + \phi_i(\varepsilon),</w:t>
      </w:r>
    </w:p>
    <w:p>
      <w:pPr/>
      <w:r>
        <w:t xml:space="preserve">and the estimated values sum to</w:t>
      </w:r>
    </w:p>
    <w:p>
      <w:pPr>
        <w:pStyle w:val="Code"/>
      </w:pPr>
      <w:bookmarkStart w:id="7" w:name="bongo_lang_latex_7"/>
      <w:bookmarkEnd w:id="7"/>
      <w:r>
        <w:t xml:space="preserve">\sum_{i \in N} \phi_i(\hat{v}) = v(N) - \varepsilon(\varnothing) = v(N) - \rho(\varnothing) + \kappa(\varnothing).</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In both cases the error is invisible from within the estimation procedure, because the procedure never observes the retrained counterfactual.</w:t>
      </w:r>
    </w:p>
    <w:p>
      <w:pPr/>
      <w:r>
        <w:t xml:space="preserve">The individual bias φ_i(ε) depends on how residuals vary across coalitions.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contributors whose data is hardest to forget are undervalued the most.</w:t>
      </w:r>
    </w:p>
    <w:p>
      <w:pPr/>
      <w:r>
        <w:t xml:space="preserve">This second case has an uncomfortable implication. Data is typically hard to unlearn because the model has absorbed it deeply, through repetition, duplication across the corpus, or because it underpins general skills. That is often the data that matters most. An estimation procedure built on approximate unlearning will therefore tend to understate the value of exactly the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requires only one comparison between a fully unlearned model and a base model trained on D_0 alone. Developers often retain such base checkpoints. Where they do not, the comparison can be run on a smaller proxy model, which is the approach we take in Section 6. A large estimated ε(∅) is a warning that unlearning-based valuations should not be used for compensation without correction. A small or negative ε(∅) is not reassurance, however: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only verify compliance imperfectly. We study the resulting incentive problem in a deliberately simple setting.</w:t>
      </w:r>
    </w:p>
    <w:p>
      <w:pPr/>
      <w:r>
        <w:t xml:space="preserve">Contributor i requests deletion. The developer can either remove the data exactly, at cost C (by retraining, or by retraining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pStyle w:val="Code"/>
      </w:pPr>
      <w:bookmarkStart w:id="8" w:name="bongo_lang_latex_8"/>
      <w:bookmarkEnd w:id="8"/>
      <w:r>
        <w:t xml:space="preserve">p \, \delta \, F_i \;\ge\; (C - c) + \beta \rho_i .</w:t>
      </w:r>
    </w:p>
    <w:p>
      <w:pPr/>
      <w:r>
        <w:rPr>
          <w:i/>
        </w:rPr>
        <w:t xml:space="preserve">Proof.</w:t>
      </w:r>
      <w:r>
        <w:t xml:space="preserve"> Exact removal yields −C. Approximate removal yields −c + βρ_i − pδF_i. Comparing the two gives the condition. ∎</w:t>
      </w:r>
    </w:p>
    <w:p>
      <w:pPr/>
      <w:r>
        <w:t xml:space="preserve">The condition is elementary, but three features of it are worth drawing out.</w:t>
      </w:r>
    </w:p>
    <w:p>
      <w:pPr/>
      <w:r>
        <w:t xml:space="preserve">First, audit power enters symmetrically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is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it rather than pay; little social value is lost, since others supply the same information. When i's data is complementary to the rest, w({i}) can exceed φ_i and the developer keeps it and pays. In both cases the outcome tracks the actual marginal importance of the data. The rule is unattractive, however, when the contributor's interest is not economic, as with personal data or safety-critical knowledge.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addresses P2 and P4; for P1 it provides only a sanity check on disjoint groups, and P3 is not tested.</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(twenty question-answer pairs per author). A base set D_0 of one hundred further authors is always included in training. With n = 4 there are 2^4 = 16 coalitions, so the contribution game can be computed exactly by fine-tuning one model per coalition. The base model is Qwen2.5-0.5B, fine-tuned in full for five epochs (AdamW, learning rate 2e-5, batch size 32) on D_0 together with the groups in the coalition, with one training run per coalition. Performance U(S) has two components. The author component is, for each group, the mean over its question-answer pairs of the exponentiated mean answer-token log-probability, averaged across the four groups. The general component is the same score on the TOFU real-authors and world-facts sets and captures collateral damage. The total game gives the two components equal weight, v = Δauthor + Δgeneral, where Δ is measured against U(∅). Both components are measured on the training questions themselves, so U measures memorization rather than generalization to paraphrased questions. We use this smooth score because its seed noise is low: the standard deviation of the author component across five retraining seeds is between 0.0004 and 0.0014 at the three coalitions we repeated (∅, {1, 2, 3}, and N).</w:t>
      </w:r>
    </w:p>
    <w:p>
      <w:pPr>
        <w:pStyle w:val="Heading3"/>
      </w:pPr>
      <w:r>
        <w:t xml:space="preserve">6.2 Manipulations</w:t>
      </w:r>
    </w:p>
    <w:p>
      <w:pPr/>
      <w:r>
        <w:t xml:space="preserve">The design calls for two manipulations. To test P1, one constructs redundant contributors by giving two groups the same author facts; to test P3, one varies how deeply each group is learned by duplicating its training examples k times, for instance with k drawn from {1, 2, 4, 8}. Duplication is a natural proxy for the repetition that makes real web text hard to unlearn. Both manipulations are implemented, but the experiment reported here does not use them: the four groups are disjoint and each is trained once. P1 and P3 are therefore untested in this version.</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obtained by unlearning N \ T from the fully trained model (the set-function estimate of Section 4.1), and by sequential unlearning along six random removal orders,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are not yet run;</w:t>
      </w:r>
    </w:p>
    <w:p>
      <w:pPr>
        <w:pStyle w:val="ListParagraph"/>
        <w:numPr>
          <w:ilvl w:val="0"/>
          <w:numId w:val="2"/>
        </w:numPr>
      </w:pPr>
      <w:r>
        <w:t xml:space="preserve">the residual function ε on all coalitions, obtained by comparing unlearned and retrained models, and its decomposition ε = ρ − κ into residual knowledge ρ (the average excess of unlearned over retrained performance on the forgotten groups) and collateral damage κ (the deficit on retained groups and on the general component).</w:t>
      </w:r>
    </w:p>
    <w:p>
      <w:pPr/>
      <w:r>
        <w:t xml:space="preserve">Unlearning starts from the model trained on all four groups and uses AdamW (learning rate 1e-6, batch size 16, gradient-norm clipping at 1.0). The strength s is the number of gradient-ascent steps per removed group, so removing |N \ T| groups takes s · |N \ T| steps. We chose the learning rate in a calibration run that tracks ε(∅) against s for learning rates 1e-5, 3e-6 and 1e-6. The sign of ε(∅) changes at about 2.9, 7.7 and 20.4 steps per group, respectively. At 1e-5 the transition is too abrupt to resolve on a grid of integer step counts, so we use 1e-6 and report s in {8, 12, 16, 20, 24, 32}, which brackets the sign change. The calibration uses the retrained baseline U(∅), that is, the diagnostic of Section 4.3, so we report all strengths rather than a single tuned one.</w:t>
      </w:r>
    </w:p>
    <w:p>
      <w:pPr/>
      <w:r>
        <w:t xml:space="preserve">To test P4, we re-measure residual knowledge after a relearning attack, in which the model from which all four groups have been unlearned is briefly fine-tuned (learning rate 2e-5, batch size 32) on a random 10 percent of the forgotten question-answer pairs and evaluated on the remaining 90 percent, following the protocol in Łucki et al. (2024). We report author performance at T = ∅ after zero and five relearning steps.</w:t>
      </w:r>
    </w:p>
    <w:p>
      <w:pPr>
        <w:pStyle w:val="Heading3"/>
      </w:pPr>
      <w:r>
        <w:t xml:space="preserve">6.4 Results</w:t>
      </w:r>
    </w:p>
    <w:p>
      <w:pPr/>
      <w:r>
        <w:t xml:space="preserve">The two tables below summarize the outcomes. The first compares each prediction with what we observe. The second reports the residual game at the empty coalition, ε(∅) = ρ(∅) − κ(∅), for each unlearning strength, together with author performance at T = ∅ before and after a five-step relearning attack. For reference, the retrained baseline U(∅) has author performance 0.097.</w:t>
      </w:r>
    </w:p>
    <w:tbl>
      <w:tblPr>
        <w:tblStyle w:val="TableGrid"/>
        <w:tblW w:w="0" w:type="auto"/>
        <w:tblLayout w:type="fixed"/>
        <w:tblLook w:val="04A0" w:firstRow="1" w:lastRow="0" w:firstColumn="0" w:lastColumn="0" w:noHBand="0" w:noVBand="1"/>
      </w:tblPr>
      <w:tblGrid>
        <w:gridCol w:w="2340"/>
        <w:gridCol w:w="2340"/>
        <w:gridCol w:w="2340"/>
        <w:gridCol w:w="2340"/>
      </w:tblGrid>
      <w:tr>
        <w:trPr>
          <w:tblHeader/>
        </w:trPr>
        <w:tc>
          <w:tcPr>
            <w:tcW w:w="2340" w:type="dxa"/>
            <w:shd w:val="clear" w:color="auto" w:fill="F2F2F2"/>
          </w:tcPr>
          <w:p>
            <w:pPr/>
            <w:r>
              <w:t xml:space="preserve">Comparison</w:t>
            </w:r>
          </w:p>
        </w:tc>
        <w:tc>
          <w:tcPr>
            <w:tcW w:w="2340" w:type="dxa"/>
            <w:shd w:val="clear" w:color="auto" w:fill="F2F2F2"/>
          </w:tcPr>
          <w:p>
            <w:pPr/>
            <w:r>
              <w:t xml:space="preserve">Metric</w:t>
            </w:r>
          </w:p>
        </w:tc>
        <w:tc>
          <w:tcPr>
            <w:tcW w:w="2340" w:type="dxa"/>
            <w:shd w:val="clear" w:color="auto" w:fill="F2F2F2"/>
          </w:tcPr>
          <w:p>
            <w:pPr/>
            <w:r>
              <w:t xml:space="preserve">Prediction</w:t>
            </w:r>
          </w:p>
        </w:tc>
        <w:tc>
          <w:tcPr>
            <w:tcW w:w="2340" w:type="dxa"/>
            <w:shd w:val="clear" w:color="auto" w:fill="F2F2F2"/>
          </w:tcPr>
          <w:p>
            <w:pPr/>
            <w:r>
              <w:t xml:space="preserve">Result</w:t>
            </w:r>
          </w:p>
        </w:tc>
      </w:tr>
      <w:tr>
        <w:tc>
          <w:tcPr>
            <w:tcW w:w="2340" w:type="dxa"/>
          </w:tcPr>
          <w:p>
            <w:pPr/>
            <w:r>
              <w:t xml:space="preserve">LOO vs. Shapley, redundant groups</w:t>
            </w:r>
          </w:p>
        </w:tc>
        <w:tc>
          <w:tcPr>
            <w:tcW w:w="2340" w:type="dxa"/>
          </w:tcPr>
          <w:p>
            <w:pPr/>
            <w:r>
              <w:t xml:space="preserve">Ratio w({i}) / φ_i</w:t>
            </w:r>
          </w:p>
        </w:tc>
        <w:tc>
          <w:tcPr>
            <w:tcW w:w="2340" w:type="dxa"/>
          </w:tcPr>
          <w:p>
            <w:pPr/>
            <w:r>
              <w:t xml:space="preserve">Well below 1</w:t>
            </w:r>
          </w:p>
        </w:tc>
        <w:tc>
          <w:tcPr>
            <w:tcW w:w="2340" w:type="dxa"/>
          </w:tcPr>
          <w:p>
            <w:pPr/>
            <w:r>
              <w:t xml:space="preserve">Not tested (no redundant groups). For the four disjoint groups, w({i}) / φ_i is between 0.99 and 1.00.</w:t>
            </w:r>
          </w:p>
        </w:tc>
      </w:tr>
      <w:tr>
        <w:tc>
          <w:tcPr>
            <w:tcW w:w="2340" w:type="dxa"/>
          </w:tcPr>
          <w:p>
            <w:pPr/>
            <w:r>
              <w:t xml:space="preserve">Unlearning-based vs. exact Shapley</w:t>
            </w:r>
          </w:p>
        </w:tc>
        <w:tc>
          <w:tcPr>
            <w:tcW w:w="2340" w:type="dxa"/>
          </w:tcPr>
          <w:p>
            <w:pPr/>
            <w:r>
              <w:t xml:space="preserve">Spearman rank correlation</w:t>
            </w:r>
          </w:p>
        </w:tc>
        <w:tc>
          <w:tcPr>
            <w:tcW w:w="2340" w:type="dxa"/>
          </w:tcPr>
          <w:p>
            <w:pPr/>
            <w:r>
              <w:t xml:space="preserve">Below 1, method-dependent</w:t>
            </w:r>
          </w:p>
        </w:tc>
        <w:tc>
          <w:tcPr>
            <w:tcW w:w="2340" w:type="dxa"/>
          </w:tcPr>
          <w:p>
            <w:pPr/>
            <w:r>
              <w:t xml:space="preserve">Between −1.0 and −0.4 across strengths; uninformative, because the four groups are tied within seed noise.</w:t>
            </w:r>
          </w:p>
        </w:tc>
      </w:tr>
      <w:tr>
        <w:tc>
          <w:tcPr>
            <w:tcW w:w="2340" w:type="dxa"/>
          </w:tcPr>
          <w:p>
            <w:pPr/>
            <w:r>
              <w:t xml:space="preserve">Aggregate bias</w:t>
            </w:r>
          </w:p>
        </w:tc>
        <w:tc>
          <w:tcPr>
            <w:tcW w:w="2340" w:type="dxa"/>
          </w:tcPr>
          <w:p>
            <w:pPr/>
            <w:r>
              <w:t xml:space="preserve">Σφ(v̂) − v(N) vs. −ε(∅)</w:t>
            </w:r>
          </w:p>
        </w:tc>
        <w:tc>
          <w:tcPr>
            <w:tcW w:w="2340" w:type="dxa"/>
          </w:tcPr>
          <w:p>
            <w:pPr/>
            <w:r>
              <w:t xml:space="preserve">Equal up to sampling error</w:t>
            </w:r>
          </w:p>
        </w:tc>
        <w:tc>
          <w:tcPr>
            <w:tcW w:w="2340" w:type="dxa"/>
          </w:tcPr>
          <w:p>
            <w:pPr/>
            <w:r>
              <w:t xml:space="preserve">Holds by identity under exact enumeration. The gap −ε(∅) runs from −0.751 (s = 8) to +0.110 (s = 32).</w:t>
            </w:r>
          </w:p>
        </w:tc>
      </w:tr>
      <w:tr>
        <w:tc>
          <w:tcPr>
            <w:tcW w:w="2340" w:type="dxa"/>
          </w:tcPr>
          <w:p>
            <w:pPr/>
            <w:r>
              <w:t xml:space="preserve">Bias vs. duplication factor k</w:t>
            </w:r>
          </w:p>
        </w:tc>
        <w:tc>
          <w:tcPr>
            <w:tcW w:w="2340" w:type="dxa"/>
          </w:tcPr>
          <w:p>
            <w:pPr/>
            <w:r>
              <w:t xml:space="preserve">Slope of φ_i(v̂) − φ_i(v) on k</w:t>
            </w:r>
          </w:p>
        </w:tc>
        <w:tc>
          <w:tcPr>
            <w:tcW w:w="2340" w:type="dxa"/>
          </w:tcPr>
          <w:p>
            <w:pPr/>
            <w:r>
              <w:t xml:space="preserve">Negative</w:t>
            </w:r>
          </w:p>
        </w:tc>
        <w:tc>
          <w:tcPr>
            <w:tcW w:w="2340" w:type="dxa"/>
          </w:tcPr>
          <w:p>
            <w:pPr/>
            <w:r>
              <w:t xml:space="preserve">Not tested.</w:t>
            </w:r>
          </w:p>
        </w:tc>
      </w:tr>
      <w:tr>
        <w:tc>
          <w:tcPr>
            <w:tcW w:w="2340" w:type="dxa"/>
          </w:tcPr>
          <w:p>
            <w:pPr/>
            <w:r>
              <w:t xml:space="preserve">Residual before vs. after relearning</w:t>
            </w:r>
          </w:p>
        </w:tc>
        <w:tc>
          <w:tcPr>
            <w:tcW w:w="2340" w:type="dxa"/>
          </w:tcPr>
          <w:p>
            <w:pPr/>
            <w:r>
              <w:t xml:space="preserve">Change in ρ</w:t>
            </w:r>
          </w:p>
        </w:tc>
        <w:tc>
          <w:tcPr>
            <w:tcW w:w="2340" w:type="dxa"/>
          </w:tcPr>
          <w:p>
            <w:pPr/>
            <w:r>
              <w:t xml:space="preserve">Increase</w:t>
            </w:r>
          </w:p>
        </w:tc>
        <w:tc>
          <w:tcPr>
            <w:tcW w:w="2340" w:type="dxa"/>
          </w:tcPr>
          <w:p>
            <w:pPr/>
            <w:r>
              <w:t xml:space="preserve">Increase: at s = 20, author performance at ∅ rises from 0.055 to 0.784 after five steps.</w:t>
            </w:r>
          </w:p>
        </w:tc>
      </w:tr>
    </w:tbl>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Gradient-ascent strength s (steps per group)</w:t>
            </w:r>
          </w:p>
        </w:tc>
        <w:tc>
          <w:tcPr>
            <w:tcW w:w="1872" w:type="dxa"/>
            <w:shd w:val="clear" w:color="auto" w:fill="F2F2F2"/>
          </w:tcPr>
          <w:p>
            <w:pPr/>
            <w:r>
              <w:t xml:space="preserve">ε(∅)</w:t>
            </w:r>
          </w:p>
        </w:tc>
        <w:tc>
          <w:tcPr>
            <w:tcW w:w="1872" w:type="dxa"/>
            <w:shd w:val="clear" w:color="auto" w:fill="F2F2F2"/>
          </w:tcPr>
          <w:p>
            <w:pPr/>
            <w:r>
              <w:t xml:space="preserve">ρ(∅)</w:t>
            </w:r>
          </w:p>
        </w:tc>
        <w:tc>
          <w:tcPr>
            <w:tcW w:w="1872" w:type="dxa"/>
            <w:shd w:val="clear" w:color="auto" w:fill="F2F2F2"/>
          </w:tcPr>
          <w:p>
            <w:pPr/>
            <w:r>
              <w:t xml:space="preserve">κ(∅)</w:t>
            </w:r>
          </w:p>
        </w:tc>
        <w:tc>
          <w:tcPr>
            <w:tcW w:w="1872" w:type="dxa"/>
            <w:shd w:val="clear" w:color="auto" w:fill="F2F2F2"/>
          </w:tcPr>
          <w:p>
            <w:pPr/>
            <w:r>
              <w:t xml:space="preserve">Author performance at ∅ after 0 → 5 relearning steps</w:t>
            </w:r>
          </w:p>
        </w:tc>
      </w:tr>
      <w:tr>
        <w:tc>
          <w:tcPr>
            <w:tcW w:w="1872" w:type="dxa"/>
          </w:tcPr>
          <w:p>
            <w:pPr/>
            <w:r>
              <w:t xml:space="preserve">8</w:t>
            </w:r>
          </w:p>
        </w:tc>
        <w:tc>
          <w:tcPr>
            <w:tcW w:w="1872" w:type="dxa"/>
          </w:tcPr>
          <w:p>
            <w:pPr/>
            <w:r>
              <w:t xml:space="preserve">0.751</w:t>
            </w:r>
          </w:p>
        </w:tc>
        <w:tc>
          <w:tcPr>
            <w:tcW w:w="1872" w:type="dxa"/>
          </w:tcPr>
          <w:p>
            <w:pPr/>
            <w:r>
              <w:t xml:space="preserve">0.748</w:t>
            </w:r>
          </w:p>
        </w:tc>
        <w:tc>
          <w:tcPr>
            <w:tcW w:w="1872" w:type="dxa"/>
          </w:tcPr>
          <w:p>
            <w:pPr/>
            <w:r>
              <w:t xml:space="preserve">−0.003</w:t>
            </w:r>
          </w:p>
        </w:tc>
        <w:tc>
          <w:tcPr>
            <w:tcW w:w="1872" w:type="dxa"/>
          </w:tcPr>
          <w:p>
            <w:pPr/>
            <w:r>
              <w:t xml:space="preserve">0.844 → 0.828</w:t>
            </w:r>
          </w:p>
        </w:tc>
      </w:tr>
      <w:tr>
        <w:tc>
          <w:tcPr>
            <w:tcW w:w="1872" w:type="dxa"/>
          </w:tcPr>
          <w:p>
            <w:pPr/>
            <w:r>
              <w:t xml:space="preserve">12</w:t>
            </w:r>
          </w:p>
        </w:tc>
        <w:tc>
          <w:tcPr>
            <w:tcW w:w="1872" w:type="dxa"/>
          </w:tcPr>
          <w:p>
            <w:pPr/>
            <w:r>
              <w:t xml:space="preserve">0.430</w:t>
            </w:r>
          </w:p>
        </w:tc>
        <w:tc>
          <w:tcPr>
            <w:tcW w:w="1872" w:type="dxa"/>
          </w:tcPr>
          <w:p>
            <w:pPr/>
            <w:r>
              <w:t xml:space="preserve">0.431</w:t>
            </w:r>
          </w:p>
        </w:tc>
        <w:tc>
          <w:tcPr>
            <w:tcW w:w="1872" w:type="dxa"/>
          </w:tcPr>
          <w:p>
            <w:pPr/>
            <w:r>
              <w:t xml:space="preserve">0.002</w:t>
            </w:r>
          </w:p>
        </w:tc>
        <w:tc>
          <w:tcPr>
            <w:tcW w:w="1872" w:type="dxa"/>
          </w:tcPr>
          <w:p>
            <w:pPr/>
            <w:r>
              <w:t xml:space="preserve">0.528 → 0.826</w:t>
            </w:r>
          </w:p>
        </w:tc>
      </w:tr>
      <w:tr>
        <w:tc>
          <w:tcPr>
            <w:tcW w:w="1872" w:type="dxa"/>
          </w:tcPr>
          <w:p>
            <w:pPr/>
            <w:r>
              <w:t xml:space="preserve">16</w:t>
            </w:r>
          </w:p>
        </w:tc>
        <w:tc>
          <w:tcPr>
            <w:tcW w:w="1872" w:type="dxa"/>
          </w:tcPr>
          <w:p>
            <w:pPr/>
            <w:r>
              <w:t xml:space="preserve">0.132</w:t>
            </w:r>
          </w:p>
        </w:tc>
        <w:tc>
          <w:tcPr>
            <w:tcW w:w="1872" w:type="dxa"/>
          </w:tcPr>
          <w:p>
            <w:pPr/>
            <w:r>
              <w:t xml:space="preserve">0.140</w:t>
            </w:r>
          </w:p>
        </w:tc>
        <w:tc>
          <w:tcPr>
            <w:tcW w:w="1872" w:type="dxa"/>
          </w:tcPr>
          <w:p>
            <w:pPr/>
            <w:r>
              <w:t xml:space="preserve">0.008</w:t>
            </w:r>
          </w:p>
        </w:tc>
        <w:tc>
          <w:tcPr>
            <w:tcW w:w="1872" w:type="dxa"/>
          </w:tcPr>
          <w:p>
            <w:pPr/>
            <w:r>
              <w:t xml:space="preserve">0.236 → 0.799</w:t>
            </w:r>
          </w:p>
        </w:tc>
      </w:tr>
      <w:tr>
        <w:tc>
          <w:tcPr>
            <w:tcW w:w="1872" w:type="dxa"/>
          </w:tcPr>
          <w:p>
            <w:pPr/>
            <w:r>
              <w:t xml:space="preserve">20</w:t>
            </w:r>
          </w:p>
        </w:tc>
        <w:tc>
          <w:tcPr>
            <w:tcW w:w="1872" w:type="dxa"/>
          </w:tcPr>
          <w:p>
            <w:pPr/>
            <w:r>
              <w:t xml:space="preserve">−0.053</w:t>
            </w:r>
          </w:p>
        </w:tc>
        <w:tc>
          <w:tcPr>
            <w:tcW w:w="1872" w:type="dxa"/>
          </w:tcPr>
          <w:p>
            <w:pPr/>
            <w:r>
              <w:t xml:space="preserve">−0.043</w:t>
            </w:r>
          </w:p>
        </w:tc>
        <w:tc>
          <w:tcPr>
            <w:tcW w:w="1872" w:type="dxa"/>
          </w:tcPr>
          <w:p>
            <w:pPr/>
            <w:r>
              <w:t xml:space="preserve">0.010</w:t>
            </w:r>
          </w:p>
        </w:tc>
        <w:tc>
          <w:tcPr>
            <w:tcW w:w="1872" w:type="dxa"/>
          </w:tcPr>
          <w:p>
            <w:pPr/>
            <w:r>
              <w:t xml:space="preserve">0.055 → 0.784</w:t>
            </w:r>
          </w:p>
        </w:tc>
      </w:tr>
      <w:tr>
        <w:tc>
          <w:tcPr>
            <w:tcW w:w="1872" w:type="dxa"/>
          </w:tcPr>
          <w:p>
            <w:pPr/>
            <w:r>
              <w:t xml:space="preserve">24</w:t>
            </w:r>
          </w:p>
        </w:tc>
        <w:tc>
          <w:tcPr>
            <w:tcW w:w="1872" w:type="dxa"/>
          </w:tcPr>
          <w:p>
            <w:pPr/>
            <w:r>
              <w:t xml:space="preserve">−0.107</w:t>
            </w:r>
          </w:p>
        </w:tc>
        <w:tc>
          <w:tcPr>
            <w:tcW w:w="1872" w:type="dxa"/>
          </w:tcPr>
          <w:p>
            <w:pPr/>
            <w:r>
              <w:t xml:space="preserve">−0.095</w:t>
            </w:r>
          </w:p>
        </w:tc>
        <w:tc>
          <w:tcPr>
            <w:tcW w:w="1872" w:type="dxa"/>
          </w:tcPr>
          <w:p>
            <w:pPr/>
            <w:r>
              <w:t xml:space="preserve">0.012</w:t>
            </w:r>
          </w:p>
        </w:tc>
        <w:tc>
          <w:tcPr>
            <w:tcW w:w="1872" w:type="dxa"/>
          </w:tcPr>
          <w:p>
            <w:pPr/>
            <w:r>
              <w:t xml:space="preserve">0.002 → 0.740</w:t>
            </w:r>
          </w:p>
        </w:tc>
      </w:tr>
      <w:tr>
        <w:tc>
          <w:tcPr>
            <w:tcW w:w="1872" w:type="dxa"/>
          </w:tcPr>
          <w:p>
            <w:pPr/>
            <w:r>
              <w:t xml:space="preserve">32</w:t>
            </w:r>
          </w:p>
        </w:tc>
        <w:tc>
          <w:tcPr>
            <w:tcW w:w="1872" w:type="dxa"/>
          </w:tcPr>
          <w:p>
            <w:pPr/>
            <w:r>
              <w:t xml:space="preserve">−0.110</w:t>
            </w:r>
          </w:p>
        </w:tc>
        <w:tc>
          <w:tcPr>
            <w:tcW w:w="1872" w:type="dxa"/>
          </w:tcPr>
          <w:p>
            <w:pPr/>
            <w:r>
              <w:t xml:space="preserve">−0.097</w:t>
            </w:r>
          </w:p>
        </w:tc>
        <w:tc>
          <w:tcPr>
            <w:tcW w:w="1872" w:type="dxa"/>
          </w:tcPr>
          <w:p>
            <w:pPr/>
            <w:r>
              <w:t xml:space="preserve">0.013</w:t>
            </w:r>
          </w:p>
        </w:tc>
        <w:tc>
          <w:tcPr>
            <w:tcW w:w="1872" w:type="dxa"/>
          </w:tcPr>
          <w:p>
            <w:pPr/>
            <w:r>
              <w:t xml:space="preserve">0.000 → 0.243</w:t>
            </w:r>
          </w:p>
        </w:tc>
      </w:tr>
    </w:tbl>
    <w:p>
      <w:pPr/>
      <w:r>
        <w:rPr>
          <w:b/>
        </w:rPr>
        <w:t xml:space="preserve">Retrained game.</w:t>
      </w:r>
      <w:r>
        <w:t xml:space="preserve"> Fine-tuning on all four groups gives v(N) = 0.846 on the author component and −0.003 on the general component, so the author data leaves general capability essentially unchanged. The exact Shapley values of the four groups are 0.211, 0.212, 0.212 and 0.211, which sum to v(N). The game is close to additive: leave-one-out values (0.209 to 0.210) are within 1.3 percent of the Shapley values, as expected when no two groups are redundant. The differences among groups are of the same order as retraining seed noise, so the exact ranking of contributors is not identified. This is a limitation of the symmetric design, and it makes rank correlations uninformative.</w:t>
      </w:r>
    </w:p>
    <w:p>
      <w:pPr/>
      <w:r>
        <w:rPr>
          <w:b/>
        </w:rPr>
        <w:t xml:space="preserve">Aggregate bias (P2).</w:t>
      </w:r>
      <w:r>
        <w:t xml:space="preserve"> Under exact enumeration of Û, the sum identity in Proposition 2 holds by construction, so the empirical content is the size and sign of ε(∅). It depends strongly on unlearning strength. At s = 8, ε(∅) = 0.751 and nearly all of it is residual knowledge: the estimated values sum to 0.092, about 11 percent of the total contribution v(N) = 0.843. The sign changes between s = 16 and s = 20 (about 19 steps per group by linear interpolation). At s = 32, ε(∅) = −0.110, and the estimated values overstate the total by about 13 percent. Collateral damage is small throughout (κ(∅) ≤ 0.013), so ε(∅) is close to ρ(∅) at every strength.</w:t>
      </w:r>
    </w:p>
    <w:p>
      <w:pPr/>
      <w:r>
        <w:rPr>
          <w:b/>
        </w:rPr>
        <w:t xml:space="preserve">Individual bias.</w:t>
      </w:r>
      <w:r>
        <w:t xml:space="preserve"> Where the aggregate bias is smallest, individual biases are not. The L1 norm of the Shapley values of the residual game on the author component falls from 0.748 at s = 8 to 0.078 at s = 20 and rises to 0.110 at s = 32. At s = 20, ρ(∅) = −0.043 while the L1 norm is 0.078, so the individual biases have mixed signs and are not a common shift of all values. The minimum of 0.078 is about 9 percent of v(N) on the author component.</w:t>
      </w:r>
    </w:p>
    <w:p>
      <w:pPr/>
      <w:r>
        <w:rPr>
          <w:b/>
        </w:rPr>
        <w:t xml:space="preserve">Order dependence.</w:t>
      </w:r>
      <w:r>
        <w:t xml:space="preserve"> The sequential estimate departs from the set-function estimate by an amount that grows with strength. The L1 distance between them is 0.017 at s = 8, 0.142 at 12, 0.175 at 16, 0.244 at 20, 0.253 at 24 and 0.272 at 32, against v(N) = 0.846 on the author component. The assumption of Section 4.1 therefore holds approximately for weak unlearning and fails at the strengths where aggregate bias is small. The sequential estimate averages over only six of the 24 removal orders, so part of each distance is sampling error, but the growth with strength is monotone.</w:t>
      </w:r>
    </w:p>
    <w:p>
      <w:pPr/>
      <w:r>
        <w:rPr>
          <w:b/>
        </w:rPr>
        <w:t xml:space="preserve">Relearning (P4).</w:t>
      </w:r>
      <w:r>
        <w:t xml:space="preserve"> After all four groups are unlearned, author performance at ∅ is 0.844, 0.528, 0.236, 0.055, 0.002 and 0.000 for s = 8 to 32, against a retrained baseline of 0.097. Five relearning steps on 10 percent of the forgotten pairs restore performance on the other 90 percent to 0.83, 0.83, 0.80, 0.78 and 0.74 for s up to 24, and to 0.24 for s = 32. At s = 20 and s = 24, where ε(∅) is negative and the aggregate diagnostic would suggest complete or excessive forgetting, a brief attack recovers most of the performance. The measured residual thus depends on the strength of the attack, as P4 predicts, and ε(∅) measured without an attack does not certify removal. We did not apply the same attack to a model retrained without the groups, so we cannot separate residual knowledge from the general ability to relearn quickly from a few examples. A retrained control is needed before the recovered performance is read as residual knowledge alone.</w:t>
      </w:r>
    </w:p>
    <w:p>
      <w:pPr/>
      <w:r>
        <w:rPr>
          <w:b/>
        </w:rPr>
        <w:t xml:space="preserve">Summary.</w:t>
      </w:r>
      <w:r>
        <w:t xml:space="preserve"> The experiment supports the claim that the aggregate bias is governed by ε(∅) and can take either sign, depending on how aggressively the method unlearns. It also shows that individual biases and order dependence persist where the aggregate bias is small. It does not test redundancy (P1), data that is hard to forget (P3), or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sequential and set-function estimates grows from 0.017 to 0.272 as unlearning strengthens, against v(N) = 0.846, so the assumption is not innocuous at the strengths where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one 0.5B-parameter model, one unlearning algorithm (gradient ascent), and a single training run per coalition. The symmetry leaves the ranking of contributors unidentified within seed noise, so we cannot say how well unlearning-based values preserve rankings. Redundancy (P1), data that is hard to forget (P3) and the comparison across unlearning methods are untested.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The agreement breaks down in practice because the counterfactuals must be generated by approximate unlearning. The resulting bias has a simple structure: it is additive, its total is fixed by the residual performance of a fully unlearned model, and it falls hardest on the data that is most difficult to forget. Because the developer controls both the unlearning and its measurement, these biases also create incentives to under-unlearn, which can be countered only by audits that are both frequent and powerful. In a small experiment, the aggregate bias changed sign with unlearning strength, order dependence grew with it, and a brief relearning attack recovered knowledge that the aggregate diagnostic had classed as removed. We hope the framework helps connect technical work on unlearning evaluation with the policy questions that motivate it.</w:t>
      </w:r>
    </w:p>
    <w:p>
      <w:pPr>
        <w:pStyle w:val="Heading2"/>
      </w:pPr>
      <w:r>
        <w:t xml:space="preserve">References</w:t>
      </w:r>
    </w:p>
    <w:p>
      <w:pPr/>
      <w:r>
        <w:t xml:space="preserve">Acemoglu, D., Makhdoumi, A., Malekian, A., and Ozdaglar, A. (2022). Too much data: Prices and inefficiencies in data markets. </w:t>
      </w:r>
      <w:r>
        <w:rPr>
          <w:i/>
        </w:rPr>
        <w:t xml:space="preserve">American Economic Journal: Microeconomics</w:t>
      </w:r>
      <w:r>
        <w:t xml:space="preserve">, 14(4), 218–256.</w:t>
      </w:r>
    </w:p>
    <w:p>
      <w:pPr/>
      <w:r>
        <w:t xml:space="preserve">Agarwal, A., Dahleh, M., and Sarkar, T. (2019). A marketplace for data: An algorithmic solution. In </w:t>
      </w:r>
      <w:r>
        <w:rPr>
          <w:i/>
        </w:rPr>
        <w:t xml:space="preserve">Proceedings of the 2019 ACM Conference on Economics and Computation (EC)</w:t>
      </w:r>
      <w:r>
        <w:t xml:space="preserve">.</w:t>
      </w:r>
    </w:p>
    <w:p>
      <w:pPr/>
      <w:r>
        <w:t xml:space="preserve">Bourtoule, L., Chandrasekaran, V., Choquette-Choo, C. A., Jia, H., Travers, A., Zhang, B., Lie, D., and Papernot, N. (2021). Machine unlearning. In </w:t>
      </w:r>
      <w:r>
        <w:rPr>
          <w:i/>
        </w:rPr>
        <w:t xml:space="preserve">IEEE Symposium on Security and Privacy</w:t>
      </w:r>
      <w:r>
        <w:t xml:space="preserve">.</w:t>
      </w:r>
    </w:p>
    <w:p>
      <w:pPr/>
      <w:r>
        <w:t xml:space="preserve">Calabresi, G., and Melamed, A. D. (1972). Property rules, liability rules, and inalienability: One view of the cathedral. </w:t>
      </w:r>
      <w:r>
        <w:rPr>
          <w:i/>
        </w:rPr>
        <w:t xml:space="preserve">Harvard Law Review</w:t>
      </w:r>
      <w:r>
        <w:t xml:space="preserve">, 85(6), 1089–1128.</w:t>
      </w:r>
    </w:p>
    <w:p>
      <w:pPr/>
      <w:r>
        <w:t xml:space="preserve">Cao, Y., and Yang, J. (2015). Towards making systems forget with machine unlearning. In </w:t>
      </w:r>
      <w:r>
        <w:rPr>
          <w:i/>
        </w:rPr>
        <w:t xml:space="preserve">IEEE Symposium on Security and Privacy</w:t>
      </w:r>
      <w:r>
        <w:t xml:space="preserve">.</w:t>
      </w:r>
    </w:p>
    <w:p>
      <w:pPr/>
      <w:r>
        <w:t xml:space="preserve">Eldan, R., and Russinovich, M. (2023). Who's Harry Potter? Approximate unlearning in LLMs. arXiv:2310.02238.</w:t>
      </w:r>
    </w:p>
    <w:p>
      <w:pPr/>
      <w:r>
        <w:t xml:space="preserve">Ghorbani, A., and Zou, J. (2019). Data Shapley: Equitable valuation of data for machine learning. In </w:t>
      </w:r>
      <w:r>
        <w:rPr>
          <w:i/>
        </w:rPr>
        <w:t xml:space="preserve">International Conference on Machine Learning (ICML)</w:t>
      </w:r>
      <w:r>
        <w:t xml:space="preserve">.</w:t>
      </w:r>
    </w:p>
    <w:p>
      <w:pPr/>
      <w:r>
        <w:t xml:space="preserve">Ginart, A., Guan, M., Valiant, G., and Zou, J. (2019). Making AI forget you: Data deletion in machine learning. In </w:t>
      </w:r>
      <w:r>
        <w:rPr>
          <w:i/>
        </w:rPr>
        <w:t xml:space="preserve">Advances in Neural Information Processing Systems (NeurIPS)</w:t>
      </w:r>
      <w:r>
        <w:t xml:space="preserve">.</w:t>
      </w:r>
    </w:p>
    <w:p>
      <w:pPr/>
      <w:r>
        <w:t xml:space="preserve">Grosse, R., et al. (2023). Studying large language model generalization with influence functions. arXiv:2308.03296.</w:t>
      </w:r>
    </w:p>
    <w:p>
      <w:pPr/>
      <w:r>
        <w:t xml:space="preserve">Jia, R., Dao, D., Wang, B., Hubis, F. A., Hynes, N., Gürel, N. M., Li, B., Zhang, C., Song, D., and Spanos, C. J. (2019). Towards efficient data valuation based on the Shapley value. In </w:t>
      </w:r>
      <w:r>
        <w:rPr>
          <w:i/>
        </w:rPr>
        <w:t xml:space="preserve">International Conference on Artificial Intelligence and Statistics (AISTATS)</w:t>
      </w:r>
      <w:r>
        <w:t xml:space="preserve">.</w:t>
      </w:r>
    </w:p>
    <w:p>
      <w:pPr/>
      <w:r>
        <w:t xml:space="preserve">Jones, C. I., and Tonetti, C. (2020). Nonrivalry and the economics of data. </w:t>
      </w:r>
      <w:r>
        <w:rPr>
          <w:i/>
        </w:rPr>
        <w:t xml:space="preserve">American Economic Review</w:t>
      </w:r>
      <w:r>
        <w:t xml:space="preserve">, 110(9), 2819–2858.</w:t>
      </w:r>
    </w:p>
    <w:p>
      <w:pPr/>
      <w:r>
        <w:t xml:space="preserve">Koh, P. W., and Liang, P. (2017). Understanding black-box predictions via influence functions. In </w:t>
      </w:r>
      <w:r>
        <w:rPr>
          <w:i/>
        </w:rPr>
        <w:t xml:space="preserve">International Conference on Machine Learning (ICML)</w:t>
      </w:r>
      <w:r>
        <w:t xml:space="preserve">.</w:t>
      </w:r>
    </w:p>
    <w:p>
      <w:pPr/>
      <w:r>
        <w:t xml:space="preserve">Kwon, Y., and Zou, J. (2022). Beta Shapley: A unified and noise-reduced data valuation framework for machine learning. In </w:t>
      </w:r>
      <w:r>
        <w:rPr>
          <w:i/>
        </w:rPr>
        <w:t xml:space="preserve">International Conference on Artificial Intelligence and Statistics (AISTATS)</w:t>
      </w:r>
      <w:r>
        <w:t xml:space="preserve">.</w:t>
      </w:r>
    </w:p>
    <w:p>
      <w:pPr/>
      <w:r>
        <w:t xml:space="preserve">Li, N., et al. (2024). The WMDP benchmark: Measuring and reducing malicious use with unlearning. In </w:t>
      </w:r>
      <w:r>
        <w:rPr>
          <w:i/>
        </w:rPr>
        <w:t xml:space="preserve">International Conference on Machine Learning (ICML)</w:t>
      </w:r>
      <w:r>
        <w:t xml:space="preserve">.</w:t>
      </w:r>
    </w:p>
    <w:p>
      <w:pPr/>
      <w:r>
        <w:t xml:space="preserve">Łucki, J., Wei, B., Huang, Y., Henderson, P., Tramèr, F., and Rando, J. (2024). An adversarial perspective on machine unlearning for AI safety. arXiv:2409.18025.</w:t>
      </w:r>
    </w:p>
    <w:p>
      <w:pPr/>
      <w:r>
        <w:t xml:space="preserve">Lynch, A., Guo, P., Ewart, A., Casper, S., and Hadfield-Menell, D. (2024). Eight methods to evaluate robust unlearning in LLMs. arXiv:2402.16835.</w:t>
      </w:r>
    </w:p>
    <w:p>
      <w:pPr/>
      <w:r>
        <w:t xml:space="preserve">Maini, P., Feng, Z., Schwarzschild, A., Lipton, Z. C., and Kolter, J. Z. (2024). TOFU: A task of fictitious unlearning for LLMs. arXiv:2401.06121.</w:t>
      </w:r>
    </w:p>
    <w:p>
      <w:pPr/>
      <w:r>
        <w:t xml:space="preserve">Pruthi, G., Liu, F., Kale, S., and Sundararajan, M. (2020). Estimating training data influence by tracing gradient descent. In </w:t>
      </w:r>
      <w:r>
        <w:rPr>
          <w:i/>
        </w:rPr>
        <w:t xml:space="preserve">Advances in Neural Information Processing Systems (NeurIPS)</w:t>
      </w:r>
      <w:r>
        <w:t xml:space="preserve">.</w:t>
      </w:r>
    </w:p>
    <w:p>
      <w:pPr/>
      <w:r>
        <w:t xml:space="preserve">Roth, A. E. (Ed.) (1988). </w:t>
      </w:r>
      <w:r>
        <w:rPr>
          <w:i/>
        </w:rPr>
        <w:t xml:space="preserve">The Shapley Value: Essays in Honor of Lloyd S. Shapley</w:t>
      </w:r>
      <w:r>
        <w:t xml:space="preserve">. Cambridge University Press.</w:t>
      </w:r>
    </w:p>
    <w:p>
      <w:pPr/>
      <w:r>
        <w:t xml:space="preserve">Shapley, L. S. (1953). A value for n-person games. In H. W. Kuhn and A. W. Tucker (Eds.), </w:t>
      </w:r>
      <w:r>
        <w:rPr>
          <w:i/>
        </w:rPr>
        <w:t xml:space="preserve">Contributions to the Theory of Games II</w:t>
      </w:r>
      <w:r>
        <w:t xml:space="preserve">, 307–317. Princeton University Press.</w:t>
      </w:r>
    </w:p>
    <w:p>
      <w:pPr/>
      <w:r>
        <w:t xml:space="preserve">Shi, W., et al. (2024). MUSE: Machine unlearning six-way evaluation for language models. arXiv:2407.06460.</w:t>
      </w:r>
    </w:p>
    <w:p>
      <w:pPr/>
      <w:r>
        <w:t xml:space="preserve">Wang, J. T., and Jia, R. (2023). Data Banzhaf: A robust data valuation framework for machine learning. In </w:t>
      </w:r>
      <w:r>
        <w:rPr>
          <w:i/>
        </w:rPr>
        <w:t xml:space="preserve">International Conference on Artificial Intelligence and Statistics (AISTATS)</w:t>
      </w:r>
      <w:r>
        <w:t xml:space="preserve">.</w:t>
      </w:r>
    </w:p>
    <w:p>
      <w:pPr/>
      <w:r>
        <w:t xml:space="preserve">Young, H. P. (1985). Monotonic solutions of cooperative games. </w:t>
      </w:r>
      <w:r>
        <w:rPr>
          <w:i/>
        </w:rPr>
        <w:t xml:space="preserve">International Journal of Game Theory</w:t>
      </w:r>
      <w:r>
        <w:t xml:space="preserve">, 14(2), 65–72.</w:t>
      </w:r>
    </w:p>
    <w:p>
      <w:pPr/>
      <w:r>
        <w:t xml:space="preserve">Zhang, R., Lin, L., Bai, Y., and Mei, S. (2024). Negative preference optimization: From catastrophic collapse to effective unlearning. arXiv:2404.05868.</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dc:title>
  <dc:description>Claude Docs node/cb07ff58-68d1@11 docx-w6</dc:description>
  <cp:revision>11</cp:revision>
</cp:coreProperties>
</file>