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ponse-to-the-editor"/>
    <w:p>
      <w:pPr>
        <w:pStyle w:val="Heading1"/>
      </w:pPr>
      <w:r>
        <w:t xml:space="preserve">Response to the editor</w:t>
      </w:r>
    </w:p>
    <w:p>
      <w:pPr>
        <w:pStyle w:val="FirstParagraph"/>
      </w:pPr>
      <w:r>
        <w:t xml:space="preserve">Submission ID e1f8f39f-ffa0-4b28-b8b5-c3ed9708dcf9</w:t>
      </w:r>
      <w:r>
        <w:t xml:space="preserve"> </w:t>
      </w:r>
      <w:r>
        <w:t xml:space="preserve">“</w:t>
      </w:r>
      <w:r>
        <w:t xml:space="preserve">Underpaid professors and world-leading firms: academic pay stagnation as a plausible force behind the flow of research talent into Korean industry</w:t>
      </w:r>
      <w:r>
        <w:t xml:space="preserve">”</w:t>
      </w:r>
    </w:p>
    <w:p>
      <w:pPr>
        <w:pStyle w:val="BodyText"/>
      </w:pPr>
      <w:r>
        <w:t xml:space="preserve">Dear Ms Muthukumaran,</w:t>
      </w:r>
    </w:p>
    <w:p>
      <w:pPr>
        <w:pStyle w:val="BodyText"/>
      </w:pPr>
      <w:r>
        <w:t xml:space="preserve">Thank you for the technical check. I have addressed each request below; changes are marked as tracked changes in</w:t>
      </w:r>
      <w:r>
        <w:t xml:space="preserve"> </w:t>
      </w:r>
      <w:r>
        <w:rPr>
          <w:rStyle w:val="VerbatimChar"/>
        </w:rPr>
        <w:t xml:space="preserve">HSSC_manuscript_revised_tracked.docx</w:t>
      </w:r>
      <w:r>
        <w:t xml:space="preserve"> </w:t>
      </w:r>
      <w:r>
        <w:t xml:space="preserve">(a clean copy is</w:t>
      </w:r>
      <w:r>
        <w:t xml:space="preserve"> </w:t>
      </w:r>
      <w:r>
        <w:rPr>
          <w:rStyle w:val="VerbatimChar"/>
        </w:rPr>
        <w:t xml:space="preserve">HSSC_manuscript_revised.docx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1. Data and supporting documentation</w:t>
      </w:r>
      <w:r>
        <w:t xml:space="preserve"> </w:t>
      </w:r>
      <w:r>
        <w:t xml:space="preserve">- The dataset behind Tables 1-2, Figs 1-2 and the figures quoted in the text, variable definitions, the handling of missing years (no interpolation), every transformation (CPI deflation, 2013 = 100 indices, compound growth rates, ratios), and a script that recomputes every derived number are deposited at https://github.com/ooklee-sudo/fluffy-meme/tree/main/pay_stagnation (</w:t>
      </w:r>
      <w:r>
        <w:rPr>
          <w:rStyle w:val="VerbatimChar"/>
        </w:rPr>
        <w:t xml:space="preserve">data/*.csv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reproduce.py</w:t>
      </w:r>
      <w:r>
        <w:t xml:space="preserve">). The study uses no individual-level or restricted data; the underlying figures are the published sources listed in Supplementary Table S1.</w:t>
      </w:r>
      <w:r>
        <w:t xml:space="preserve"> </w:t>
      </w:r>
      <w:r>
        <w:t xml:space="preserve">- A Data Availability statement is at the end of the manuscript and is entered identically under</w:t>
      </w:r>
      <w:r>
        <w:t xml:space="preserve"> </w:t>
      </w:r>
      <w:r>
        <w:t xml:space="preserve">“</w:t>
      </w:r>
      <w:r>
        <w:t xml:space="preserve">Declarations</w:t>
      </w:r>
      <w:r>
        <w:t xml:space="preserve">”</w:t>
      </w:r>
      <w:r>
        <w:t xml:space="preserve"> </w:t>
      </w:r>
      <w:r>
        <w:t xml:space="preserve">in the submission system.</w:t>
      </w:r>
    </w:p>
    <w:p>
      <w:pPr>
        <w:pStyle w:val="BodyText"/>
      </w:pPr>
      <w:r>
        <w:rPr>
          <w:bCs/>
          <w:b/>
        </w:rPr>
        <w:t xml:space="preserve">2. Accurate reporting, overstated conclusions, limitations</w:t>
      </w:r>
      <w:r>
        <w:t xml:space="preserve"> </w:t>
      </w:r>
      <w:r>
        <w:t xml:space="preserve">- Title, Discussion and Conclusions:</w:t>
      </w:r>
      <w:r>
        <w:t xml:space="preserve"> </w:t>
      </w:r>
      <w:r>
        <w:t xml:space="preserve">“</w:t>
      </w:r>
      <w:r>
        <w:t xml:space="preserve">a key force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t xml:space="preserve">“</w:t>
      </w:r>
      <w:r>
        <w:t xml:space="preserve">a plausible force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supports the argument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t xml:space="preserve">“</w:t>
      </w:r>
      <w:r>
        <w:t xml:space="preserve">is consistent with the argument … although the descriptive design cannot establish that it was the cause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central role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t xml:space="preserve">“</w:t>
      </w:r>
      <w:r>
        <w:t xml:space="preserve">probably played an important part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t xml:space="preserve">“</w:t>
      </w:r>
      <w:r>
        <w:t xml:space="preserve">factor</w:t>
      </w:r>
      <w:r>
        <w:t xml:space="preserve">”</w:t>
      </w:r>
      <w:r>
        <w:t xml:space="preserve">; the policy paragraph is framed as conditional on the argument.</w:t>
      </w:r>
      <w:r>
        <w:t xml:space="preserve"> </w:t>
      </w:r>
      <w:r>
        <w:t xml:space="preserve">- New limitations paragraph at the end of the Discussion: descriptive design and no controls; sparse salary series (7 of 12 years) and the possibly understated 2013 value; secondary press sources; differing large-firm samples (211-366 firms); averages across fields; the career-stage assumption in the executive comparison.</w:t>
      </w:r>
      <w:r>
        <w:t xml:space="preserve"> </w:t>
      </w:r>
      <w:r>
        <w:t xml:space="preserve">- Results: stated that the -12% real fall rests on the 2019 and 2024 observations only; labelled the 4.3% (employees) and 1.6% (professors) growth rates as nominal and noted their slightly different windows; the abstract now says</w:t>
      </w:r>
      <w:r>
        <w:t xml:space="preserve"> </w:t>
      </w:r>
      <w:r>
        <w:t xml:space="preserve">“</w:t>
      </w:r>
      <w:r>
        <w:t xml:space="preserve">in nominal terms</w:t>
      </w:r>
      <w:r>
        <w:t xml:space="preserve">”</w:t>
      </w:r>
      <w:r>
        <w:t xml:space="preserve">.</w:t>
      </w:r>
      <w:r>
        <w:t xml:space="preserve"> </w:t>
      </w:r>
      <w:r>
        <w:t xml:space="preserve">- Methods/Results: the time-to-full-professor estimate is now explicitly presented as the author’s observation, since no systematic source was found.</w:t>
      </w:r>
      <w:r>
        <w:t xml:space="preserve"> </w:t>
      </w:r>
      <w:r>
        <w:t xml:space="preserve">- All derived figures were recomputed with</w:t>
      </w:r>
      <w:r>
        <w:t xml:space="preserve"> </w:t>
      </w:r>
      <w:r>
        <w:rPr>
          <w:rStyle w:val="VerbatimChar"/>
        </w:rPr>
        <w:t xml:space="preserve">reproduce.py</w:t>
      </w:r>
      <w:r>
        <w:t xml:space="preserve"> </w:t>
      </w:r>
      <w:r>
        <w:t xml:space="preserve">and agree with the text.</w:t>
      </w:r>
    </w:p>
    <w:p>
      <w:pPr>
        <w:pStyle w:val="BodyText"/>
      </w:pPr>
      <w:r>
        <w:t xml:space="preserve">Kind regards,</w:t>
      </w:r>
      <w:r>
        <w:t xml:space="preserve"> </w:t>
      </w:r>
      <w:r>
        <w:t xml:space="preserve">Ook Lee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2026-10-23T01:38:36Z</dcterms:created>
  <dcterms:modified xsi:type="dcterms:W3CDTF">2026-10-23T01:38:36Z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