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Beyond Exposure: Fixed Costs, Foundation Models, and the Diffusion of AI Vision</w:t>
      </w:r>
    </w:p>
    <w:p>
      <w:pPr>
        <w:spacing w:after="480" w:line="240" w:lineRule="auto"/>
        <w:jc w:val="center"/>
      </w:pPr>
      <w:r>
        <w:rPr>
          <w:rFonts w:ascii="Times New Roman" w:cs="Times New Roman" w:eastAsia="Times New Roman" w:hAnsi="Times New Roman"/>
          <w:i/>
          <w:iCs/>
          <w:sz w:val="26"/>
          <w:szCs w:val="26"/>
        </w:rPr>
        <w:t xml:space="preserve">Evidence from Online Job Postings</w:t>
      </w:r>
    </w:p>
    <w:p>
      <w:pPr>
        <w:spacing w:after="120" w:line="240" w:lineRule="auto"/>
        <w:jc w:val="center"/>
      </w:pPr>
      <w:r>
        <w:rPr>
          <w:rFonts w:ascii="Times New Roman" w:cs="Times New Roman" w:eastAsia="Times New Roman" w:hAnsi="Times New Roman"/>
          <w:sz w:val="22"/>
          <w:szCs w:val="22"/>
        </w:rPr>
        <w:t xml:space="preserve">Manuscript prepared for submission to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implements the full manuscript structure, theory, hypotheses, measurement and identification strategy of the research proposal. The Lightcast data have not yet been extracted and no model has been estimated; the visual-intensity measure has been constructed and validated (Section 4.3). Section 6 therefore contains pre-specified tables with placeholders and no numerical results; no empirical finding is asserted anywhere in this draft. Bibliographic details marked † must be verified before submission.</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Whether AI vision displaces workers depends less on what the technology can see than on whether automating a visual task covers a largely fixed cost. We develop a break-even model of automation in which a firm adopts computer vision only when its volume of visual tasks exceeds a threshold, and derive four testable predictions: adoption reduces demand for vision-intensive occupations, more so in firms with large visual task volumes; general-purpose vision foundation models lower the break-even scale and extend adoption to smaller firms; and adoption raises demand for complementary judgment, monitoring, and integration skills. We design a test using Lightcast online job postings for the United States, 2015–2025, measuring adoption from firms’ computer-vision skill requirements and occupational visual intensity from O*NET analyst ratings of visual abilities, and using staggered difference-in-differences and an event study around foundation-model releases, while separating vision effects from concurrent large language model effects. The paper moves research on AI and work from technical exposure to the economics of adoption.</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AI adoption; computer vision; foundation models; automation; fixed costs; online job postings; technology diffusion; complementary assets; difference-in-differences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Debates about artificial intelligence (AI) and work have been organized around exposure: the degree to which the capabilities of a technology overlap with the tasks that make up an occupation (Webb 2020; Felten et al. 2021; Eloundou et al. 2023). Exposure is a statement about technical feasibility. It does not say whether a firm finds it profitable to act on that feasibility. A task can be fully within reach of a machine and still be performed by a person because building, integrating, and maintaining the machine costs more than the labor it replaces.</w:t>
      </w:r>
    </w:p>
    <w:p>
      <w:pPr>
        <w:spacing w:after="0" w:line="480" w:lineRule="auto"/>
        <w:ind w:firstLine="720"/>
        <w:jc w:val="left"/>
      </w:pPr>
      <w:r>
        <w:rPr>
          <w:rFonts w:ascii="Times New Roman" w:cs="Times New Roman" w:eastAsia="Times New Roman" w:hAnsi="Times New Roman"/>
          <w:sz w:val="24"/>
          <w:szCs w:val="24"/>
        </w:rPr>
        <w:t xml:space="preserve">This distinction is sharpest for computer vision, where costs are concrete and largely fixed. Svanberg et al. (2024)† simulate the cost of deploying computer vision systems and estimate that only about 23% of the wages attached to vision-dependent tasks would be attractive to automate at current costs, because development, integration, and maintenance costs do not scale with usage. That figure is the output of a cost model. It has not been tested against how firms actually behave, and the model itself implies a sharp, observable pattern: automation should occur where the volume of a visual task is large relative to a break-even threshold, and nowhere else.</w:t>
      </w:r>
    </w:p>
    <w:p>
      <w:pPr>
        <w:spacing w:after="0" w:line="480" w:lineRule="auto"/>
        <w:ind w:firstLine="720"/>
        <w:jc w:val="left"/>
      </w:pPr>
      <w:r>
        <w:rPr>
          <w:rFonts w:ascii="Times New Roman" w:cs="Times New Roman" w:eastAsia="Times New Roman" w:hAnsi="Times New Roman"/>
          <w:sz w:val="24"/>
          <w:szCs w:val="24"/>
        </w:rPr>
        <w:t xml:space="preserve">Large pretrained vision and vision-language models, which we call vision foundation models, should move this threshold. By reducing the task-specific data and development effort required, and by spreading fixed costs across many customers through application programming interfaces (APIs), they lower the fixed cost of adopting vision for any single firm. If that is right, adoption should extend to smaller firms whose visual workloads were previously too small to justify a bespoke system. This is a diffusion claim as much as a labor claim, and it speaks directly to how platform-like layers of AI infrastructure reshape who can use AI.</w:t>
      </w:r>
    </w:p>
    <w:p>
      <w:pPr>
        <w:spacing w:after="0" w:line="480" w:lineRule="auto"/>
        <w:ind w:firstLine="720"/>
        <w:jc w:val="left"/>
      </w:pPr>
      <w:r>
        <w:rPr>
          <w:rFonts w:ascii="Times New Roman" w:cs="Times New Roman" w:eastAsia="Times New Roman" w:hAnsi="Times New Roman"/>
          <w:sz w:val="24"/>
          <w:szCs w:val="24"/>
        </w:rPr>
        <w:t xml:space="preserve">We therefore ask three questions. </w:t>
      </w: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How does AI vision adoption change a firm’s demand for vision-intensive occupations and complementary skills? </w:t>
      </w: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Are these effects concentrated in firms with large pre-existing volumes of visual tasks? </w:t>
      </w: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Did the arrival of vision foundation models shift adoption toward smaller firms, consistent with a falling break-even scale?</w:t>
      </w:r>
    </w:p>
    <w:p>
      <w:pPr>
        <w:spacing w:after="0" w:line="480" w:lineRule="auto"/>
        <w:ind w:firstLine="720"/>
        <w:jc w:val="left"/>
      </w:pPr>
      <w:r>
        <w:rPr>
          <w:rFonts w:ascii="Times New Roman" w:cs="Times New Roman" w:eastAsia="Times New Roman" w:hAnsi="Times New Roman"/>
          <w:sz w:val="24"/>
          <w:szCs w:val="24"/>
        </w:rPr>
        <w:t xml:space="preserve">To answer them, we use Lightcast (formerly Burning Glass Technologies) online job postings for the United States from 2015 to 2025. Postings let us observe, at the firm-quarter level, both what a firm hires for and which technical skills it requires. We infer adoption of computer vision from the skills a firm begins to demand, measure the visual intensity of occupations from O</w:t>
      </w:r>
      <w:r>
        <w:rPr>
          <w:rFonts w:ascii="Times New Roman" w:cs="Times New Roman" w:eastAsia="Times New Roman" w:hAnsi="Times New Roman"/>
          <w:i/>
          <w:iCs/>
          <w:sz w:val="24"/>
          <w:szCs w:val="24"/>
        </w:rPr>
        <w:t xml:space="preserve">NET analyst ratings of visual abilities (with an LLM-based classification of O</w:t>
      </w:r>
      <w:r>
        <w:rPr>
          <w:rFonts w:ascii="Times New Roman" w:cs="Times New Roman" w:eastAsia="Times New Roman" w:hAnsi="Times New Roman"/>
          <w:sz w:val="24"/>
          <w:szCs w:val="24"/>
        </w:rPr>
        <w:t xml:space="preserve">NET task statements as a secondary measure), and estimate (i) staggered difference-in-differences effects of adoption on demand for vision-intensive occupations and complementary skills, (ii) heterogeneity of these effects by pre-period task scale, and (iii) an event study around the release of general-purpose vision foundation models, estimated separately by firm size. Because vision foundation models diffused alongside large language models (LLMs), all specifications control for occupational exposure to LLMs.</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(IS) research in three ways. First, it moves the literature on AI and work from exposure to adoption economics, providing evidence on a fixed-cost mechanism that cost simulations have proposed but not tested. Second, it contributes to research on IT business value and complementary assets by identifying which skills rise in demand alongside vision adoption. Third, it studies how foundation models, as a platform-like layer of AI infrastructure, change the diffusion of AI capabilities across firms of different sizes, connecting to IS work on digital platforms and technology diffusion.</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literature. Section 3 presents the model and hypotheses. Section 4 describes the data and measures. Section 5 sets out the empirical strategy and threats to identification. Section 6 reports the pre-specified analyses. Section 7 discusses contributions,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links patent text to task descriptions, Felten et al. (2021) link AI application progress to workplace abilities and build occupation-, industry-, and geography-level exposure indices, and Eloundou et al. (2023) assess the exposure of occupations to LLMs. Acemoglu et al. (2022) move from exposure to behavior, using online vacancies to show that establishments with greater AI-exposed task content reduce hiring for non-AI positions. We build on this vacancy-based approach but ask a different question. Exposure indices rank occupations by feasibility; we ask when feasibility is converted into adoption, and we exploit variation in firm scale that the exposure literature does not use.</w:t>
      </w:r>
    </w:p>
    <w:p>
      <w:pPr>
        <w:pStyle w:val="Heading2"/>
        <w:keepNext/>
        <w:spacing w:after="120" w:before="240" w:line="240" w:lineRule="auto"/>
      </w:pPr>
      <w:r>
        <w:rPr>
          <w:rFonts w:ascii="Times New Roman" w:cs="Times New Roman" w:eastAsia="Times New Roman" w:hAnsi="Times New Roman"/>
          <w:b/>
          <w:bCs/>
          <w:sz w:val="24"/>
          <w:szCs w:val="24"/>
        </w:rPr>
        <w:t xml:space="preserve">2.2 Economics of Automation and Prediction</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and action. This framing motivates our complementarity hypothesis. The cost-effectiveness approach of Svanberg et al. (2024)† adds that the cost of AI is not only the marginal cost of a prediction but also a fixed cost of building and maintaining a system. Our contribution is to test this logic with observed adoption rather than simulated cost.</w:t>
      </w:r>
    </w:p>
    <w:p>
      <w:pPr>
        <w:pStyle w:val="Heading2"/>
        <w:keepNext/>
        <w:spacing w:after="120" w:before="240" w:line="240" w:lineRule="auto"/>
      </w:pPr>
      <w:r>
        <w:rPr>
          <w:rFonts w:ascii="Times New Roman" w:cs="Times New Roman" w:eastAsia="Times New Roman" w:hAnsi="Times New Roman"/>
          <w:b/>
          <w:bCs/>
          <w:sz w:val="24"/>
          <w:szCs w:val="24"/>
        </w:rPr>
        <w:t xml:space="preserve">2.3 IT Business Value, Complementary Assets, and Diffusion</w:t>
      </w:r>
    </w:p>
    <w:p>
      <w:pPr>
        <w:spacing w:after="0" w:line="480" w:lineRule="auto"/>
        <w:ind w:firstLine="720"/>
        <w:jc w:val="left"/>
      </w:pPr>
      <w:r>
        <w:rPr>
          <w:rFonts w:ascii="Times New Roman" w:cs="Times New Roman" w:eastAsia="Times New Roman" w:hAnsi="Times New Roman"/>
          <w:sz w:val="24"/>
          <w:szCs w:val="24"/>
        </w:rPr>
        <w:t xml:space="preserve">IS research has long argued that the value of IT depends on complementary organizational assets and skills, and that diffusion is shaped by adoption costs and firm characteristics. Foundation models resemble a platform layer whose fixed development cost is borne by a provider and shared across adopters through APIs. This suggests that platform-mediated cost sharing can change who adopts, not only how much adopters gain. [Positioning against recent ISR, MIS Quarterly, and Management Science work on AI adoption and labor is to be completed in the final manuscript; the underlying proposal did not yet include this review and we do not cite specific papers here.]</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 Break-Even Model of Vision Automation</w:t>
      </w:r>
    </w:p>
    <w:p>
      <w:pPr>
        <w:spacing w:after="0" w:line="480" w:lineRule="auto"/>
        <w:ind w:firstLine="720"/>
        <w:jc w:val="left"/>
      </w:pPr>
      <w:r>
        <w:rPr>
          <w:rFonts w:ascii="Times New Roman" w:cs="Times New Roman" w:eastAsia="Times New Roman" w:hAnsi="Times New Roman"/>
          <w:sz w:val="24"/>
          <w:szCs w:val="24"/>
        </w:rPr>
        <w:t xml:space="preserve">Consider a visual task performed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times per year at labor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per unit. An AI system has fixed cost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annualized using the capital recovery factor </w:t>
      </w:r>
      <w:r>
        <w:rPr>
          <w:rFonts w:ascii="Times New Roman" w:cs="Times New Roman" w:eastAsia="Times New Roman" w:hAnsi="Times New Roman"/>
          <w:i/>
          <w:iCs/>
          <w:sz w:val="24"/>
          <w:szCs w:val="24"/>
        </w:rPr>
        <w:t xml:space="preserve">φ(r, T)</w:t>
      </w:r>
      <w:r>
        <w:rPr>
          <w:rFonts w:ascii="Times New Roman" w:cs="Times New Roman" w:eastAsia="Times New Roman" w:hAnsi="Times New Roman"/>
          <w:sz w:val="24"/>
          <w:szCs w:val="24"/>
        </w:rPr>
        <w:t xml:space="preserve"> for discount rate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system lifetime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plus an annual maintenance rate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It also has an inference cost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per unit. Conditional on meeting the task’s accuracy requirement, the firm automates when its task volume exceeds the break-even volume: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q* = F [ φ(r, T) + m ] / ( θ − c )</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Equation (1) has two implications that exposure measures cannot capture. First, even technically feasible automation is not adopted when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rPr>
        <w:t xml:space="preserve">, so adoption is concentrated among firms with large visual workloads. Second, </w:t>
      </w:r>
      <w:r>
        <w:rPr>
          <w:rFonts w:ascii="Times New Roman" w:cs="Times New Roman" w:eastAsia="Times New Roman" w:hAnsi="Times New Roman"/>
          <w:sz w:val="24"/>
          <w:szCs w:val="24"/>
        </w:rPr>
        <w:t xml:space="preserve">q*</w:t>
      </w:r>
      <w:r>
        <w:rPr>
          <w:rFonts w:ascii="Times New Roman" w:cs="Times New Roman" w:eastAsia="Times New Roman" w:hAnsi="Times New Roman"/>
          <w:i/>
          <w:iCs/>
          <w:sz w:val="24"/>
          <w:szCs w:val="24"/>
        </w:rPr>
        <w:t xml:space="preserve"> is proportional to the fixed cost </w:t>
      </w:r>
      <w:r>
        <w:rPr>
          <w:rFonts w:ascii="Times New Roman" w:cs="Times New Roman" w:eastAsia="Times New Roman" w:hAnsi="Times New Roman"/>
          <w:sz w:val="24"/>
          <w:szCs w:val="24"/>
        </w:rPr>
        <w:t xml:space="preserve">F</w:t>
      </w:r>
      <w:r>
        <w:rPr>
          <w:rFonts w:ascii="Times New Roman" w:cs="Times New Roman" w:eastAsia="Times New Roman" w:hAnsi="Times New Roman"/>
          <w:i/>
          <w:iCs/>
          <w:sz w:val="24"/>
          <w:szCs w:val="24"/>
        </w:rPr>
        <w:t xml:space="preserve">. Vision foundation models reduce task-specific data and development costs and are shared across many customers, so they lower </w:t>
      </w:r>
      <w:r>
        <w:rPr>
          <w:rFonts w:ascii="Times New Roman" w:cs="Times New Roman" w:eastAsia="Times New Roman" w:hAnsi="Times New Roman"/>
          <w:sz w:val="24"/>
          <w:szCs w:val="24"/>
        </w:rPr>
        <w:t xml:space="preserve">F</w:t>
      </w:r>
      <w:r>
        <w:rPr>
          <w:rFonts w:ascii="Times New Roman" w:cs="Times New Roman" w:eastAsia="Times New Roman" w:hAnsi="Times New Roman"/>
          <w:i/>
          <w:iCs/>
          <w:sz w:val="24"/>
          <w:szCs w:val="24"/>
        </w:rPr>
        <w:t xml:space="preserve"> and therefore </w:t>
      </w:r>
      <w:r>
        <w:rPr>
          <w:rFonts w:ascii="Times New Roman" w:cs="Times New Roman" w:eastAsia="Times New Roman" w:hAnsi="Times New Roman"/>
          <w:sz w:val="24"/>
          <w:szCs w:val="24"/>
        </w:rPr>
        <w:t xml:space="preserve">q*</w:t>
      </w:r>
      <w:r>
        <w:rPr>
          <w:rFonts w:ascii="Times New Roman" w:cs="Times New Roman" w:eastAsia="Times New Roman" w:hAnsi="Times New Roman"/>
          <w:i/>
          <w:iCs/>
          <w:sz w:val="24"/>
          <w:szCs w:val="24"/>
        </w:rPr>
        <w:t xml:space="preserve">. They may, however, raise the per-unit inference cost </w:t>
      </w:r>
      <w:r>
        <w:rPr>
          <w:rFonts w:ascii="Times New Roman" w:cs="Times New Roman" w:eastAsia="Times New Roman" w:hAnsi="Times New Roman"/>
          <w:sz w:val="24"/>
          <w:szCs w:val="24"/>
        </w:rPr>
        <w:t xml:space="preserve">c</w:t>
      </w:r>
      <w:r>
        <w:rPr>
          <w:rFonts w:ascii="Times New Roman" w:cs="Times New Roman" w:eastAsia="Times New Roman" w:hAnsi="Times New Roman"/>
          <w:i/>
          <w:iCs/>
          <w:sz w:val="24"/>
          <w:szCs w:val="24"/>
        </w:rPr>
        <w:t xml:space="preserve">, which works in the opposite direction by raising </w:t>
      </w:r>
      <w:r>
        <w:rPr>
          <w:rFonts w:ascii="Times New Roman" w:cs="Times New Roman" w:eastAsia="Times New Roman" w:hAnsi="Times New Roman"/>
          <w:sz w:val="24"/>
          <w:szCs w:val="24"/>
        </w:rPr>
        <w:t xml:space="preserve">q**. The net effect on the threshold is thus an empirical matter, and our hypothesis is that the fixed-cost effect dominates in practice.</w:t>
      </w:r>
    </w:p>
    <w:p>
      <w:pPr>
        <w:pStyle w:val="Heading2"/>
        <w:keepNext/>
        <w:spacing w:after="120" w:before="240" w:line="240" w:lineRule="auto"/>
      </w:pPr>
      <w:r>
        <w:rPr>
          <w:rFonts w:ascii="Times New Roman" w:cs="Times New Roman" w:eastAsia="Times New Roman" w:hAnsi="Times New Roman"/>
          <w:b/>
          <w:bCs/>
          <w:sz w:val="24"/>
          <w:szCs w:val="24"/>
        </w:rPr>
        <w:t xml:space="preserve">3.2 Hypotheses</w:t>
      </w:r>
    </w:p>
    <w:p>
      <w:pPr>
        <w:spacing w:after="0" w:line="480" w:lineRule="auto"/>
        <w:ind w:firstLine="720"/>
        <w:jc w:val="left"/>
      </w:pPr>
      <w:r>
        <w:rPr>
          <w:rFonts w:ascii="Times New Roman" w:cs="Times New Roman" w:eastAsia="Times New Roman" w:hAnsi="Times New Roman"/>
          <w:sz w:val="24"/>
          <w:szCs w:val="24"/>
        </w:rPr>
        <w:t xml:space="preserve">Adopting firms substitute AI for labor in tasks above the threshold, which yields H1. Because the saving from automation scales with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and only firms with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well above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rPr>
        <w:t xml:space="preserve"> gain enough to adopt at scale, displacement should be larger where visual task volume is high (H2). A fall in </w:t>
      </w:r>
      <w:r>
        <w:rPr>
          <w:rFonts w:ascii="Times New Roman" w:cs="Times New Roman" w:eastAsia="Times New Roman" w:hAnsi="Times New Roman"/>
          <w:sz w:val="24"/>
          <w:szCs w:val="24"/>
        </w:rPr>
        <w:t xml:space="preserve">q** brings smaller firms across the threshold (H3). Finally, cheaper visual prediction raises the value of complements in the sense of Agrawal et al. (2018) (H4).</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posting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Vision adoption displaces demand for vision-intensive tasks within the adopting firm.</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Postings in high-visual-intensity occupations fall after adoption.</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Displacement is larger where visual task volume is high (q well above q*).</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Effect increases with pre-period scale of vision-intensive postings.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Foundation models lower the break-even scale of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the shock, adoption rises most among smaller firms with high visual exposure.</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Cheaper visual prediction raises demand for complements: judgment, monitoring, and integration.</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postings requiring these skills rises in adopting firms.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Lightcast Job Postings</w:t>
      </w:r>
    </w:p>
    <w:p>
      <w:pPr>
        <w:spacing w:after="0" w:line="480" w:lineRule="auto"/>
        <w:ind w:firstLine="720"/>
        <w:jc w:val="left"/>
      </w:pPr>
      <w:r>
        <w:rPr>
          <w:rFonts w:ascii="Times New Roman" w:cs="Times New Roman" w:eastAsia="Times New Roman" w:hAnsi="Times New Roman"/>
          <w:sz w:val="24"/>
          <w:szCs w:val="24"/>
        </w:rPr>
        <w:t xml:space="preserve">The primary source is Lightcast U.S. online job postings, which record employer, occupation (SOC/O*NET), industry, location, posting date, required skills, and, where available, posted wages. The sample covers 2015–2025 at the firm-quarter level. To obtain stable firm-level measures we restrict to employers with at least 50 postings per year in the pre-period (2015–2018), and we match a subsample to Compustat for employment and financial controls.</w:t>
      </w:r>
    </w:p>
    <w:p>
      <w:pPr>
        <w:pStyle w:val="Heading2"/>
        <w:keepNext/>
        <w:spacing w:after="120" w:before="240" w:line="240" w:lineRule="auto"/>
      </w:pPr>
      <w:r>
        <w:rPr>
          <w:rFonts w:ascii="Times New Roman" w:cs="Times New Roman" w:eastAsia="Times New Roman" w:hAnsi="Times New Roman"/>
          <w:b/>
          <w:bCs/>
          <w:sz w:val="24"/>
          <w:szCs w:val="24"/>
        </w:rPr>
        <w:t xml:space="preserve">4.2 Key Measures</w:t>
      </w:r>
    </w:p>
    <w:p>
      <w:pPr>
        <w:spacing w:after="0" w:line="480" w:lineRule="auto"/>
        <w:ind w:firstLine="720"/>
        <w:jc w:val="left"/>
      </w:pPr>
      <w:r>
        <w:rPr>
          <w:rFonts w:ascii="Times New Roman" w:cs="Times New Roman" w:eastAsia="Times New Roman" w:hAnsi="Times New Roman"/>
          <w:sz w:val="24"/>
          <w:szCs w:val="24"/>
        </w:rPr>
        <w:t xml:space="preserve">Table 2 summarizes the construction of the main variables. </w:t>
      </w:r>
      <w:r>
        <w:rPr>
          <w:rFonts w:ascii="Times New Roman" w:cs="Times New Roman" w:eastAsia="Times New Roman" w:hAnsi="Times New Roman"/>
          <w:i/>
          <w:iCs/>
          <w:sz w:val="24"/>
          <w:szCs w:val="24"/>
        </w:rPr>
        <w:t xml:space="preserve">Vision adoption</w:t>
      </w:r>
      <w:r>
        <w:rPr>
          <w:rFonts w:ascii="Times New Roman" w:cs="Times New Roman" w:eastAsia="Times New Roman" w:hAnsi="Times New Roman"/>
          <w:sz w:val="24"/>
          <w:szCs w:val="24"/>
        </w:rPr>
        <w:t xml:space="preserve"> is the first quarter in which postings requiring computer-vision skills (for example, computer vision, machine vision, image processing, object detection, image segmentation, OpenCV) exceed a threshold share of the firm’s postings; we vary the threshold in robustness checks, and exact skill names will be verified against the current Lightcast Open Skills taxonomy. </w:t>
      </w:r>
      <w:r>
        <w:rPr>
          <w:rFonts w:ascii="Times New Roman" w:cs="Times New Roman" w:eastAsia="Times New Roman" w:hAnsi="Times New Roman"/>
          <w:i/>
          <w:iCs/>
          <w:sz w:val="24"/>
          <w:szCs w:val="24"/>
        </w:rPr>
        <w:t xml:space="preserve">Occupational visual intensity</w:t>
      </w:r>
      <w:r>
        <w:rPr>
          <w:rFonts w:ascii="Times New Roman" w:cs="Times New Roman" w:eastAsia="Times New Roman" w:hAnsi="Times New Roman"/>
          <w:sz w:val="24"/>
          <w:szCs w:val="24"/>
        </w:rPr>
        <w:t xml:space="preserve"> is our primary measure, built from the O</w:t>
      </w:r>
      <w:r>
        <w:rPr>
          <w:rFonts w:ascii="Times New Roman" w:cs="Times New Roman" w:eastAsia="Times New Roman" w:hAnsi="Times New Roman"/>
          <w:i/>
          <w:iCs/>
          <w:sz w:val="24"/>
          <w:szCs w:val="24"/>
        </w:rPr>
        <w:t xml:space="preserve">NET Abilities database: the mean importance rating (1–5, rescaled to 0–1) of seven visual abilities (near vision, far vision, visual color discrimination, night vision, peripheral vision, depth perception, glare sensitivity), collapsed from O</w:t>
      </w:r>
      <w:r>
        <w:rPr>
          <w:rFonts w:ascii="Times New Roman" w:cs="Times New Roman" w:eastAsia="Times New Roman" w:hAnsi="Times New Roman"/>
          <w:sz w:val="24"/>
          <w:szCs w:val="24"/>
        </w:rPr>
        <w:t xml:space="preserve">NET-SOC to six-digit SOC codes. As a secondary measure, we classify O</w:t>
      </w:r>
      <w:r>
        <w:rPr>
          <w:rFonts w:ascii="Times New Roman" w:cs="Times New Roman" w:eastAsia="Times New Roman" w:hAnsi="Times New Roman"/>
          <w:i/>
          <w:iCs/>
          <w:sz w:val="24"/>
          <w:szCs w:val="24"/>
        </w:rPr>
        <w:t xml:space="preserve">NET task statements by their dependence on visual perception using a large language model and aggregate the share of visually dependent tasks by occupation. </w:t>
      </w:r>
      <w:r>
        <w:rPr>
          <w:rFonts w:ascii="Times New Roman" w:cs="Times New Roman" w:eastAsia="Times New Roman" w:hAnsi="Times New Roman"/>
          <w:sz w:val="24"/>
          <w:szCs w:val="24"/>
        </w:rPr>
        <w:t xml:space="preserve">Firm visual exposure</w:t>
      </w:r>
      <w:r>
        <w:rPr>
          <w:rFonts w:ascii="Times New Roman" w:cs="Times New Roman" w:eastAsia="Times New Roman" w:hAnsi="Times New Roman"/>
          <w:i/>
          <w:iCs/>
          <w:sz w:val="24"/>
          <w:szCs w:val="24"/>
        </w:rPr>
        <w:t xml:space="preserve"> aggregates occupational visual intensity using pre-period posting weights, and </w:t>
      </w:r>
      <w:r>
        <w:rPr>
          <w:rFonts w:ascii="Times New Roman" w:cs="Times New Roman" w:eastAsia="Times New Roman" w:hAnsi="Times New Roman"/>
          <w:sz w:val="24"/>
          <w:szCs w:val="24"/>
        </w:rPr>
        <w:t xml:space="preserve">firm language exposure* does the same for occupational LLM exposure from Eloundou et al. (2023). Firm-level exposures are fixed in the pre-period so that they are not themselves affected by adoption.</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Variable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cantSplit/>
          <w:tblHeader/>
        </w:trPr>
        <w:tc>
          <w:tcPr>
            <w:tcW w:type="dxa" w:w="17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Construct</w:t>
            </w:r>
          </w:p>
        </w:tc>
        <w:tc>
          <w:tcPr>
            <w:tcW w:type="dxa" w:w="5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Operationalization</w:t>
            </w:r>
          </w:p>
        </w:tc>
        <w:tc>
          <w:tcPr>
            <w:tcW w:type="dxa" w:w="2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Source</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Vision adoption</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posts jobs requiring computer-vision skills. Adoption date = first quarter in which such postings exceed a threshold share; thresholds varied in robustness checks.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skills taxonomy (names to be verified)</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Occupational visual intensity (primary)</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Mean importance of seven O*NET visual abilities (near/far vision, color discrimination, night/peripheral vision, depth perception, glare sensitivity), rescaled to 0–1; SOC6 level.</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O*NET Abilities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Visual task share (secondary)</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an occupation’s O*NET task statements that depend on visual perception, classified by an LLM.</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O*NET task statements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visual exposure (VisExp)</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Posting-weighted average of primary occupational visual intensity in the pre-period (2015–2018).</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 O*NET</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language exposure (LangExp)</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Posting-weighted average of occupational exposure to large language models.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Eloundou et al. (2023)</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Task scale</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Pre-period count of postings in vision-intensive occupations; Compustat employment for the matched subsample.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Compustat</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Outcomes</w:t>
            </w:r>
          </w:p>
        </w:tc>
        <w:tc>
          <w:tcPr>
            <w:tcW w:type="dxa" w:w="5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and posting share in high-visual-intensity occupations; share of postings requiring judgment, monitoring, or systems-integration skills; posted wages.</w:t>
            </w:r>
          </w:p>
        </w:tc>
        <w:tc>
          <w:tcPr>
            <w:tcW w:type="dxa" w:w="2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w:t>
            </w:r>
          </w:p>
        </w:tc>
      </w:tr>
    </w:tbl>
    <w:p>
      <w:pPr>
        <w:spacing w:line="240" w:lineRule="auto"/>
      </w:pPr>
      <w:r>
        <w:rPr>
          <w:rFonts w:ascii="Times New Roman" w:cs="Times New Roman" w:eastAsia="Times New Roman" w:hAnsi="Times New Roman"/>
        </w:rPr>
        <w:t xml:space="preserve"/>
      </w:r>
    </w:p>
    <w:p>
      <w:pPr>
        <w:pStyle w:val="Heading2"/>
        <w:keepNext/>
        <w:spacing w:after="120" w:before="240" w:line="240" w:lineRule="auto"/>
      </w:pPr>
      <w:r>
        <w:rPr>
          <w:rFonts w:ascii="Times New Roman" w:cs="Times New Roman" w:eastAsia="Times New Roman" w:hAnsi="Times New Roman"/>
          <w:b/>
          <w:bCs/>
          <w:sz w:val="24"/>
          <w:szCs w:val="24"/>
        </w:rPr>
        <w:t xml:space="preserve">4.3 Validation of the Visual-Intensity Measure</w:t>
      </w:r>
    </w:p>
    <w:p>
      <w:pPr>
        <w:spacing w:after="0" w:line="480" w:lineRule="auto"/>
        <w:ind w:firstLine="720"/>
        <w:jc w:val="left"/>
      </w:pPr>
      <w:r>
        <w:rPr>
          <w:rFonts w:ascii="Times New Roman" w:cs="Times New Roman" w:eastAsia="Times New Roman" w:hAnsi="Times New Roman"/>
          <w:sz w:val="24"/>
          <w:szCs w:val="24"/>
        </w:rPr>
        <w:t xml:space="preserve">We validated the measures before using them. The seven O</w:t>
      </w:r>
      <w:r>
        <w:rPr>
          <w:rFonts w:ascii="Times New Roman" w:cs="Times New Roman" w:eastAsia="Times New Roman" w:hAnsi="Times New Roman"/>
          <w:i/>
          <w:iCs/>
          <w:sz w:val="24"/>
          <w:szCs w:val="24"/>
        </w:rPr>
        <w:t xml:space="preserve">NET visual-ability ratings are internally consistent across the 879 O</w:t>
      </w:r>
      <w:r>
        <w:rPr>
          <w:rFonts w:ascii="Times New Roman" w:cs="Times New Roman" w:eastAsia="Times New Roman" w:hAnsi="Times New Roman"/>
          <w:sz w:val="24"/>
          <w:szCs w:val="24"/>
        </w:rPr>
        <w:t xml:space="preserve">NET-SOC occupations with ratings (Cronbach’s α = 0.88), and the composite ranks occupations plausibly: airline pilots, commercial pilots, locomotive engineers, and bus drivers score highest, while telemarketers, credit counselors, and door-to-door sales workers score lowest. The composite covers 763 six-digit SOC occupations.</w:t>
      </w:r>
    </w:p>
    <w:p>
      <w:pPr>
        <w:spacing w:after="0" w:line="480" w:lineRule="auto"/>
        <w:ind w:firstLine="720"/>
        <w:jc w:val="left"/>
      </w:pPr>
      <w:r>
        <w:rPr>
          <w:rFonts w:ascii="Times New Roman" w:cs="Times New Roman" w:eastAsia="Times New Roman" w:hAnsi="Times New Roman"/>
          <w:sz w:val="24"/>
          <w:szCs w:val="24"/>
        </w:rPr>
        <w:t xml:space="preserve">We also compared the measures against human judgment. One coder rated a random sample of 200 O*NET task statements (0 = not dependent on visual perception, 1 = secondary, 2 = central). The human task rating correlates positively with the primary occupational measure (Spearman ρ = 0.43, n = 188 tasks with a matched occupation rating, 95% bootstrap interval 0.31 to 0.54), and mean occupational visual intensity rises monotonically across human ratings (0.27, 0.32, and 0.36 for ratings of 0, 1, and 2). The correlation is moderate rather than high, and it is bounded from above because the human rating is at the task level while the primary measure is at the occupation level.</w:t>
      </w:r>
    </w:p>
    <w:p>
      <w:pPr>
        <w:spacing w:after="0" w:line="480" w:lineRule="auto"/>
        <w:ind w:firstLine="720"/>
        <w:jc w:val="left"/>
      </w:pPr>
      <w:r>
        <w:rPr>
          <w:rFonts w:ascii="Times New Roman" w:cs="Times New Roman" w:eastAsia="Times New Roman" w:hAnsi="Times New Roman"/>
          <w:sz w:val="24"/>
          <w:szCs w:val="24"/>
        </w:rPr>
        <w:t xml:space="preserve">The LLM-based task classification agreed only weakly with the human ratings on exact categories (Cohen’s κ between 0.19 and 0.23 for two models on 200 tasks; Spearman ρ with the human rating about 0.40), and a held-out test of a revised rubric with examples did not improve agreement (κ between 0.04 and 0.10 on the 100 held-out tasks). Because only one human coder was used, we cannot separate model error from disagreement among humans. For these reasons the LLM classification is used only as a secondary measure and as a robustness check, and a second human coder is planned to estimate inter-rater reliability.</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Effects of Adoption (H1, H2, H4)</w:t>
      </w:r>
    </w:p>
    <w:p>
      <w:pPr>
        <w:spacing w:after="0" w:line="480" w:lineRule="auto"/>
        <w:ind w:firstLine="720"/>
        <w:jc w:val="left"/>
      </w:pPr>
      <w:r>
        <w:rPr>
          <w:rFonts w:ascii="Times New Roman" w:cs="Times New Roman" w:eastAsia="Times New Roman" w:hAnsi="Times New Roman"/>
          <w:sz w:val="24"/>
          <w:szCs w:val="24"/>
        </w:rPr>
        <w:t xml:space="preserve">Adoption timing varies across firms, so we estimate a staggered difference-in-differences design. Because two-way fixed-effects estimates are biased under heterogeneous treatment timing, we use the Callaway and Sant’Anna (2021) estimator with not-yet-treated firms as controls. The dynamic specification is:</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Y_ft = α_f + λ_jt + Σ_k β_k · 1[t − E_f = k] + X′_ft γ + ε_ft</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Y_ft</w:t>
      </w:r>
      <w:r>
        <w:rPr>
          <w:rFonts w:ascii="Times New Roman" w:cs="Times New Roman" w:eastAsia="Times New Roman" w:hAnsi="Times New Roman"/>
          <w:sz w:val="24"/>
          <w:szCs w:val="24"/>
        </w:rPr>
        <w:t xml:space="preserve"> is an outcome for firm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in quarter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E_f</w:t>
      </w:r>
      <w:r>
        <w:rPr>
          <w:rFonts w:ascii="Times New Roman" w:cs="Times New Roman" w:eastAsia="Times New Roman" w:hAnsi="Times New Roman"/>
          <w:sz w:val="24"/>
          <w:szCs w:val="24"/>
        </w:rPr>
        <w:t xml:space="preserve"> is the adoption quarter, </w:t>
      </w:r>
      <w:r>
        <w:rPr>
          <w:rFonts w:ascii="Times New Roman" w:cs="Times New Roman" w:eastAsia="Times New Roman" w:hAnsi="Times New Roman"/>
          <w:i/>
          <w:iCs/>
          <w:sz w:val="24"/>
          <w:szCs w:val="24"/>
        </w:rPr>
        <w:t xml:space="preserve">α_f</w:t>
      </w:r>
      <w:r>
        <w:rPr>
          <w:rFonts w:ascii="Times New Roman" w:cs="Times New Roman" w:eastAsia="Times New Roman" w:hAnsi="Times New Roman"/>
          <w:sz w:val="24"/>
          <w:szCs w:val="24"/>
        </w:rPr>
        <w:t xml:space="preserve"> are firm fixed effects, and </w:t>
      </w:r>
      <w:r>
        <w:rPr>
          <w:rFonts w:ascii="Times New Roman" w:cs="Times New Roman" w:eastAsia="Times New Roman" w:hAnsi="Times New Roman"/>
          <w:i/>
          <w:iCs/>
          <w:sz w:val="24"/>
          <w:szCs w:val="24"/>
        </w:rPr>
        <w:t xml:space="preserve">λ_jt</w:t>
      </w:r>
      <w:r>
        <w:rPr>
          <w:rFonts w:ascii="Times New Roman" w:cs="Times New Roman" w:eastAsia="Times New Roman" w:hAnsi="Times New Roman"/>
          <w:sz w:val="24"/>
          <w:szCs w:val="24"/>
        </w:rPr>
        <w:t xml:space="preserve"> are industry-by-quarter fixed effects. H1 predicts negative post-adoption coefficients </w:t>
      </w:r>
      <w:r>
        <w:rPr>
          <w:rFonts w:ascii="Times New Roman" w:cs="Times New Roman" w:eastAsia="Times New Roman" w:hAnsi="Times New Roman"/>
          <w:i/>
          <w:iCs/>
          <w:sz w:val="24"/>
          <w:szCs w:val="24"/>
        </w:rPr>
        <w:t xml:space="preserve">β_k</w:t>
      </w:r>
      <w:r>
        <w:rPr>
          <w:rFonts w:ascii="Times New Roman" w:cs="Times New Roman" w:eastAsia="Times New Roman" w:hAnsi="Times New Roman"/>
          <w:sz w:val="24"/>
          <w:szCs w:val="24"/>
        </w:rPr>
        <w:t xml:space="preserve"> for postings in high-visual-intensity occupations, and H4 predicts positive coefficients for the share of postings requiring judgment, monitoring, or integration skills. For H2 we estimate group-time effects separately by terciles of pre-period task scale and test whether effects increase with scale.</w:t>
      </w:r>
    </w:p>
    <w:p>
      <w:pPr>
        <w:pStyle w:val="Heading2"/>
        <w:keepNext/>
        <w:spacing w:after="120" w:before="240" w:line="240" w:lineRule="auto"/>
      </w:pPr>
      <w:r>
        <w:rPr>
          <w:rFonts w:ascii="Times New Roman" w:cs="Times New Roman" w:eastAsia="Times New Roman" w:hAnsi="Times New Roman"/>
          <w:b/>
          <w:bCs/>
          <w:sz w:val="24"/>
          <w:szCs w:val="24"/>
        </w:rPr>
        <w:t xml:space="preserve">5.2 Foundation Models and the Break-Even Scale (H3)</w:t>
      </w:r>
    </w:p>
    <w:p>
      <w:pPr>
        <w:spacing w:after="0" w:line="480" w:lineRule="auto"/>
        <w:ind w:firstLine="720"/>
        <w:jc w:val="left"/>
      </w:pPr>
      <w:r>
        <w:rPr>
          <w:rFonts w:ascii="Times New Roman" w:cs="Times New Roman" w:eastAsia="Times New Roman" w:hAnsi="Times New Roman"/>
          <w:sz w:val="24"/>
          <w:szCs w:val="24"/>
        </w:rPr>
        <w:t xml:space="preserve">Adoption is itself endogenous, so for H3 we exploit the release of general-purpose vision foundation models as a common shock whose bite varies with firms’ pre-period visual exposure. Our primary shock date is 2023Q2, when promptable segmentation and vision-language models became broadly available; we use the 2021 release of contrastive image-text models as an alternative date. The event-study specification, estimated separately by firm size class, is:</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Adopt_ft = α_f + λ_jt + Σ_k δ_k (VisExp_f × 1[t = k]) + Σ_k ψ_k (LangExp_f × 1[t = k]) + ε_ft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H3 predicts that post-shock coefficients </w:t>
      </w:r>
      <w:r>
        <w:rPr>
          <w:rFonts w:ascii="Times New Roman" w:cs="Times New Roman" w:eastAsia="Times New Roman" w:hAnsi="Times New Roman"/>
          <w:i/>
          <w:iCs/>
          <w:sz w:val="24"/>
          <w:szCs w:val="24"/>
        </w:rPr>
        <w:t xml:space="preserve">δ_k</w:t>
      </w:r>
      <w:r>
        <w:rPr>
          <w:rFonts w:ascii="Times New Roman" w:cs="Times New Roman" w:eastAsia="Times New Roman" w:hAnsi="Times New Roman"/>
          <w:sz w:val="24"/>
          <w:szCs w:val="24"/>
        </w:rPr>
        <w:t xml:space="preserve"> are positive and larger for smaller firms. Pre-shock coefficients provide a test of parallel trends. Interacting </w:t>
      </w:r>
      <w:r>
        <w:rPr>
          <w:rFonts w:ascii="Times New Roman" w:cs="Times New Roman" w:eastAsia="Times New Roman" w:hAnsi="Times New Roman"/>
          <w:i/>
          <w:iCs/>
          <w:sz w:val="24"/>
          <w:szCs w:val="24"/>
        </w:rPr>
        <w:t xml:space="preserve">LangExp_f</w:t>
      </w:r>
      <w:r>
        <w:rPr>
          <w:rFonts w:ascii="Times New Roman" w:cs="Times New Roman" w:eastAsia="Times New Roman" w:hAnsi="Times New Roman"/>
          <w:sz w:val="24"/>
          <w:szCs w:val="24"/>
        </w:rPr>
        <w:t xml:space="preserve"> with time absorbs the concurrent language-model shock.</w:t>
      </w:r>
    </w:p>
    <w:p>
      <w:pPr>
        <w:pStyle w:val="Heading2"/>
        <w:keepNext/>
        <w:spacing w:after="120" w:before="240" w:line="240" w:lineRule="auto"/>
      </w:pPr>
      <w:r>
        <w:rPr>
          <w:rFonts w:ascii="Times New Roman" w:cs="Times New Roman" w:eastAsia="Times New Roman" w:hAnsi="Times New Roman"/>
          <w:b/>
          <w:bCs/>
          <w:sz w:val="24"/>
          <w:szCs w:val="24"/>
        </w:rPr>
        <w:t xml:space="preserve">5.3 Identification Threats and Robustness</w:t>
      </w:r>
    </w:p>
    <w:p>
      <w:pPr>
        <w:spacing w:after="0" w:line="480" w:lineRule="auto"/>
        <w:ind w:firstLine="720"/>
        <w:jc w:val="left"/>
      </w:pPr>
      <w:r>
        <w:rPr>
          <w:rFonts w:ascii="Times New Roman" w:cs="Times New Roman" w:eastAsia="Times New Roman" w:hAnsi="Times New Roman"/>
          <w:b/>
          <w:bCs/>
          <w:sz w:val="24"/>
          <w:szCs w:val="24"/>
        </w:rPr>
        <w:t xml:space="preserve">Concurrent LLM shock.</w:t>
      </w:r>
      <w:r>
        <w:rPr>
          <w:rFonts w:ascii="Times New Roman" w:cs="Times New Roman" w:eastAsia="Times New Roman" w:hAnsi="Times New Roman"/>
          <w:sz w:val="24"/>
          <w:szCs w:val="24"/>
        </w:rPr>
        <w:t xml:space="preserve"> Vision foundation models diffused alongside LLMs. Beyond the language-exposure control, we compare occupations with similar language exposure but different visual intensity.</w:t>
      </w:r>
    </w:p>
    <w:p>
      <w:pPr>
        <w:spacing w:after="0" w:line="480" w:lineRule="auto"/>
        <w:ind w:firstLine="720"/>
        <w:jc w:val="left"/>
      </w:pPr>
      <w:r>
        <w:rPr>
          <w:rFonts w:ascii="Times New Roman" w:cs="Times New Roman" w:eastAsia="Times New Roman" w:hAnsi="Times New Roman"/>
          <w:b/>
          <w:bCs/>
          <w:sz w:val="24"/>
          <w:szCs w:val="24"/>
        </w:rPr>
        <w:t xml:space="preserve">Postings measure intent, not use.</w:t>
      </w:r>
      <w:r>
        <w:rPr>
          <w:rFonts w:ascii="Times New Roman" w:cs="Times New Roman" w:eastAsia="Times New Roman" w:hAnsi="Times New Roman"/>
          <w:sz w:val="24"/>
          <w:szCs w:val="24"/>
        </w:rPr>
        <w:t xml:space="preserve"> Hiring vision talent may lag or lead deployment, and firms may buy vision systems from vendors without hiring. We validate the adoption measure against vision-related patents and, where available, public disclosures. Vendor-based adoption is not observed in postings and biases estimates toward zero.</w:t>
      </w:r>
    </w:p>
    <w:p>
      <w:pPr>
        <w:spacing w:after="0" w:line="480" w:lineRule="auto"/>
        <w:ind w:firstLine="720"/>
        <w:jc w:val="left"/>
      </w:pPr>
      <w:r>
        <w:rPr>
          <w:rFonts w:ascii="Times New Roman" w:cs="Times New Roman" w:eastAsia="Times New Roman" w:hAnsi="Times New Roman"/>
          <w:b/>
          <w:bCs/>
          <w:sz w:val="24"/>
          <w:szCs w:val="24"/>
        </w:rPr>
        <w:t xml:space="preserve">Coverage bias.</w:t>
      </w:r>
      <w:r>
        <w:rPr>
          <w:rFonts w:ascii="Times New Roman" w:cs="Times New Roman" w:eastAsia="Times New Roman" w:hAnsi="Times New Roman"/>
          <w:sz w:val="24"/>
          <w:szCs w:val="24"/>
        </w:rPr>
        <w:t xml:space="preserve"> Online postings over-represent professional occupations. We reweight to occupational employment shares from the BLS Occupational Employment and Wage Statistics (OES) and report results by industry.</w:t>
      </w:r>
    </w:p>
    <w:p>
      <w:pPr>
        <w:spacing w:after="0" w:line="480" w:lineRule="auto"/>
        <w:ind w:firstLine="720"/>
        <w:jc w:val="left"/>
      </w:pPr>
      <w:r>
        <w:rPr>
          <w:rFonts w:ascii="Times New Roman" w:cs="Times New Roman" w:eastAsia="Times New Roman" w:hAnsi="Times New Roman"/>
          <w:b/>
          <w:bCs/>
          <w:sz w:val="24"/>
          <w:szCs w:val="24"/>
        </w:rPr>
        <w:t xml:space="preserve">Selection into adoption.</w:t>
      </w:r>
      <w:r>
        <w:rPr>
          <w:rFonts w:ascii="Times New Roman" w:cs="Times New Roman" w:eastAsia="Times New Roman" w:hAnsi="Times New Roman"/>
          <w:sz w:val="24"/>
          <w:szCs w:val="24"/>
        </w:rPr>
        <w:t xml:space="preserve"> We use pre-trend tests, matching on pre-period characteristics, and HonestDiD sensitivity bounds (Rambachan and Roth 2023).</w:t>
      </w:r>
    </w:p>
    <w:p>
      <w:pPr>
        <w:spacing w:after="0" w:line="480" w:lineRule="auto"/>
        <w:ind w:firstLine="720"/>
        <w:jc w:val="left"/>
      </w:pPr>
      <w:r>
        <w:rPr>
          <w:rFonts w:ascii="Times New Roman" w:cs="Times New Roman" w:eastAsia="Times New Roman" w:hAnsi="Times New Roman"/>
          <w:b/>
          <w:bCs/>
          <w:sz w:val="24"/>
          <w:szCs w:val="24"/>
        </w:rPr>
        <w:t xml:space="preserve">Measurement of visual intensity.</w:t>
      </w:r>
      <w:r>
        <w:rPr>
          <w:rFonts w:ascii="Times New Roman" w:cs="Times New Roman" w:eastAsia="Times New Roman" w:hAnsi="Times New Roman"/>
          <w:sz w:val="24"/>
          <w:szCs w:val="24"/>
        </w:rPr>
        <w:t xml:space="preserve"> Results are reported for the primary O*NET Abilities measure and for the secondary LLM-based task share. We report inter-rater agreement once a second human coder is available and show robustness to alternative exposure measures (for example, Webb 2020; Felten et al. 2021).</w:t>
      </w:r>
    </w:p>
    <w:p>
      <w:pPr>
        <w:pStyle w:val="Heading1"/>
        <w:keepNext/>
        <w:spacing w:after="120" w:before="360" w:line="240" w:lineRule="auto"/>
      </w:pPr>
      <w:r>
        <w:rPr>
          <w:rFonts w:ascii="Times New Roman" w:cs="Times New Roman" w:eastAsia="Times New Roman" w:hAnsi="Times New Roman"/>
          <w:b/>
          <w:bCs/>
          <w:caps/>
          <w:sz w:val="24"/>
          <w:szCs w:val="24"/>
        </w:rPr>
        <w:t xml:space="preserve">6. Pre-Specified Analyses and Results</w:t>
      </w:r>
    </w:p>
    <w:p>
      <w:pPr>
        <w:spacing w:after="0" w:line="480" w:lineRule="auto"/>
        <w:ind w:firstLine="720"/>
        <w:jc w:val="left"/>
      </w:pPr>
      <w:r>
        <w:rPr>
          <w:rFonts w:ascii="Times New Roman" w:cs="Times New Roman" w:eastAsia="Times New Roman" w:hAnsi="Times New Roman"/>
          <w:sz w:val="24"/>
          <w:szCs w:val="24"/>
        </w:rPr>
        <w:t xml:space="preserve">No estimation has been conducted. This section fixes the tables and figures that will report the tests of H1–H4 and states in advance how each hypothesis will be judged, so that the analysis is committed to before outcomes are seen. All cells are placeholders.</w:t>
      </w:r>
    </w:p>
    <w:p>
      <w:pPr>
        <w:pStyle w:val="Heading2"/>
        <w:keepNext/>
        <w:spacing w:after="120" w:before="240" w:line="240" w:lineRule="auto"/>
      </w:pPr>
      <w:r>
        <w:rPr>
          <w:rFonts w:ascii="Times New Roman" w:cs="Times New Roman" w:eastAsia="Times New Roman" w:hAnsi="Times New Roman"/>
          <w:b/>
          <w:bCs/>
          <w:sz w:val="24"/>
          <w:szCs w:val="24"/>
        </w:rPr>
        <w:t xml:space="preserve">6.1 Descriptive Statistics and Measurement Validation</w:t>
      </w:r>
    </w:p>
    <w:p>
      <w:pPr>
        <w:spacing w:after="0" w:line="480" w:lineRule="auto"/>
        <w:ind w:firstLine="720"/>
        <w:jc w:val="left"/>
      </w:pPr>
      <w:r>
        <w:rPr>
          <w:rFonts w:ascii="Times New Roman" w:cs="Times New Roman" w:eastAsia="Times New Roman" w:hAnsi="Times New Roman"/>
          <w:sz w:val="24"/>
          <w:szCs w:val="24"/>
        </w:rPr>
        <w:t xml:space="preserve">We will report sample construction (employers, postings, firm-quarters), the distribution of adoption quarters, and summary statistics for visual intensity, </w:t>
      </w:r>
      <w:r>
        <w:rPr>
          <w:rFonts w:ascii="Times New Roman" w:cs="Times New Roman" w:eastAsia="Times New Roman" w:hAnsi="Times New Roman"/>
          <w:i/>
          <w:iCs/>
          <w:sz w:val="24"/>
          <w:szCs w:val="24"/>
        </w:rPr>
        <w:t xml:space="preserve">VisExp</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LangExp</w:t>
      </w:r>
      <w:r>
        <w:rPr>
          <w:rFonts w:ascii="Times New Roman" w:cs="Times New Roman" w:eastAsia="Times New Roman" w:hAnsi="Times New Roman"/>
          <w:sz w:val="24"/>
          <w:szCs w:val="24"/>
        </w:rPr>
        <w:t xml:space="preserve">. Validation of the visual-intensity measure is reported in Section 4.3; the correlation of the adoption measure with vision-related patenting remains to be reported.</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Summary statistics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SD</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P25</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P75</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high-visual-intensity occupations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postings requiring judgment/monitoring/integration skills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visual exposure (VisExp)</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language exposure (LangExp)</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Pre-period task scale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line="240" w:lineRule="auto"/>
      </w:pPr>
      <w:r>
        <w:rPr>
          <w:rFonts w:ascii="Times New Roman" w:cs="Times New Roman" w:eastAsia="Times New Roman" w:hAnsi="Times New Roman"/>
        </w:rPr>
        <w:t xml:space="preserve"/>
      </w:r>
    </w:p>
    <w:p>
      <w:pPr>
        <w:pStyle w:val="Heading2"/>
        <w:keepNext/>
        <w:spacing w:after="120" w:before="240" w:line="240" w:lineRule="auto"/>
      </w:pPr>
      <w:r>
        <w:rPr>
          <w:rFonts w:ascii="Times New Roman" w:cs="Times New Roman" w:eastAsia="Times New Roman" w:hAnsi="Times New Roman"/>
          <w:b/>
          <w:bCs/>
          <w:sz w:val="24"/>
          <w:szCs w:val="24"/>
        </w:rPr>
        <w:t xml:space="preserve">6.2 Effects of Adoption on Vision-Intensive Demand and Complements (H1, H2, H4)</w:t>
      </w:r>
    </w:p>
    <w:p>
      <w:pPr>
        <w:spacing w:after="0" w:line="480" w:lineRule="auto"/>
        <w:ind w:firstLine="720"/>
        <w:jc w:val="left"/>
      </w:pPr>
      <w:r>
        <w:rPr>
          <w:rFonts w:ascii="Times New Roman" w:cs="Times New Roman" w:eastAsia="Times New Roman" w:hAnsi="Times New Roman"/>
          <w:sz w:val="24"/>
          <w:szCs w:val="24"/>
        </w:rPr>
        <w:t xml:space="preserve">We will estimate equation (2) with the Callaway and Sant’Anna (2021) estimator and report the aggregate average treatment effect on the treated and event-time coefficients. H1 is supported if post-adoption effects on postings in high-visual-intensity occupations are negative and statistically distinguishable from zero with flat pre-trends. H2 is supported if effects are monotonically larger in magnitude across terciles of task scale and a test of equality across terciles rejects. H4 is supported if the share of postings requiring judgment, monitoring, or integration skills rises after adoption.</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Staggered difference-in-differences estimates of adoption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Outcome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ATT (all)</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scale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Mid scale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scale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high-visual-intensity occupations (H1, H2)</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 share, high-visual-intensity occupations (H1, H2)</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judgment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monitoring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systems-integration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Posted wages (where available)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Cells to be populated with point estimates and clustered standard errors. Controls: firm and industry-by-quarter fixed effects; not-yet-treated comparison group.</w:t>
      </w:r>
    </w:p>
    <w:p>
      <w:pPr>
        <w:pStyle w:val="Heading2"/>
        <w:keepNext/>
        <w:spacing w:after="120" w:before="240" w:line="240" w:lineRule="auto"/>
      </w:pPr>
      <w:r>
        <w:rPr>
          <w:rFonts w:ascii="Times New Roman" w:cs="Times New Roman" w:eastAsia="Times New Roman" w:hAnsi="Times New Roman"/>
          <w:b/>
          <w:bCs/>
          <w:sz w:val="24"/>
          <w:szCs w:val="24"/>
        </w:rPr>
        <w:t xml:space="preserve">6.3 Foundation Models and the Break-Even Scale (H3)</w:t>
      </w:r>
    </w:p>
    <w:p>
      <w:pPr>
        <w:spacing w:after="0" w:line="480" w:lineRule="auto"/>
        <w:ind w:firstLine="720"/>
        <w:jc w:val="left"/>
      </w:pPr>
      <w:r>
        <w:rPr>
          <w:rFonts w:ascii="Times New Roman" w:cs="Times New Roman" w:eastAsia="Times New Roman" w:hAnsi="Times New Roman"/>
          <w:sz w:val="24"/>
          <w:szCs w:val="24"/>
        </w:rPr>
        <w:t xml:space="preserve">We will estimate equation (3) separately by firm size class and plot </w:t>
      </w:r>
      <w:r>
        <w:rPr>
          <w:rFonts w:ascii="Times New Roman" w:cs="Times New Roman" w:eastAsia="Times New Roman" w:hAnsi="Times New Roman"/>
          <w:i/>
          <w:iCs/>
          <w:sz w:val="24"/>
          <w:szCs w:val="24"/>
        </w:rPr>
        <w:t xml:space="preserve">δ_k</w:t>
      </w:r>
      <w:r>
        <w:rPr>
          <w:rFonts w:ascii="Times New Roman" w:cs="Times New Roman" w:eastAsia="Times New Roman" w:hAnsi="Times New Roman"/>
          <w:sz w:val="24"/>
          <w:szCs w:val="24"/>
        </w:rPr>
        <w:t xml:space="preserve"> with confidence intervals. H3 is supported if pre-shock coefficients are statistically indistinguishable from zero and post-shock coefficients are positive and larger for smaller size classes, both for the 2023Q2 date and for the 2021 alternative date.</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Event-study estimates around foundation-model release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Firm size class</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Pre-shock joint test (p)</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 post δ (2023Q2)</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 post δ (2021 alt.)</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N firms</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Small</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Medium</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Large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line="240" w:lineRule="auto"/>
      </w:pPr>
      <w:r>
        <w:rPr>
          <w:rFonts w:ascii="Times New Roman" w:cs="Times New Roman" w:eastAsia="Times New Roman" w:hAnsi="Times New Roman"/>
        </w:rPr>
        <w:t xml:space="preserve"/>
      </w:r>
    </w:p>
    <w:p>
      <w:pPr>
        <w:pStyle w:val="Heading2"/>
        <w:keepNext/>
        <w:spacing w:after="120" w:before="240" w:line="240" w:lineRule="auto"/>
      </w:pPr>
      <w:r>
        <w:rPr>
          <w:rFonts w:ascii="Times New Roman" w:cs="Times New Roman" w:eastAsia="Times New Roman" w:hAnsi="Times New Roman"/>
          <w:b/>
          <w:bCs/>
          <w:sz w:val="24"/>
          <w:szCs w:val="24"/>
        </w:rPr>
        <w:t xml:space="preserve">6.4 Robustness</w:t>
      </w:r>
    </w:p>
    <w:p>
      <w:pPr>
        <w:spacing w:after="0" w:line="480" w:lineRule="auto"/>
        <w:ind w:firstLine="720"/>
        <w:jc w:val="left"/>
      </w:pPr>
      <w:r>
        <w:rPr>
          <w:rFonts w:ascii="Times New Roman" w:cs="Times New Roman" w:eastAsia="Times New Roman" w:hAnsi="Times New Roman"/>
          <w:sz w:val="24"/>
          <w:szCs w:val="24"/>
        </w:rPr>
        <w:t xml:space="preserve">We will report: alternative adoption thresholds and skill lists; HonestDiD bounds on post-treatment effects; matched-sample estimates; BLS OES reweighting; results by industry; comparison of occupations with similar language exposure but different visual intensity; and alternative exposure measures (Webb 2020; Felten et al. 2021). Support for a hypothesis will require that the sign of the main estimate survive the HonestDiD bounds at a stated degree of parallel-trend violation.</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study is designed to make three contributions. By testing a break-even prediction with observed adoption, it shifts evidence on AI and work from what the technology can do to what firms find worthwhile to automate. By tracing which skills rise alongside vision adoption, it informs the IT business value literature on the complementary assets through which AI creates value. By comparing adoption before and after foundation models across firm sizes, it provides evidence on how a platform-like AI layer redistributes access to AI capabilities. Which of these contributions is realized depends on the estimates, and the discussion will be written accordingly once results are available.</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If H3 holds, policy and managerial attention to AI and work should shift from whether a technology can perform a task to who bears its fixed cost and how that cost is shared; displacement risk would then rise for smaller employers as platforms lower the threshold. If H2 holds but H3 does not, labor effects of vision remain concentrated in large, high-volume employers regardless of model availability. If H4 holds, managers should expect adoption to shift hiring toward judgment, monitoring, and integration skills.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Postings measure hiring intent rather than deployment, and vendor-supplied systems are invisible to our adoption measure, which biases estimates toward zero. Postings over-represent professional occupations despite reweighting. The adoption event is a choice, so staggered difference-in-differences identifies causal effects only under parallel-trend assumptions that we probe but cannot prove; the foundation-model shock is common to all firms and relies on cross-sectional variation in exposure. The primary visual-intensity measure is a composite of analyst ratings of visual abilities. It captures how much an occupation requires vision, not whether the visual tasks can be automated, and its correlation with human task ratings is moderate (Section 4.3). The secondary LLM-based classification depends on prompt and model choices and agreed only weakly with a single human coder. Finally, the break-even model is a stylized single-task model, and multi-task bundling of automation costs is left for future work.</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Exposure shows what AI could do; fixed costs determine what firms do. By modeling vision automation as a break-even problem and testing it in firm-level hiring data around the arrival of vision foundation models, this paper aims to show whether the diffusion of AI vision is governed by scale economics, and whether platform-like AI infrastructure lowers the scale at which adoption pays.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Callaway, B., and Sant’Anna, P. H. C. 2021. Difference-in-differences with multiple time periods.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225(2):200–230.†</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Rambachan, A., and Roth, J. 2023. A more credible approach to parallel trends. </w:t>
      </w:r>
      <w:r>
        <w:rPr>
          <w:rFonts w:ascii="Times New Roman" w:cs="Times New Roman" w:eastAsia="Times New Roman" w:hAnsi="Times New Roman"/>
          <w:i/>
          <w:iCs/>
          <w:sz w:val="24"/>
          <w:szCs w:val="24"/>
        </w:rPr>
        <w:t xml:space="preserve">Review of Economic Studies</w:t>
      </w:r>
      <w:r>
        <w:rPr>
          <w:rFonts w:ascii="Times New Roman" w:cs="Times New Roman" w:eastAsia="Times New Roman" w:hAnsi="Times New Roman"/>
          <w:sz w:val="24"/>
          <w:szCs w:val="24"/>
        </w:rPr>
        <w:t xml:space="preserve"> 90(5):2555–2591.†</w:t>
      </w:r>
    </w:p>
    <w:p>
      <w:pPr>
        <w:spacing w:after="120" w:line="240" w:lineRule="auto"/>
        <w:ind w:left="720" w:hanging="720"/>
      </w:pPr>
      <w:r>
        <w:rPr>
          <w:rFonts w:ascii="Times New Roman" w:cs="Times New Roman" w:eastAsia="Times New Roman" w:hAnsi="Times New Roman"/>
          <w:sz w:val="24"/>
          <w:szCs w:val="24"/>
        </w:rPr>
        <w:t xml:space="preserve">Svanberg, M., Li, W., Fleming, M., Goehring, B., and Thompson, N. 2024. Beyond AI exposure: Which tasks are cost-effective to automate with computer vision? MIT FutureTech working paper, SSRN.</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the research proposal without independent verification; to be checked before submission. Lightcast skill names must be checked against the current Lightcast Open Skills taxonomy.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2026-10-04T05:06:07.030Z</dcterms:created>
  <dcterms:modified xsi:type="dcterms:W3CDTF">2026-10-04T05:06:07.030Z</dcterms:modified>
</cp:coreProperties>
</file>

<file path=docProps/custom.xml><?xml version="1.0" encoding="utf-8"?>
<Properties xmlns="http://schemas.openxmlformats.org/officeDocument/2006/custom-properties" xmlns:vt="http://schemas.openxmlformats.org/officeDocument/2006/docPropsVTypes"/>
</file>