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Berente et al. (2021) frame the management of AI around three facets, autonomy, learning, and inscrutability, and note that oversight and augmentation are proposed responses to problems that arise when AI generates its own knowledge; they do not address how to size or target such oversight.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Explanations can reduce overreliance when they are cheap to check (Vasconcelos et al. 2023). A recent economic analysis frames the effects of AI progress as a race between cheap automation and costly human verification (Catalini et al. 2026).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Berente N, Gu B, Recker J, Santhanam R (2021) Managing artificial intelligence.</w:t>
      </w:r>
      <w:r>
        <w:t xml:space="preserve"> </w:t>
      </w:r>
      <w:r>
        <w:rPr>
          <w:iCs/>
          <w:i/>
        </w:rPr>
        <w:t xml:space="preserve">MIS Quart.</w:t>
      </w:r>
      <w:r>
        <w:t xml:space="preserve"> </w:t>
      </w:r>
      <w:r>
        <w:t xml:space="preserve">45(3):1433–1450.</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Goyal N, Wu ST, Zhao C, Feng S, Daumé H III, Boyd-Graber J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L, Meng R, Joty S, Zhou Y, Yavuz S (2025) Investigating factuality in long-form text generation: The roles of self-known and self-unknown.</w:t>
      </w:r>
      <w:r>
        <w:t xml:space="preserve"> </w:t>
      </w:r>
      <w:r>
        <w:rPr>
          <w:iCs/>
          <w:i/>
        </w:rPr>
        <w:t xml:space="preserve">Proc. UncertaiNLP Workshop 2025</w:t>
      </w:r>
      <w:r>
        <w:t xml:space="preserve">. arXiv:2411.15993.</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Yang C, Song X, Lu Y, Hu N, Huang J, Tran D, Peng D, Liu R, Huang D, Du C, Le QV (2024) Long-form factuality in large language models.</w:t>
      </w:r>
      <w:r>
        <w:t xml:space="preserve"> </w:t>
      </w:r>
      <w:r>
        <w:rPr>
          <w:iCs/>
          <w:i/>
        </w:rPr>
        <w:t xml:space="preserve">Adv. Neural Inform. Processing Systems</w:t>
      </w:r>
      <w:r>
        <w:t xml:space="preserve">, vol. 37. arXiv:2403.18802.</w:t>
      </w:r>
    </w:p>
    <w:p>
      <w:pPr>
        <w:pStyle w:val="BodyText"/>
      </w:pPr>
      <w:r>
        <w:t xml:space="preserve">Yang J, Yoon S, Chang H, Kim B, Lee H (2025) Hallucinate at the last in long response generation: A case study on long document summarization. Preprint, arXiv:2505.15291.</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2026-10-28T14:02:04Z</dcterms:created>
  <dcterms:modified xsi:type="dcterms:W3CDTF">2026-10-28T14:02:04Z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