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0"/>
          <w:szCs w:val="30"/>
        </w:rPr>
        <w:t xml:space="preserve">Do influencers pay? Engagement elasticity, decision metrics, and agent timing in simulation-based pre-testing of seeding strategies</w:t>
      </w:r>
    </w:p>
    <w:p>
      <w:pPr>
        <w:spacing w:after="160" w:line="360"/>
        <w:jc w:val="center"/>
      </w:pPr>
      <w:r>
        <w:rPr>
          <w:rFonts w:ascii="Times New Roman" w:cs="Times New Roman" w:eastAsia="Times New Roman" w:hAnsi="Times New Roman"/>
          <w:shd w:fill="FFFF00" w:color="auto" w:val="clear"/>
        </w:rPr>
        <w:t xml:space="preserve">Author information removed for anonymous review.</w:t>
      </w:r>
    </w:p>
    <w:p>
      <w:pPr>
        <w:pStyle w:val="Heading1"/>
        <w:spacing w:after="160" w:before="320"/>
      </w:pPr>
      <w:r>
        <w:rPr>
          <w:rFonts w:ascii="Times New Roman" w:cs="Times New Roman" w:eastAsia="Times New Roman" w:hAnsi="Times New Roman"/>
          <w:b/>
          <w:bCs/>
          <w:color w:val="000000"/>
          <w:sz w:val="26"/>
          <w:szCs w:val="26"/>
        </w:rPr>
        <w:t xml:space="preserve">Highlights</w:t>
      </w:r>
    </w:p>
    <w:p>
      <w:pPr>
        <w:spacing w:after="160" w:line="360"/>
        <w:jc w:val="left"/>
      </w:pPr>
      <w:r>
        <w:rPr>
          <w:rFonts w:ascii="Times New Roman" w:cs="Times New Roman" w:eastAsia="Times New Roman" w:hAnsi="Times New Roman"/>
        </w:rPr>
        <w:t xml:space="preserve">Relative speed metrics such as t50 can reverse the apparent seeding trade-off</w:t>
      </w:r>
    </w:p>
    <w:p>
      <w:pPr>
        <w:spacing w:after="160" w:line="360"/>
        <w:jc w:val="left"/>
      </w:pPr>
      <w:r>
        <w:rPr>
          <w:rFonts w:ascii="Times New Roman" w:cs="Times New Roman" w:eastAsia="Times New Roman" w:hAnsi="Times New Roman"/>
        </w:rPr>
        <w:t xml:space="preserve">Without engagement decay, influencer seeding led at every hour and every quantile</w:t>
      </w:r>
    </w:p>
    <w:p>
      <w:pPr>
        <w:spacing w:after="160" w:line="360"/>
        <w:jc w:val="left"/>
      </w:pPr>
      <w:r>
        <w:rPr>
          <w:rFonts w:ascii="Times New Roman" w:cs="Times New Roman" w:eastAsia="Times New Roman" w:hAnsi="Times New Roman"/>
        </w:rPr>
        <w:t xml:space="preserve">A modest size-elasticity of engagement (β ≈ 0.1–0.3) reverses the ranking</w:t>
      </w:r>
    </w:p>
    <w:p>
      <w:pPr>
        <w:spacing w:after="160" w:line="360"/>
        <w:jc w:val="left"/>
      </w:pPr>
      <w:r>
        <w:rPr>
          <w:rFonts w:ascii="Times New Roman" w:cs="Times New Roman" w:eastAsia="Times New Roman" w:hAnsi="Times New Roman"/>
        </w:rPr>
        <w:t xml:space="preserve">Polling and circadian-only schedulers roughly doubled the simulated trade-off</w:t>
      </w:r>
    </w:p>
    <w:p>
      <w:pPr>
        <w:spacing w:after="160" w:line="360"/>
        <w:jc w:val="left"/>
      </w:pPr>
      <w:r>
        <w:rPr>
          <w:rFonts w:ascii="Times New Roman" w:cs="Times New Roman" w:eastAsia="Times New Roman" w:hAnsi="Times New Roman"/>
        </w:rPr>
        <w:t xml:space="preserve">Under concave or fixed-fee pricing, distributed seeding lost most of its reach</w:t>
      </w:r>
    </w:p>
    <w:p>
      <w:pPr>
        <w:pStyle w:val="Heading1"/>
        <w:spacing w:after="160" w:before="320"/>
      </w:pPr>
      <w:r>
        <w:rPr>
          <w:rFonts w:ascii="Times New Roman" w:cs="Times New Roman" w:eastAsia="Times New Roman" w:hAnsi="Times New Roman"/>
          <w:b/>
          <w:bCs/>
          <w:color w:val="000000"/>
          <w:sz w:val="26"/>
          <w:szCs w:val="26"/>
        </w:rPr>
        <w:t xml:space="preserve">Abstract</w:t>
      </w:r>
    </w:p>
    <w:p>
      <w:pPr>
        <w:spacing w:after="160" w:line="360"/>
        <w:jc w:val="both"/>
      </w:pPr>
      <w:r>
        <w:rPr>
          <w:rFonts w:ascii="Times New Roman" w:cs="Times New Roman" w:eastAsia="Times New Roman" w:hAnsi="Times New Roman"/>
        </w:rPr>
        <w:t xml:space="preserve">Managers deciding whether to seed a social media campaign with a few influencers or with many ordinary users increasingly turn to agent-based simulation as a pre-test. We argue that such pre-tests can mislead in two ways that have little to do with the behavioral richness of the agents: through the metric used to compare plans, and through the assumption that determines when simulated users act. We build an event-driven simulator in which each agent's action times follow an inhomogeneous Poisson process whose intensity combines a circadian baseline with decaying stimuli from exposure and feedback, and we evaluate seeding plans with decision-theoretic criteria: discounted reach, certainty equivalents under constant absolute risk aversion, conditional value at risk, and first-order stochastic dominance. In the base configuration, where every follower is equally likely to see a post regardless of the author's audience size, three influencers produced roughly twice as many adopters as an equal-link budget spread over about 430 ordinary users (299 vs. 144). Distributed seeding reached half of its own adopters about 1.1 hours sooner, but concentrated seeding led in cumulative adopters at every hour and dominated at every quantile, so the familiar scale-versus-speed trade-off is an artifact of a scale-normalized speed metric. Replacing the event-driven scheduler with polling, homogeneous Poisson, or circadian-only activation left the ranking unchanged but roughly doubled the apparent gaps in scale and speed. Under concave or fixed-fee pricing of seeds, distributed seeding reached fewer than 40 adopters. The ranking reversed, however, once the probability that a follower sees a post declined with the author's audience size: the advantage on discounted reach and downside risk disappeared near an elasticity of 0.1, and the advantage on expected final reach near 0.2 to 0.3. Between these thresholds lies a band in which a genuine trade-off exists and the decision depends on the manager's time and risk preferences. The decision-relevant quantity is therefore an engagement elasticity that can be estimated from platform data. We provide an estimation and calibration procedure for public influencer-campaign data, validate it on synthetic data with known parameters, and apply it to the SAGraph Weibo dataset. </w:t>
      </w:r>
      <w:r>
        <w:rPr>
          <w:rFonts w:ascii="Times New Roman" w:cs="Times New Roman" w:eastAsia="Times New Roman" w:hAnsi="Times New Roman"/>
          <w:shd w:fill="FFFF00" w:color="auto" w:val="clear"/>
        </w:rPr>
        <w:t xml:space="preserve">Insert the estimated elasticity and its position relative to the thresholds once the analysis is run.</w:t>
      </w:r>
    </w:p>
    <w:p>
      <w:pPr>
        <w:spacing w:after="160" w:line="360"/>
        <w:jc w:val="left"/>
      </w:pPr>
      <w:r>
        <w:rPr>
          <w:rFonts w:ascii="Times New Roman" w:cs="Times New Roman" w:eastAsia="Times New Roman" w:hAnsi="Times New Roman"/>
          <w:i/>
          <w:iCs/>
        </w:rPr>
        <w:t xml:space="preserve">Keywords:</w:t>
      </w:r>
      <w:r>
        <w:rPr>
          <w:rFonts w:ascii="Times New Roman" w:cs="Times New Roman" w:eastAsia="Times New Roman" w:hAnsi="Times New Roman"/>
        </w:rPr>
        <w:t xml:space="preserve"> decision support; agent-based simulation; seeding strategy; influencer marketing; stochastic dominance; inhomogeneous Poisson process; LLM agents</w:t>
      </w:r>
    </w:p>
    <w:p>
      <w:pPr>
        <w:pStyle w:val="Heading1"/>
        <w:spacing w:after="160" w:before="320"/>
      </w:pPr>
      <w:r>
        <w:rPr>
          <w:rFonts w:ascii="Times New Roman" w:cs="Times New Roman" w:eastAsia="Times New Roman" w:hAnsi="Times New Roman"/>
          <w:b/>
          <w:bCs/>
          <w:color w:val="000000"/>
          <w:sz w:val="26"/>
          <w:szCs w:val="26"/>
        </w:rPr>
        <w:t xml:space="preserve">1. Introduction</w:t>
      </w:r>
    </w:p>
    <w:p>
      <w:pPr>
        <w:spacing w:after="160" w:line="360"/>
        <w:jc w:val="both"/>
      </w:pPr>
      <w:r>
        <w:rPr>
          <w:rFonts w:ascii="Times New Roman" w:cs="Times New Roman" w:eastAsia="Times New Roman" w:hAnsi="Times New Roman"/>
        </w:rPr>
        <w:t xml:space="preserve">A campaign manager planning a product launch, a public-health message, or a policy announcement faces a recurrent choice: place the message with a few prominent accounts, or spread the same budget across many ordinary users. Field experiments on this choice are expensive, can disturb the communities under study, and are hard to repeat, so decision makers rely on models and simulation to narrow the options before committing budget (Li and Du, 2011; Bao and Chang, 2014; Monteserin and Amandi, 2015). Agent-based simulation has long served this purpose (Bonabeau, 2002; Rand and Rust, 2011), and agents driven by large language models (LLMs) have renewed its appeal because they can be given personas and can react to natural-language content (Park et al., 2023; Gao et al., 2023; Törnberg et al., 2023; Zhang et al., 2024).</w:t>
      </w:r>
    </w:p>
    <w:p>
      <w:pPr>
        <w:spacing w:after="160" w:line="360"/>
        <w:jc w:val="both"/>
      </w:pPr>
      <w:r>
        <w:rPr>
          <w:rFonts w:ascii="Times New Roman" w:cs="Times New Roman" w:eastAsia="Times New Roman" w:hAnsi="Times New Roman"/>
        </w:rPr>
        <w:t xml:space="preserve">A simulation-based pre-test is useful only if it ranks the options correctly, and the ranking depends on more than how realistic each agent is. This paper examines three choices that sit between the simulated population and the recommendation, and shows that each can change what a manager is told.</w:t>
      </w:r>
    </w:p>
    <w:p>
      <w:pPr>
        <w:spacing w:after="160" w:line="360"/>
        <w:jc w:val="both"/>
      </w:pPr>
      <w:r>
        <w:rPr>
          <w:rFonts w:ascii="Times New Roman" w:cs="Times New Roman" w:eastAsia="Times New Roman" w:hAnsi="Times New Roman"/>
        </w:rPr>
        <w:t xml:space="preserve">The first is the decision metric. Simulation studies of seeding often report the final number of adopters together with a speed measure such as the time to reach half of the eventual adopters. Such a measure is normalized by the cascade's own size, so a plan that produces a small cascade can appear fast simply because it finishes early. A manager with a short attention window does not care when a campaign reaches half of its own total; she cares how many people it has reached by a given time. Decision theory supplies criteria that respect this distinction: discounted value for time preference, certainty equivalents and downside risk measures for risk preference, and stochastic dominance for robustness to both (Markowitz, 1952; Hadar and Russell, 1969; Rockafellar and Uryasev, 2000).</w:t>
      </w:r>
    </w:p>
    <w:p>
      <w:pPr>
        <w:spacing w:after="160" w:line="360"/>
        <w:jc w:val="both"/>
      </w:pPr>
      <w:r>
        <w:rPr>
          <w:rFonts w:ascii="Times New Roman" w:cs="Times New Roman" w:eastAsia="Times New Roman" w:hAnsi="Times New Roman"/>
        </w:rPr>
        <w:t xml:space="preserve">The second is the timing assumption. Many LLM-agent simulators advance in rounds and query agents on a schedule, while some add hourly activation profiles (Yang et al., 2024). Empirical activity is circadian, bursty, and responsive to triggers (Barabási, 2005; Malmgren et al., 2008; Crane and Sornette, 2008), and concurrent work has begun to gate LLM agents with self-exciting point processes (Miao et al., 2026; Zhang et al., 2026; </w:t>
      </w:r>
      <w:r>
        <w:rPr>
          <w:rFonts w:ascii="Times New Roman" w:cs="Times New Roman" w:eastAsia="Times New Roman" w:hAnsi="Times New Roman"/>
          <w:shd w:fill="FFFF00" w:color="auto" w:val="clear"/>
        </w:rPr>
        <w:t xml:space="preserve">POSIM authors</w:t>
      </w:r>
      <w:r>
        <w:rPr>
          <w:rFonts w:ascii="Times New Roman" w:cs="Times New Roman" w:eastAsia="Times New Roman" w:hAnsi="Times New Roman"/>
        </w:rPr>
        <w:t xml:space="preserve">, 2026). These studies evaluate whether simulated timing looks realistic. None asks whether the timing assumption changes the ranking of a managerial decision, which is the question that matters for decision support.</w:t>
      </w:r>
    </w:p>
    <w:p>
      <w:pPr>
        <w:spacing w:after="160" w:line="360"/>
        <w:jc w:val="both"/>
      </w:pPr>
      <w:r>
        <w:rPr>
          <w:rFonts w:ascii="Times New Roman" w:cs="Times New Roman" w:eastAsia="Times New Roman" w:hAnsi="Times New Roman"/>
        </w:rPr>
        <w:t xml:space="preserve">The third is a market parameter: how the attention an account commands per follower changes with its audience size. Practitioner benchmarks consistently report lower engagement rates for larger accounts, but simulators typically assume that every follower is equally likely to see a post. If attention per follower declines with audience size, an influencer's nominal reach overstates its effective reach, and the case for concentration weakens.</w:t>
      </w:r>
    </w:p>
    <w:p>
      <w:pPr>
        <w:spacing w:after="160" w:line="360"/>
        <w:jc w:val="both"/>
      </w:pPr>
      <w:r>
        <w:rPr>
          <w:rFonts w:ascii="Times New Roman" w:cs="Times New Roman" w:eastAsia="Times New Roman" w:hAnsi="Times New Roman"/>
        </w:rPr>
        <w:t xml:space="preserve">We study these choices with an event-driven simulator in which each agent's action times are drawn from an inhomogeneous Poisson process (IPP) whose intensity combines a persona-specific circadian baseline with decaying stimuli from content exposure and feedback. The intensity is driven by an oracle that rates how strongly a situation moves an agent to act; the oracle can be a rule-based function or an LLM, and the experiments reported here use the rule-based version. We ask four questions. RQ1: under decision-theoretic criteria, is there a trade-off between concentrated and distributed seeding at all? RQ2: does the timing assumption change the ranking or the size of the differences? RQ3: how do realistic seed pricing and hybrid portfolios change the comparison? RQ4: how does the answer depend on the size-elasticity of engagement, and where do real campaigns lie on that scale?</w:t>
      </w:r>
    </w:p>
    <w:p>
      <w:pPr>
        <w:spacing w:after="160" w:line="360"/>
        <w:jc w:val="both"/>
      </w:pPr>
      <w:r>
        <w:rPr>
          <w:rFonts w:ascii="Times New Roman" w:cs="Times New Roman" w:eastAsia="Times New Roman" w:hAnsi="Times New Roman"/>
        </w:rPr>
        <w:t xml:space="preserve">The paper makes three contributions. First, it shows that a scale-normalized speed metric can manufacture a trade-off where none exists: in our base configuration concentrated seeding led in cumulative adopters at every hour and dominated at every quantile, although distributed seeding reached its own half-way point sooner. Second, it shows that the timing assumption mattered for the magnitude rather than the direction of the comparison, with polling and circadian-only schedulers roughly doubling the simulated differences, which is consequential whenever a decision turns on a threshold. Third, it identifies the size-elasticity of engagement as the parameter that governs the decision: the ranking reversed at modest elasticities, with thresholds that differ by criterion and enclose a band in which the manager's preferences decide. This converts a qualitative debate between influencer and grassroots seeding into a quantity that can be estimated from platform data. All results come from a synthetic population, and we treat them as hypotheses for field testing rather than prescriptions.</w:t>
      </w:r>
    </w:p>
    <w:p>
      <w:pPr>
        <w:spacing w:after="160" w:line="360"/>
        <w:jc w:val="both"/>
      </w:pPr>
      <w:r>
        <w:rPr>
          <w:rFonts w:ascii="Times New Roman" w:cs="Times New Roman" w:eastAsia="Times New Roman" w:hAnsi="Times New Roman"/>
        </w:rPr>
        <w:t xml:space="preserve">Section 2 reviews related work. Section 3 describes the simulator and Section 4 the decision-evaluation framework. Section 5 reports the experiments, Section 6 discusses implications and limitations, and Section 7 concludes.</w:t>
      </w:r>
    </w:p>
    <w:p>
      <w:pPr>
        <w:pStyle w:val="Heading1"/>
        <w:spacing w:after="160" w:before="320"/>
      </w:pPr>
      <w:r>
        <w:rPr>
          <w:rFonts w:ascii="Times New Roman" w:cs="Times New Roman" w:eastAsia="Times New Roman" w:hAnsi="Times New Roman"/>
          <w:b/>
          <w:bCs/>
          <w:color w:val="000000"/>
          <w:sz w:val="26"/>
          <w:szCs w:val="26"/>
        </w:rPr>
        <w:t xml:space="preserve">2. Related work</w:t>
      </w:r>
    </w:p>
    <w:p>
      <w:pPr>
        <w:pStyle w:val="Heading2"/>
        <w:spacing w:after="120" w:before="240"/>
      </w:pPr>
      <w:r>
        <w:rPr>
          <w:rFonts w:ascii="Times New Roman" w:cs="Times New Roman" w:eastAsia="Times New Roman" w:hAnsi="Times New Roman"/>
          <w:b/>
          <w:bCs/>
          <w:i/>
          <w:iCs/>
          <w:color w:val="000000"/>
          <w:sz w:val="24"/>
          <w:szCs w:val="24"/>
        </w:rPr>
        <w:t xml:space="preserve">2.1 Simulation for decision support in social media campaigns</w:t>
      </w:r>
    </w:p>
    <w:p>
      <w:pPr>
        <w:spacing w:after="160" w:line="360"/>
        <w:jc w:val="both"/>
      </w:pPr>
      <w:r>
        <w:rPr>
          <w:rFonts w:ascii="Times New Roman" w:cs="Times New Roman" w:eastAsia="Times New Roman" w:hAnsi="Times New Roman"/>
        </w:rPr>
        <w:t xml:space="preserve">Decision Support Systems has published work on supporting marketing and diffusion decisions on social media. Li and Du (2011) and Bao and Chang (2014) propose frameworks for identifying opinion leaders and message disseminators, Monteserin and Amandi (2015) use influence maximization to decide whom to persuade, Schramm et al. (2010) build an agent-based diffusion model with consumer and brand agents, and He et al. (2024) model the co-diffusion of competing memes. Editorial and empirical work on firms' use of social media (Duan, 2013; Chang et al., 2018) shows the journal's interest in the domain. Most of this work supports the seeding decision by identifying whom to target or by modeling how content spreads; less attention has been paid to how the criteria used to compare alternative seeding plans, and the modeling assumptions behind simulated timing, affect the recommendation.</w:t>
      </w:r>
    </w:p>
    <w:p>
      <w:pPr>
        <w:pStyle w:val="Heading2"/>
        <w:spacing w:after="120" w:before="240"/>
      </w:pPr>
      <w:r>
        <w:rPr>
          <w:rFonts w:ascii="Times New Roman" w:cs="Times New Roman" w:eastAsia="Times New Roman" w:hAnsi="Times New Roman"/>
          <w:b/>
          <w:bCs/>
          <w:i/>
          <w:iCs/>
          <w:color w:val="000000"/>
          <w:sz w:val="24"/>
          <w:szCs w:val="24"/>
        </w:rPr>
        <w:t xml:space="preserve">2.2 Agent-based and LLM-agent simulators and the timing of action</w:t>
      </w:r>
    </w:p>
    <w:p>
      <w:pPr>
        <w:spacing w:after="160" w:line="360"/>
        <w:jc w:val="both"/>
      </w:pPr>
      <w:r>
        <w:rPr>
          <w:rFonts w:ascii="Times New Roman" w:cs="Times New Roman" w:eastAsia="Times New Roman" w:hAnsi="Times New Roman"/>
        </w:rPr>
        <w:t xml:space="preserve">Agent-based modeling studies outcomes that emerge from the interaction of heterogeneous actors (Bonabeau, 2002; Gilbert, 2008), and in marketing its credibility rests on careful specification and validation (Rand and Rust, 2011). LLM-based agents replace hand-coded rules with a generative model conditioned on a persona and observations (Park et al., 2023), and social-network simulators have been built on this idea (Gao et al., 2023; Törnberg et al., 2023; Piao et al., 2025).</w:t>
      </w:r>
    </w:p>
    <w:p>
      <w:pPr>
        <w:spacing w:after="160" w:line="360"/>
        <w:jc w:val="both"/>
      </w:pPr>
      <w:r>
        <w:rPr>
          <w:rFonts w:ascii="Times New Roman" w:cs="Times New Roman" w:eastAsia="Times New Roman" w:hAnsi="Times New Roman"/>
        </w:rPr>
        <w:t xml:space="preserve">Simulators differ in how they decide when agents act. Early systems advance in synchronous rounds. OASIS (Yang et al., 2024) activates each agent according to a 24-dimensional hourly activity vector on a three-minute step, and the time-aware influencer simulator of Zhang et al. (2024) selects active agents from user timelines and content lifecycles; both reproduce daily rhythms but do not let an agent's current situation change when it acts. Concurrent work places a point process in front of the LLM. Miao et al. (2026) fit per-user Hawkes processes to historical email logs and generate activation times by thinning, POSIM (</w:t>
      </w:r>
      <w:r>
        <w:rPr>
          <w:rFonts w:ascii="Times New Roman" w:cs="Times New Roman" w:eastAsia="Times New Roman" w:hAnsi="Times New Roman"/>
          <w:shd w:fill="FFFF00" w:color="auto" w:val="clear"/>
        </w:rPr>
        <w:t xml:space="preserve">POSIM authors</w:t>
      </w:r>
      <w:r>
        <w:rPr>
          <w:rFonts w:ascii="Times New Roman" w:cs="Times New Roman" w:eastAsia="Times New Roman" w:hAnsi="Times New Roman"/>
        </w:rPr>
        <w:t xml:space="preserve">, 2026) drives an opinion simulator with a circadian-modulated Hawkes engine, and Zhang et al. (2026) gate LLM volunteer agents with a data-calibrated self-excitation channel and show that a gate-only ablation reproduces the timing of the LLM-coupled simulator. These studies judge timing by its realism. We take a complementary view and ask whether the timing assumption changes the ranking of a managerial decision, holding everything else fixed.</w:t>
      </w:r>
    </w:p>
    <w:p>
      <w:pPr>
        <w:pStyle w:val="Heading2"/>
        <w:spacing w:after="120" w:before="240"/>
      </w:pPr>
      <w:r>
        <w:rPr>
          <w:rFonts w:ascii="Times New Roman" w:cs="Times New Roman" w:eastAsia="Times New Roman" w:hAnsi="Times New Roman"/>
          <w:b/>
          <w:bCs/>
          <w:i/>
          <w:iCs/>
          <w:color w:val="000000"/>
          <w:sz w:val="24"/>
          <w:szCs w:val="24"/>
        </w:rPr>
        <w:t xml:space="preserve">2.3 Temporal point processes and human activity</w:t>
      </w:r>
    </w:p>
    <w:p>
      <w:pPr>
        <w:spacing w:after="160" w:line="360"/>
        <w:jc w:val="both"/>
      </w:pPr>
      <w:r>
        <w:rPr>
          <w:rFonts w:ascii="Times New Roman" w:cs="Times New Roman" w:eastAsia="Times New Roman" w:hAnsi="Times New Roman"/>
        </w:rPr>
        <w:t xml:space="preserve">A temporal point process describes events through a conditional intensity λ(t). Human communication is non-stationary, with strong daily cycles, and bursty, with heavy-tailed inter-event times (Barabási, 2005); Malmgren et al. (2008) showed that a cascading non-homogeneous Poisson mechanism with circadian modulation accounts for much of that heavy tail. In a Hawkes process each event raises the intensity of future events (Hawkes, 1971), and self-exciting models describe the popularity of online content (Crane and Sornette, 2008; Zhao et al., 2015). Non-homogeneous Poisson processes can be simulated exactly by thinning (Lewis and Shedler, 1979; Ogata, 1981), which is the scheduling primitive we use.</w:t>
      </w:r>
    </w:p>
    <w:p>
      <w:pPr>
        <w:pStyle w:val="Heading2"/>
        <w:spacing w:after="120" w:before="240"/>
      </w:pPr>
      <w:r>
        <w:rPr>
          <w:rFonts w:ascii="Times New Roman" w:cs="Times New Roman" w:eastAsia="Times New Roman" w:hAnsi="Times New Roman"/>
          <w:b/>
          <w:bCs/>
          <w:i/>
          <w:iCs/>
          <w:color w:val="000000"/>
          <w:sz w:val="24"/>
          <w:szCs w:val="24"/>
        </w:rPr>
        <w:t xml:space="preserve">2.4 Seeding, influence, and the economics of targeting</w:t>
      </w:r>
    </w:p>
    <w:p>
      <w:pPr>
        <w:spacing w:after="160" w:line="360"/>
        <w:jc w:val="both"/>
      </w:pPr>
      <w:r>
        <w:rPr>
          <w:rFonts w:ascii="Times New Roman" w:cs="Times New Roman" w:eastAsia="Times New Roman" w:hAnsi="Times New Roman"/>
        </w:rPr>
        <w:t xml:space="preserve">Influence maximization asks for the seed set that maximizes expected spread (Kempe et al., 2003). The influentials hypothesis holds that a few highly connected individuals drive diffusion, whereas Watts and Dodds (2007) argued that large cascades are driven at least as often by many easily influenced ordinary users. Bakshy et al. (2011) found that targeting ordinary users can be cost-effective once costs are considered, and Aral and Walker (2012) distinguished influential from susceptible members of a network experimentally.</w:t>
      </w:r>
    </w:p>
    <w:p>
      <w:pPr>
        <w:spacing w:after="160" w:line="360"/>
        <w:jc w:val="both"/>
      </w:pPr>
      <w:r>
        <w:rPr>
          <w:rFonts w:ascii="Times New Roman" w:cs="Times New Roman" w:eastAsia="Times New Roman" w:hAnsi="Times New Roman"/>
        </w:rPr>
        <w:t xml:space="preserve">Economists have studied the same question as a targeting problem. Ballester et al. (2006) characterize the key player whose removal most changes aggregate activity, and Galeotti and Goyal (2009) analyze how a firm should allocate marketing effort when consumers influence each other. Banerjee et al. (2013) show in village networks that the centrality of initial recipients predicts the diffusion of microfinance, and Beaman et al. (2021) find in a field experiment that seeding based on network theory increases technology adoption when adoption requires exposure to several adopters. Akbarpour et al. (</w:t>
      </w:r>
      <w:r>
        <w:rPr>
          <w:rFonts w:ascii="Times New Roman" w:cs="Times New Roman" w:eastAsia="Times New Roman" w:hAnsi="Times New Roman"/>
          <w:shd w:fill="FFFF00" w:color="auto" w:val="clear"/>
        </w:rPr>
        <w:t xml:space="preserve">year and venue to be verified</w:t>
      </w:r>
      <w:r>
        <w:rPr>
          <w:rFonts w:ascii="Times New Roman" w:cs="Times New Roman" w:eastAsia="Times New Roman" w:hAnsi="Times New Roman"/>
        </w:rPr>
        <w:t xml:space="preserve">) argue that a few additional randomly chosen seeds can substitute for detailed network information. This literature mostly evaluates expected final adoption. We add explicit time and risk preferences, show how a speed metric can distort the comparison, and isolate a single market parameter that determines which plan a manager should choose.</w:t>
      </w:r>
    </w:p>
    <w:p>
      <w:pPr>
        <w:pStyle w:val="Heading1"/>
        <w:spacing w:after="160" w:before="320"/>
      </w:pPr>
      <w:r>
        <w:rPr>
          <w:rFonts w:ascii="Times New Roman" w:cs="Times New Roman" w:eastAsia="Times New Roman" w:hAnsi="Times New Roman"/>
          <w:b/>
          <w:bCs/>
          <w:color w:val="000000"/>
          <w:sz w:val="26"/>
          <w:szCs w:val="26"/>
        </w:rPr>
        <w:t xml:space="preserve">3. The simulator</w:t>
      </w:r>
    </w:p>
    <w:p>
      <w:pPr>
        <w:spacing w:after="160" w:line="360"/>
        <w:jc w:val="both"/>
      </w:pPr>
      <w:r>
        <w:rPr>
          <w:rFonts w:ascii="Times New Roman" w:cs="Times New Roman" w:eastAsia="Times New Roman" w:hAnsi="Times New Roman"/>
        </w:rPr>
        <w:t xml:space="preserve">The simulator is designed so that action times are generated by agent state rather than by the simulation clock, and so that its outputs can be evaluated against decision criteria. Parameters not determined by the design are assumptions of this instantiation and are listed in Appendix A.</w:t>
      </w:r>
    </w:p>
    <w:p>
      <w:pPr>
        <w:pStyle w:val="Heading2"/>
        <w:spacing w:after="120" w:before="240"/>
      </w:pPr>
      <w:r>
        <w:rPr>
          <w:rFonts w:ascii="Times New Roman" w:cs="Times New Roman" w:eastAsia="Times New Roman" w:hAnsi="Times New Roman"/>
          <w:b/>
          <w:bCs/>
          <w:i/>
          <w:iCs/>
          <w:color w:val="000000"/>
          <w:sz w:val="24"/>
          <w:szCs w:val="24"/>
        </w:rPr>
        <w:t xml:space="preserve">3.1 Platform environment</w:t>
      </w:r>
    </w:p>
    <w:p>
      <w:pPr>
        <w:spacing w:after="160" w:line="360"/>
        <w:jc w:val="both"/>
      </w:pPr>
      <w:r>
        <w:rPr>
          <w:rFonts w:ascii="Times New Roman" w:cs="Times New Roman" w:eastAsia="Times New Roman" w:hAnsi="Times New Roman"/>
        </w:rPr>
        <w:t xml:space="preserve">The environment maintains a directed follower graph, a store of items (posts, comments, and retweets), and a feed of the 40 most recent items shown to each agent. The follower graph is generated by preferential attachment on in-degree (Barabási and Albert, 1999); each new agent follows three existing agents, giving a 2,000-agent network whose three largest accounts have about 900 followers between them. When agent </w:t>
      </w:r>
      <w:r>
        <w:rPr>
          <w:rFonts w:ascii="Times New Roman" w:cs="Times New Roman" w:eastAsia="Times New Roman" w:hAnsi="Times New Roman"/>
          <w:i/>
          <w:iCs/>
        </w:rPr>
        <w:t xml:space="preserve">a</w:t>
      </w:r>
      <w:r>
        <w:rPr>
          <w:rFonts w:ascii="Times New Roman" w:cs="Times New Roman" w:eastAsia="Times New Roman" w:hAnsi="Times New Roman"/>
        </w:rPr>
        <w:t xml:space="preserve"> publishes content, each follower sees it with probability</w:t>
      </w:r>
    </w:p>
    <w:p>
      <w:pPr>
        <w:spacing w:after="160" w:before="80" w:line="360"/>
        <w:jc w:val="center"/>
      </w:pPr>
      <w:r>
        <w:rPr>
          <w:rFonts w:ascii="Times New Roman" w:cs="Times New Roman" w:eastAsia="Times New Roman" w:hAnsi="Times New Roman"/>
        </w:rPr>
        <w:t xml:space="preserve">p_view(a) = 0.5 · ( max{f_a, 10} / 10 )^(−β),   (1)</w:t>
      </w:r>
    </w:p>
    <w:p>
      <w:pPr>
        <w:spacing w:after="160" w:line="360"/>
        <w:jc w:val="both"/>
      </w:pPr>
      <w:r>
        <w:rPr>
          <w:rFonts w:ascii="Times New Roman" w:cs="Times New Roman" w:eastAsia="Times New Roman" w:hAnsi="Times New Roman"/>
        </w:rPr>
        <w:t xml:space="preserve">where f_a is the author's follower count and β ≥ 0 is the size-elasticity of engagement. With β = 0 every follower is equally likely to see a post, which is the usual simulator assumption and our base configuration. With β &gt; 0, attention per follower declines with audience size, as practitioner benchmarks suggest. Comments are shown with an additional visibility factor of 0.4. Authors receive a notification when their content is commented on or retweeted. When an agent comments or retweets, it chooses among feed items with probability proportional to its interest in the item's topic and an exponential recency weight with a two-hour time constant.</w:t>
      </w:r>
    </w:p>
    <w:p>
      <w:pPr>
        <w:pStyle w:val="Heading2"/>
        <w:spacing w:after="120" w:before="240"/>
      </w:pPr>
      <w:r>
        <w:rPr>
          <w:rFonts w:ascii="Times New Roman" w:cs="Times New Roman" w:eastAsia="Times New Roman" w:hAnsi="Times New Roman"/>
          <w:b/>
          <w:bCs/>
          <w:i/>
          <w:iCs/>
          <w:color w:val="000000"/>
          <w:sz w:val="24"/>
          <w:szCs w:val="24"/>
        </w:rPr>
        <w:t xml:space="preserve">3.2 Persona agents</w:t>
      </w:r>
    </w:p>
    <w:p>
      <w:pPr>
        <w:spacing w:after="160" w:line="360"/>
        <w:jc w:val="both"/>
      </w:pPr>
      <w:r>
        <w:rPr>
          <w:rFonts w:ascii="Times New Roman" w:cs="Times New Roman" w:eastAsia="Times New Roman" w:hAnsi="Times New Roman"/>
        </w:rPr>
        <w:t xml:space="preserve">Each agent is assigned one of five personas (Table 1) that set its baseline rate, its sensitivity to stimuli, its chronotype, and its action propensities. Baseline rates are multiplied by a mean-one log-normal factor (σ = 0.4) and chronotypes are perturbed by a normal term (σ = 1.5 h). Each agent has an interest vector over five topics drawn from a symmetric Dirichlet distribution with concentration 0.4.</w:t>
      </w:r>
    </w:p>
    <w:p>
      <w:pPr>
        <w:spacing w:after="100" w:before="200"/>
        <w:jc w:val="left"/>
      </w:pPr>
      <w:r>
        <w:rPr>
          <w:rFonts w:ascii="Times New Roman" w:cs="Times New Roman" w:eastAsia="Times New Roman" w:hAnsi="Times New Roman"/>
          <w:b/>
          <w:bCs/>
          <w:sz w:val="22"/>
          <w:szCs w:val="22"/>
        </w:rPr>
        <w:t xml:space="preserve">Table 1. Persona parameters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500"/>
        <w:gridCol w:w="900"/>
        <w:gridCol w:w="1100"/>
        <w:gridCol w:w="2800"/>
      </w:tblGrid>
      <w:tr>
        <w:trPr>
          <w:tblHeader/>
        </w:trPr>
        <w:tc>
          <w:tcPr>
            <w:tcW w:type="dxa" w:w="18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bCs/>
                <w:sz w:val="19"/>
                <w:szCs w:val="19"/>
              </w:rPr>
              <w:t xml:space="preserve">Persona</w:t>
            </w:r>
          </w:p>
        </w:tc>
        <w:tc>
          <w:tcPr>
            <w:tcW w:type="dxa" w:w="9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Share</w:t>
            </w:r>
          </w:p>
        </w:tc>
        <w:tc>
          <w:tcPr>
            <w:tcW w:type="dxa" w:w="15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Base rate λ⁰ (1/h)</w:t>
            </w:r>
          </w:p>
        </w:tc>
        <w:tc>
          <w:tcPr>
            <w:tcW w:type="dxa" w:w="9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Gain g</w:t>
            </w:r>
          </w:p>
        </w:tc>
        <w:tc>
          <w:tcPr>
            <w:tcW w:type="dxa" w:w="11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Peak hour</w:t>
            </w:r>
          </w:p>
        </w:tc>
        <w:tc>
          <w:tcPr>
            <w:tcW w:type="dxa" w:w="28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P(post / comment / retweet / like)</w:t>
            </w:r>
          </w:p>
        </w:tc>
      </w:tr>
      <w:tr>
        <w:trPr>
          <w:tblHeader w:val="false"/>
        </w:trPr>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Early adopter</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15%</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0.45</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1.3</w:t>
            </w:r>
          </w:p>
        </w:tc>
        <w:tc>
          <w:tcPr>
            <w:tcW w:type="dxa" w:w="11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22</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.30 / .20 / .25 / .25</w:t>
            </w:r>
          </w:p>
        </w:tc>
      </w:tr>
      <w:tr>
        <w:trPr>
          <w:tblHeader w:val="false"/>
        </w:trPr>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Cynic</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15%</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0.30</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0.8</w:t>
            </w:r>
          </w:p>
        </w:tc>
        <w:tc>
          <w:tcPr>
            <w:tcW w:type="dxa" w:w="11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23</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.20 / .45 / .05 / .30</w:t>
            </w:r>
          </w:p>
        </w:tc>
      </w:tr>
      <w:tr>
        <w:trPr>
          <w:tblHeader w:val="false"/>
        </w:trPr>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Trend follower</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25%</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0.40</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1.2</w:t>
            </w:r>
          </w:p>
        </w:tc>
        <w:tc>
          <w:tcPr>
            <w:tcW w:type="dxa" w:w="11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21</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.15 / .15 / .40 / .30</w:t>
            </w:r>
          </w:p>
        </w:tc>
      </w:tr>
      <w:tr>
        <w:trPr>
          <w:tblHeader w:val="false"/>
        </w:trPr>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Lurker</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30%</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0.12</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0.6</w:t>
            </w:r>
          </w:p>
        </w:tc>
        <w:tc>
          <w:tcPr>
            <w:tcW w:type="dxa" w:w="11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21</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.05 / .10 / .10 / .75</w:t>
            </w:r>
          </w:p>
        </w:tc>
      </w:tr>
      <w:tr>
        <w:trPr>
          <w:tblHeader w:val="false"/>
        </w:trPr>
        <w:tc>
          <w:tcPr>
            <w:tcW w:type="dxa" w:w="1800"/>
            <w:tcBorders>
              <w:top w:val="none" w:color="FFFFFF" w:sz="0"/>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News junkie</w:t>
            </w:r>
          </w:p>
        </w:tc>
        <w:tc>
          <w:tcPr>
            <w:tcW w:type="dxa" w:w="9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15%</w:t>
            </w:r>
          </w:p>
        </w:tc>
        <w:tc>
          <w:tcPr>
            <w:tcW w:type="dxa" w:w="15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0.70</w:t>
            </w:r>
          </w:p>
        </w:tc>
        <w:tc>
          <w:tcPr>
            <w:tcW w:type="dxa" w:w="9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1.0</w:t>
            </w:r>
          </w:p>
        </w:tc>
        <w:tc>
          <w:tcPr>
            <w:tcW w:type="dxa" w:w="11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20</w:t>
            </w:r>
          </w:p>
        </w:tc>
        <w:tc>
          <w:tcPr>
            <w:tcW w:type="dxa" w:w="28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.40 / .20 / .20 / .20</w:t>
            </w:r>
          </w:p>
        </w:tc>
      </w:tr>
    </w:tbl>
    <w:p>
      <w:pPr>
        <w:spacing w:after="200"/>
        <w:jc w:val="left"/>
      </w:pPr>
      <w:r>
        <w:rPr>
          <w:rFonts w:ascii="Times New Roman" w:cs="Times New Roman" w:eastAsia="Times New Roman" w:hAnsi="Times New Roman"/>
          <w:sz w:val="20"/>
          <w:szCs w:val="20"/>
        </w:rPr>
        <w:t xml:space="preserve">Note. When an agent selects an action that requires a feed item and none is eligible, it posts instead.</w:t>
      </w:r>
    </w:p>
    <w:p>
      <w:pPr>
        <w:pStyle w:val="Heading2"/>
        <w:spacing w:after="120" w:before="240"/>
      </w:pPr>
      <w:r>
        <w:rPr>
          <w:rFonts w:ascii="Times New Roman" w:cs="Times New Roman" w:eastAsia="Times New Roman" w:hAnsi="Times New Roman"/>
          <w:b/>
          <w:bCs/>
          <w:i/>
          <w:iCs/>
          <w:color w:val="000000"/>
          <w:sz w:val="24"/>
          <w:szCs w:val="24"/>
        </w:rPr>
        <w:t xml:space="preserve">3.3 Intensity model and scheduler</w:t>
      </w:r>
    </w:p>
    <w:p>
      <w:pPr>
        <w:spacing w:after="160" w:line="360"/>
        <w:jc w:val="both"/>
      </w:pPr>
      <w:r>
        <w:rPr>
          <w:rFonts w:ascii="Times New Roman" w:cs="Times New Roman" w:eastAsia="Times New Roman" w:hAnsi="Times New Roman"/>
        </w:rPr>
        <w:t xml:space="preserve">Let c_i(t) be a mean-one daily activity profile for agent </w:t>
      </w:r>
      <w:r>
        <w:rPr>
          <w:rFonts w:ascii="Times New Roman" w:cs="Times New Roman" w:eastAsia="Times New Roman" w:hAnsi="Times New Roman"/>
          <w:i/>
          <w:iCs/>
        </w:rPr>
        <w:t xml:space="preserve">i</w:t>
      </w:r>
      <w:r>
        <w:rPr>
          <w:rFonts w:ascii="Times New Roman" w:cs="Times New Roman" w:eastAsia="Times New Roman" w:hAnsi="Times New Roman"/>
        </w:rPr>
        <w:t xml:space="preserve"> with an evening peak at its chronotype, a smaller midday peak, and a night trough. The conditional intensity is</w:t>
      </w:r>
    </w:p>
    <w:p>
      <w:pPr>
        <w:spacing w:after="160" w:before="80" w:line="360"/>
        <w:jc w:val="center"/>
      </w:pPr>
      <w:r>
        <w:rPr>
          <w:rFonts w:ascii="Times New Roman" w:cs="Times New Roman" w:eastAsia="Times New Roman" w:hAnsi="Times New Roman"/>
        </w:rPr>
        <w:t xml:space="preserve">λ_i(t) = λ⁰_i · c_i(t) + S_i(t),   (2)</w:t>
      </w:r>
    </w:p>
    <w:p>
      <w:pPr>
        <w:spacing w:after="160" w:before="80" w:line="360"/>
        <w:jc w:val="center"/>
      </w:pPr>
      <w:r>
        <w:rPr>
          <w:rFonts w:ascii="Times New Roman" w:cs="Times New Roman" w:eastAsia="Times New Roman" w:hAnsi="Times New Roman"/>
        </w:rPr>
        <w:t xml:space="preserve">S_i(t) = min{ S_max , Σ_j κ · g_i · I_ij · r_ij · exp(−(t − t_j)/τ) },   (3)</w:t>
      </w:r>
    </w:p>
    <w:p>
      <w:pPr>
        <w:spacing w:after="160" w:line="360"/>
        <w:jc w:val="both"/>
      </w:pPr>
      <w:r>
        <w:rPr>
          <w:rFonts w:ascii="Times New Roman" w:cs="Times New Roman" w:eastAsia="Times New Roman" w:hAnsi="Times New Roman"/>
        </w:rPr>
        <w:t xml:space="preserve">where t_j is the time of the </w:t>
      </w:r>
      <w:r>
        <w:rPr>
          <w:rFonts w:ascii="Times New Roman" w:cs="Times New Roman" w:eastAsia="Times New Roman" w:hAnsi="Times New Roman"/>
          <w:i/>
          <w:iCs/>
        </w:rPr>
        <w:t xml:space="preserve">j</w:t>
      </w:r>
      <w:r>
        <w:rPr>
          <w:rFonts w:ascii="Times New Roman" w:cs="Times New Roman" w:eastAsia="Times New Roman" w:hAnsi="Times New Roman"/>
        </w:rPr>
        <w:t xml:space="preserve">-th stimulus (an exposure or a notification), I_ij ∈ [0, 5] is the urge rating returned by the intensity oracle, r_ij ∈ {0.25, 0.50, 0.75} encodes topical relevance, g_i is the persona gain, κ = 0.16, τ = 1 h, and S_max = 3. Notifications enter with relevance 0.50. The cap keeps the additive intensity finite under this exposure rule; without it the process becomes supercritical in the evening. Next event times are drawn by thinning against the dominating rate λ⁰_i · max c_i + S_i(t), which is valid until the next stimulus because S_i decays; when a new stimulus arrives the pending event is redrawn, which is exact because the Poisson process is memoryless.</w:t>
      </w:r>
    </w:p>
    <w:p>
      <w:pPr>
        <w:pStyle w:val="Heading2"/>
        <w:spacing w:after="120" w:before="240"/>
      </w:pPr>
      <w:r>
        <w:rPr>
          <w:rFonts w:ascii="Times New Roman" w:cs="Times New Roman" w:eastAsia="Times New Roman" w:hAnsi="Times New Roman"/>
          <w:b/>
          <w:bCs/>
          <w:i/>
          <w:iCs/>
          <w:color w:val="000000"/>
          <w:sz w:val="24"/>
          <w:szCs w:val="24"/>
        </w:rPr>
        <w:t xml:space="preserve">3.4 The intensity oracle</w:t>
      </w:r>
    </w:p>
    <w:p>
      <w:pPr>
        <w:spacing w:after="160" w:line="360"/>
        <w:jc w:val="both"/>
      </w:pPr>
      <w:r>
        <w:rPr>
          <w:rFonts w:ascii="Times New Roman" w:cs="Times New Roman" w:eastAsia="Times New Roman" w:hAnsi="Times New Roman"/>
        </w:rPr>
        <w:t xml:space="preserve">The oracle maps an agent's situation (time of day, emotional state, the number of relevant items seen in the last hour, the relevance of the latest item, and notification status) to an urge rating in [0, 5]. It is not asked when the agent will act; clock time is determined entirely by Eqs. (2) and (3). The oracle can be implemented by an LLM that judges the situation in natural language, or by a rule-based function. All experiments in this paper use the rule-based oracle given in Appendix A, which makes them reproducible at negligible cost and isolates the effects of metrics, timing, and engagement from the behavior of any particular language model. Replacing it with an LLM changes only the values of I_ij.</w:t>
      </w:r>
    </w:p>
    <w:p>
      <w:pPr>
        <w:pStyle w:val="Heading2"/>
        <w:spacing w:after="120" w:before="240"/>
      </w:pPr>
      <w:r>
        <w:rPr>
          <w:rFonts w:ascii="Times New Roman" w:cs="Times New Roman" w:eastAsia="Times New Roman" w:hAnsi="Times New Roman"/>
          <w:b/>
          <w:bCs/>
          <w:i/>
          <w:iCs/>
          <w:color w:val="000000"/>
          <w:sz w:val="24"/>
          <w:szCs w:val="24"/>
        </w:rPr>
        <w:t xml:space="preserve">3.5 Alternative schedulers</w:t>
      </w:r>
    </w:p>
    <w:p>
      <w:pPr>
        <w:spacing w:after="160" w:line="360"/>
        <w:jc w:val="both"/>
      </w:pPr>
      <w:r>
        <w:rPr>
          <w:rFonts w:ascii="Times New Roman" w:cs="Times New Roman" w:eastAsia="Times New Roman" w:hAnsi="Times New Roman"/>
        </w:rPr>
        <w:t xml:space="preserve">To examine RQ2 we hold every other component fixed and replace the scheduler with three alternatives that represent common practice: (a) circadian-only activation, an IPP with intensity λ⁰_i · c_i(t) in which stimuli update feeds but do not change timing, similar in spirit to hourly activation vectors; (b) a homogeneous Poisson process (HPP) at rate λ⁰_i; and (c) fixed-period polling with period 1/λ⁰_i and random phase. Because stimuli generate a large share of activity under the proposed scheduler, the alternatives would otherwise produce far fewer events. We therefore multiply their baseline rates by 1.77, the ratio of total events under the proposed and circadian-only schedulers in pilot runs without a campaign, so that all schedulers produce similar activity volumes and differences reflect timing structure rather than activity level.</w:t>
      </w:r>
    </w:p>
    <w:p>
      <w:pPr>
        <w:pStyle w:val="Heading1"/>
        <w:spacing w:after="160" w:before="320"/>
      </w:pPr>
      <w:r>
        <w:rPr>
          <w:rFonts w:ascii="Times New Roman" w:cs="Times New Roman" w:eastAsia="Times New Roman" w:hAnsi="Times New Roman"/>
          <w:b/>
          <w:bCs/>
          <w:color w:val="000000"/>
          <w:sz w:val="26"/>
          <w:szCs w:val="26"/>
        </w:rPr>
        <w:t xml:space="preserve">4. Decision-evaluation framework</w:t>
      </w:r>
    </w:p>
    <w:p>
      <w:pPr>
        <w:spacing w:after="160" w:line="360"/>
        <w:jc w:val="both"/>
      </w:pPr>
      <w:r>
        <w:rPr>
          <w:rFonts w:ascii="Times New Roman" w:cs="Times New Roman" w:eastAsia="Times New Roman" w:hAnsi="Times New Roman"/>
        </w:rPr>
        <w:t xml:space="preserve">Let N(t) be the cumulative number of adopters </w:t>
      </w:r>
      <w:r>
        <w:rPr>
          <w:rFonts w:ascii="Times New Roman" w:cs="Times New Roman" w:eastAsia="Times New Roman" w:hAnsi="Times New Roman"/>
          <w:i/>
          <w:iCs/>
        </w:rPr>
        <w:t xml:space="preserve">t</w:t>
      </w:r>
      <w:r>
        <w:rPr>
          <w:rFonts w:ascii="Times New Roman" w:cs="Times New Roman" w:eastAsia="Times New Roman" w:hAnsi="Times New Roman"/>
        </w:rPr>
        <w:t xml:space="preserve"> hours after the campaign is injected, where an agent adopts when it first comments on or retweets campaign content, and let N = N(48) be the final count. A seeding plan induces a distribution of the path N(·) over replications. We compare plans with four criteria, each tied to a property of the manager's preferences.</w:t>
      </w:r>
    </w:p>
    <w:p>
      <w:pPr>
        <w:spacing w:after="160" w:line="360"/>
        <w:jc w:val="both"/>
      </w:pPr>
      <w:r>
        <w:rPr>
          <w:rFonts w:ascii="Times New Roman" w:cs="Times New Roman" w:eastAsia="Times New Roman" w:hAnsi="Times New Roman"/>
          <w:i/>
          <w:iCs/>
        </w:rPr>
        <w:t xml:space="preserve">Time preference.</w:t>
      </w:r>
      <w:r>
        <w:rPr>
          <w:rFonts w:ascii="Times New Roman" w:cs="Times New Roman" w:eastAsia="Times New Roman" w:hAnsi="Times New Roman"/>
        </w:rPr>
        <w:t xml:space="preserve"> If the value of an adopter decays with the time it takes to reach them, at rate δ per hour, the value of a campaign is the discounted reach</w:t>
      </w:r>
    </w:p>
    <w:p>
      <w:pPr>
        <w:spacing w:after="160" w:before="80" w:line="360"/>
        <w:jc w:val="center"/>
      </w:pPr>
      <w:r>
        <w:rPr>
          <w:rFonts w:ascii="Times New Roman" w:cs="Times New Roman" w:eastAsia="Times New Roman" w:hAnsi="Times New Roman"/>
        </w:rPr>
        <w:t xml:space="preserve">V(δ) = ∫₀⁴⁸ e^(−δt) dN(t),   (4)</w:t>
      </w:r>
    </w:p>
    <w:p>
      <w:pPr>
        <w:spacing w:after="160" w:line="360"/>
        <w:jc w:val="both"/>
      </w:pPr>
      <w:r>
        <w:rPr>
          <w:rFonts w:ascii="Times New Roman" w:cs="Times New Roman" w:eastAsia="Times New Roman" w:hAnsi="Times New Roman"/>
        </w:rPr>
        <w:t xml:space="preserve">which equals final reach at δ = 0 and rewards early adoption as δ grows; ln 2/δ is the half-life of attention. A trade-off between scale and speed exists only if the ranking of two plans on E[V(δ)] changes at some critical δ*.</w:t>
      </w:r>
    </w:p>
    <w:p>
      <w:pPr>
        <w:spacing w:after="160" w:line="360"/>
        <w:jc w:val="both"/>
      </w:pPr>
      <w:r>
        <w:rPr>
          <w:rFonts w:ascii="Times New Roman" w:cs="Times New Roman" w:eastAsia="Times New Roman" w:hAnsi="Times New Roman"/>
          <w:i/>
          <w:iCs/>
        </w:rPr>
        <w:t xml:space="preserve">Risk preference.</w:t>
      </w:r>
      <w:r>
        <w:rPr>
          <w:rFonts w:ascii="Times New Roman" w:cs="Times New Roman" w:eastAsia="Times New Roman" w:hAnsi="Times New Roman"/>
        </w:rPr>
        <w:t xml:space="preserve"> For a decision maker with constant absolute risk aversion ρ, the certainty equivalent of a plan is CE(ρ) = −(1/ρ) ln E[exp(−ρN)], computed from the empirical distribution. A risk–return trade-off exists only if the ranking on CE changes at some critical ρ*. Because the standard deviation penalizes favorable as well as unfavorable outcomes, we also report the conditional value at risk CVaR₀.₂, the mean of the worst 20% of replications (Rockafellar and Uryasev, 2000).</w:t>
      </w:r>
    </w:p>
    <w:p>
      <w:pPr>
        <w:spacing w:after="160" w:line="360"/>
        <w:jc w:val="both"/>
      </w:pPr>
      <w:r>
        <w:rPr>
          <w:rFonts w:ascii="Times New Roman" w:cs="Times New Roman" w:eastAsia="Times New Roman" w:hAnsi="Times New Roman"/>
          <w:i/>
          <w:iCs/>
        </w:rPr>
        <w:t xml:space="preserve">Robustness.</w:t>
      </w:r>
      <w:r>
        <w:rPr>
          <w:rFonts w:ascii="Times New Roman" w:cs="Times New Roman" w:eastAsia="Times New Roman" w:hAnsi="Times New Roman"/>
        </w:rPr>
        <w:t xml:space="preserve"> Plan A first-order stochastically dominates plan B if every quantile of N under A is at least as large as under B, in which case every decision maker who prefers more adopters prefers A, whatever her risk attitude (Hadar and Russell, 1969). The analogous pathwise statement for time preference is that E[N(t)] under A exceeds E[N(t)] under B at every </w:t>
      </w:r>
      <w:r>
        <w:rPr>
          <w:rFonts w:ascii="Times New Roman" w:cs="Times New Roman" w:eastAsia="Times New Roman" w:hAnsi="Times New Roman"/>
          <w:i/>
          <w:iCs/>
        </w:rPr>
        <w:t xml:space="preserve">t</w:t>
      </w:r>
      <w:r>
        <w:rPr>
          <w:rFonts w:ascii="Times New Roman" w:cs="Times New Roman" w:eastAsia="Times New Roman" w:hAnsi="Times New Roman"/>
        </w:rPr>
        <w:t xml:space="preserve">, which implies E[V_A(δ)] &gt; E[V_B(δ)] for every δ.</w:t>
      </w:r>
    </w:p>
    <w:p>
      <w:pPr>
        <w:spacing w:after="160" w:line="360"/>
        <w:jc w:val="both"/>
      </w:pPr>
      <w:r>
        <w:rPr>
          <w:rFonts w:ascii="Times New Roman" w:cs="Times New Roman" w:eastAsia="Times New Roman" w:hAnsi="Times New Roman"/>
          <w:i/>
          <w:iCs/>
        </w:rPr>
        <w:t xml:space="preserve">Why scale-normalized speed misleads.</w:t>
      </w:r>
      <w:r>
        <w:rPr>
          <w:rFonts w:ascii="Times New Roman" w:cs="Times New Roman" w:eastAsia="Times New Roman" w:hAnsi="Times New Roman"/>
        </w:rPr>
        <w:t xml:space="preserve"> A common speed metric is t₅₀, the time at which a run reaches half of its own final count. Because t₅₀ is invariant to the scale of N(·), a plan can have a smaller t₅₀ and yet have fewer adopters than its competitor at every point in time. Such a plan is faster in shape but slower in reach, and a manager who acts on t₅₀ may choose it in exactly the situations, short attention windows, where it is worse. We therefore report t₅₀ only to connect with prior practice.</w:t>
      </w:r>
    </w:p>
    <w:p>
      <w:pPr>
        <w:spacing w:after="160" w:line="360"/>
        <w:jc w:val="both"/>
      </w:pPr>
      <w:r>
        <w:rPr>
          <w:rFonts w:ascii="Times New Roman" w:cs="Times New Roman" w:eastAsia="Times New Roman" w:hAnsi="Times New Roman"/>
          <w:i/>
          <w:iCs/>
        </w:rPr>
        <w:t xml:space="preserve">Cost.</w:t>
      </w:r>
      <w:r>
        <w:rPr>
          <w:rFonts w:ascii="Times New Roman" w:cs="Times New Roman" w:eastAsia="Times New Roman" w:hAnsi="Times New Roman"/>
        </w:rPr>
        <w:t xml:space="preserve"> To examine RQ3 we price a seed with f followers at C(f) = c₀ + f^γ, where c₀ is a fixed per-account cost of contracting and management and γ ≤ 1 captures declining prices per follower for larger accounts. The budget equals the cost of the three largest accounts. The equal-link comparison common in the literature corresponds to c₀ = 0 and γ = 1. We also evaluate hybrid portfolios that seed the </w:t>
      </w:r>
      <w:r>
        <w:rPr>
          <w:rFonts w:ascii="Times New Roman" w:cs="Times New Roman" w:eastAsia="Times New Roman" w:hAnsi="Times New Roman"/>
          <w:i/>
          <w:iCs/>
        </w:rPr>
        <w:t xml:space="preserve">k</w:t>
      </w:r>
      <w:r>
        <w:rPr>
          <w:rFonts w:ascii="Times New Roman" w:cs="Times New Roman" w:eastAsia="Times New Roman" w:hAnsi="Times New Roman"/>
        </w:rPr>
        <w:t xml:space="preserve"> largest accounts (k = 0, 1, 2, 3) and spend the remaining budget on randomly chosen ordinary accounts.</w:t>
      </w:r>
    </w:p>
    <w:p>
      <w:pPr>
        <w:pStyle w:val="Heading1"/>
        <w:spacing w:after="160" w:before="320"/>
      </w:pPr>
      <w:r>
        <w:rPr>
          <w:rFonts w:ascii="Times New Roman" w:cs="Times New Roman" w:eastAsia="Times New Roman" w:hAnsi="Times New Roman"/>
          <w:b/>
          <w:bCs/>
          <w:color w:val="000000"/>
          <w:sz w:val="26"/>
          <w:szCs w:val="26"/>
        </w:rPr>
        <w:t xml:space="preserve">5. Experiments and results</w:t>
      </w:r>
    </w:p>
    <w:p>
      <w:pPr>
        <w:pStyle w:val="Heading2"/>
        <w:spacing w:after="120" w:before="240"/>
      </w:pPr>
      <w:r>
        <w:rPr>
          <w:rFonts w:ascii="Times New Roman" w:cs="Times New Roman" w:eastAsia="Times New Roman" w:hAnsi="Times New Roman"/>
          <w:b/>
          <w:bCs/>
          <w:i/>
          <w:iCs/>
          <w:color w:val="000000"/>
          <w:sz w:val="24"/>
          <w:szCs w:val="24"/>
        </w:rPr>
        <w:t xml:space="preserve">5.1 Setup</w:t>
      </w:r>
    </w:p>
    <w:p>
      <w:pPr>
        <w:spacing w:after="160" w:line="360"/>
        <w:jc w:val="both"/>
      </w:pPr>
      <w:r>
        <w:rPr>
          <w:rFonts w:ascii="Times New Roman" w:cs="Times New Roman" w:eastAsia="Times New Roman" w:hAnsi="Times New Roman"/>
        </w:rPr>
        <w:t xml:space="preserve">All experiments used a 2,000-agent network, an 18-hour warm-up, a campaign of one post per seed injected at 18:00 on topic 0 unless stated otherwise, and a 48-hour observation window. Concentrated seeding used the three accounts with the most followers. Distributed seeding drew accounts at random from outside the top 5% by follower count until their total cost reached the budget; under equal-link pricing this required about 430 accounts. Replications were paired: within a replication both plans used the same network, personas, and random seed. We report means, paired differences with 95% percentile bootstrap intervals (4,000 resamples), and the share of replications in which concentrated seeding produced more adopters. The base and scheduler comparisons used 30 replications per cell, and the remaining experiments 15 to 20. The simulator was re-implemented from the specification in Section 3; code and per-run results are provided as a supplementary archive.</w:t>
      </w:r>
    </w:p>
    <w:p>
      <w:pPr>
        <w:pStyle w:val="Heading2"/>
        <w:spacing w:after="120" w:before="240"/>
      </w:pPr>
      <w:r>
        <w:rPr>
          <w:rFonts w:ascii="Times New Roman" w:cs="Times New Roman" w:eastAsia="Times New Roman" w:hAnsi="Times New Roman"/>
          <w:b/>
          <w:bCs/>
          <w:i/>
          <w:iCs/>
          <w:color w:val="000000"/>
          <w:sz w:val="24"/>
          <w:szCs w:val="24"/>
        </w:rPr>
        <w:t xml:space="preserve">5.2 Is there a scale-versus-speed trade-off? (RQ1)</w:t>
      </w:r>
    </w:p>
    <w:p>
      <w:pPr>
        <w:spacing w:after="160" w:line="360"/>
        <w:jc w:val="both"/>
      </w:pPr>
      <w:r>
        <w:rPr>
          <w:rFonts w:ascii="Times New Roman" w:cs="Times New Roman" w:eastAsia="Times New Roman" w:hAnsi="Times New Roman"/>
        </w:rPr>
        <w:t xml:space="preserve">Table 2 reports the base configuration (β = 0, equal-link pricing). Concentrated seeding produced about twice as many adopters as distributed seeding (299 vs. 144; paired difference 155, 95% CI [115, 201]; concentrated ahead in all 30 replications). Distributed seeding reached half of its own adopters 1.13 hours sooner (95% CI [0.91, 1.36]) and had a much smaller standard deviation. On the usual reading this is a trade-off: concentration for scale, distribution for speed and predictability.</w:t>
      </w:r>
    </w:p>
    <w:p>
      <w:pPr>
        <w:spacing w:after="100" w:before="200"/>
        <w:jc w:val="left"/>
      </w:pPr>
      <w:r>
        <w:rPr>
          <w:rFonts w:ascii="Times New Roman" w:cs="Times New Roman" w:eastAsia="Times New Roman" w:hAnsi="Times New Roman"/>
          <w:b/>
          <w:bCs/>
          <w:sz w:val="22"/>
          <w:szCs w:val="22"/>
        </w:rPr>
        <w:t xml:space="preserve">Table 2. Base configuration (β = 0, equal-link budget, 30 paired replications)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left"/>
            </w:pPr>
          </w:p>
        </w:tc>
        <w:tc>
          <w:tcPr>
            <w:tcW w:type="dxa" w:w="26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Concentrated (3 seeds)</w:t>
            </w:r>
          </w:p>
        </w:tc>
        <w:tc>
          <w:tcPr>
            <w:tcW w:type="dxa" w:w="26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Distributed (~428 seeds)</w:t>
            </w:r>
          </w:p>
        </w:tc>
      </w:tr>
      <w:tr>
        <w:trPr>
          <w:tblHeader w:val="false"/>
        </w:trPr>
        <w:tc>
          <w:tcPr>
            <w:tcW w:type="dxa" w:w="42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Mean cumulative adopters at 1 h</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56</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50</w:t>
            </w:r>
          </w:p>
        </w:tc>
      </w:tr>
      <w:tr>
        <w:trPr>
          <w:tblHeader w:val="false"/>
        </w:trPr>
        <w:tc>
          <w:tcPr>
            <w:tcW w:type="dxa" w:w="42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  at 2 h</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108</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84</w:t>
            </w:r>
          </w:p>
        </w:tc>
      </w:tr>
      <w:tr>
        <w:trPr>
          <w:tblHeader w:val="false"/>
        </w:trPr>
        <w:tc>
          <w:tcPr>
            <w:tcW w:type="dxa" w:w="42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  at 3 h</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156</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106</w:t>
            </w:r>
          </w:p>
        </w:tc>
      </w:tr>
      <w:tr>
        <w:trPr>
          <w:tblHeader w:val="false"/>
        </w:trPr>
        <w:tc>
          <w:tcPr>
            <w:tcW w:type="dxa" w:w="42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  at 6 h</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248</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135</w:t>
            </w:r>
          </w:p>
        </w:tc>
      </w:tr>
      <w:tr>
        <w:trPr>
          <w:tblHeader w:val="false"/>
        </w:trPr>
        <w:tc>
          <w:tcPr>
            <w:tcW w:type="dxa" w:w="42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  at 12 h</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287</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141</w:t>
            </w:r>
          </w:p>
        </w:tc>
      </w:tr>
      <w:tr>
        <w:trPr>
          <w:tblHeader w:val="false"/>
        </w:trPr>
        <w:tc>
          <w:tcPr>
            <w:tcW w:type="dxa" w:w="42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  at 48 h (final)</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299</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144</w:t>
            </w:r>
          </w:p>
        </w:tc>
      </w:tr>
      <w:tr>
        <w:trPr>
          <w:tblHeader w:val="false"/>
        </w:trPr>
        <w:tc>
          <w:tcPr>
            <w:tcW w:type="dxa" w:w="42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SD of final adopters</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121</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24</w:t>
            </w:r>
          </w:p>
        </w:tc>
      </w:tr>
      <w:tr>
        <w:trPr>
          <w:tblHeader w:val="false"/>
        </w:trPr>
        <w:tc>
          <w:tcPr>
            <w:tcW w:type="dxa" w:w="42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Minimum of final adopters</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116</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95</w:t>
            </w:r>
          </w:p>
        </w:tc>
      </w:tr>
      <w:tr>
        <w:trPr>
          <w:tblHeader w:val="false"/>
        </w:trPr>
        <w:tc>
          <w:tcPr>
            <w:tcW w:type="dxa" w:w="42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CVaR₀.₂ (mean of worst 20%)</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155</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113</w:t>
            </w:r>
          </w:p>
        </w:tc>
      </w:tr>
      <w:tr>
        <w:trPr>
          <w:tblHeader w:val="false"/>
        </w:trPr>
        <w:tc>
          <w:tcPr>
            <w:tcW w:type="dxa" w:w="4200"/>
            <w:tcBorders>
              <w:top w:val="none" w:color="FFFFFF" w:sz="0"/>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Mean t₅₀ (h)</w:t>
            </w:r>
          </w:p>
        </w:tc>
        <w:tc>
          <w:tcPr>
            <w:tcW w:type="dxa" w:w="26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2.72</w:t>
            </w:r>
          </w:p>
        </w:tc>
        <w:tc>
          <w:tcPr>
            <w:tcW w:type="dxa" w:w="26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1.59</w:t>
            </w:r>
          </w:p>
        </w:tc>
      </w:tr>
    </w:tbl>
    <w:p>
      <w:pPr>
        <w:spacing w:after="160" w:line="360"/>
        <w:jc w:val="both"/>
      </w:pPr>
      <w:r>
        <w:rPr>
          <w:rFonts w:ascii="Times New Roman" w:cs="Times New Roman" w:eastAsia="Times New Roman" w:hAnsi="Times New Roman"/>
        </w:rPr>
        <w:t xml:space="preserve">The decision criteria of Section 4 tell a different story. Concentrated seeding led in mean cumulative adopters at every hour, so its expected discounted reach was higher for every discount rate we evaluated (δ from 0 to 2 per hour, an attention half-life as short as 21 minutes), and no critical δ</w:t>
      </w:r>
      <w:r>
        <w:rPr>
          <w:rFonts w:ascii="Times New Roman" w:cs="Times New Roman" w:eastAsia="Times New Roman" w:hAnsi="Times New Roman"/>
          <w:i/>
          <w:iCs/>
        </w:rPr>
        <w:t xml:space="preserve"> exists. Its empirical distribution of final adopters lay above that of distributed seeding at every quantile, so it first-order stochastically dominated, and its certainty equivalent was higher for every degree of risk aversion; no critical ρ</w:t>
      </w:r>
      <w:r>
        <w:rPr>
          <w:rFonts w:ascii="Times New Roman" w:cs="Times New Roman" w:eastAsia="Times New Roman" w:hAnsi="Times New Roman"/>
        </w:rPr>
        <w:t xml:space="preserve"> exists either. Its worst outcomes were also better: CVaR₀.₂ was 155 against 113, and its minimum 116 against 95. Distributed seeding was more predictable in the sense of a smaller variance, but not in the sense that matters to a risk-averse manager, because its variability was low around a low level, whereas the variability of concentrated seeding came almost entirely from favorable outcomes. Within individual replications, distributed seeding was ahead after one hour in 40% of runs and after two hours in 23%, so its early lead, where present, was small and brief.</w:t>
      </w:r>
    </w:p>
    <w:p>
      <w:pPr>
        <w:spacing w:after="160" w:line="360"/>
        <w:jc w:val="both"/>
      </w:pPr>
      <w:r>
        <w:rPr>
          <w:rFonts w:ascii="Times New Roman" w:cs="Times New Roman" w:eastAsia="Times New Roman" w:hAnsi="Times New Roman"/>
        </w:rPr>
        <w:t xml:space="preserve">The answer to RQ1 is therefore negative for this configuration: under any monotone preference over adopters, time, and risk, concentrated seeding is the better plan, and the apparent trade-off is produced by the scale-normalized speed metric.</w:t>
      </w:r>
    </w:p>
    <w:p>
      <w:pPr>
        <w:jc w:val="center"/>
      </w:pPr>
      <w:r>
        <w:drawing>
          <wp:inline distT="0" distB="0" distL="0" distR="0">
            <wp:extent cx="5715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62175"/>
                    </a:xfrm>
                    <a:prstGeom prst="rect">
                      <a:avLst/>
                    </a:prstGeom>
                  </pic:spPr>
                </pic:pic>
              </a:graphicData>
            </a:graphic>
          </wp:inline>
        </w:drawing>
      </w:r>
    </w:p>
    <w:p>
      <w:pPr>
        <w:spacing w:after="200"/>
        <w:jc w:val="left"/>
      </w:pPr>
      <w:r>
        <w:rPr>
          <w:rFonts w:ascii="Times New Roman" w:cs="Times New Roman" w:eastAsia="Times New Roman" w:hAnsi="Times New Roman"/>
          <w:sz w:val="20"/>
          <w:szCs w:val="20"/>
        </w:rPr>
        <w:t xml:space="preserve">Fig. 1. Mean cumulative adopters after injection. (a) Base configuration, 15 paired replications shown for comparability with panel (b). (b) Engagement elasticity β = 0.3.</w:t>
      </w:r>
    </w:p>
    <w:p>
      <w:pPr>
        <w:pStyle w:val="Heading2"/>
        <w:spacing w:after="120" w:before="240"/>
      </w:pPr>
      <w:r>
        <w:rPr>
          <w:rFonts w:ascii="Times New Roman" w:cs="Times New Roman" w:eastAsia="Times New Roman" w:hAnsi="Times New Roman"/>
          <w:b/>
          <w:bCs/>
          <w:i/>
          <w:iCs/>
          <w:color w:val="000000"/>
          <w:sz w:val="24"/>
          <w:szCs w:val="24"/>
        </w:rPr>
        <w:t xml:space="preserve">5.3 Does the timing assumption matter? (RQ2)</w:t>
      </w:r>
    </w:p>
    <w:p>
      <w:pPr>
        <w:spacing w:after="160" w:line="360"/>
        <w:jc w:val="both"/>
      </w:pPr>
      <w:r>
        <w:rPr>
          <w:rFonts w:ascii="Times New Roman" w:cs="Times New Roman" w:eastAsia="Times New Roman" w:hAnsi="Times New Roman"/>
        </w:rPr>
        <w:t xml:space="preserve">Table 3 repeats the base comparison under the four schedulers. The direction of every result was unchanged: concentrated seeding produced more adopters, reached a later t₅₀, and dominated on CVaR₀.₂ under all four. The magnitudes were not. Under polling, HPP, and circadian-only activation, the scale advantage of concentration was 286 to 340 adopters, roughly twice the 155 obtained under the event-driven scheduler, and the t₅₀ gap was 2.6 to 3.0 hours rather than 1.1 hours. Circadian-only activation, which reproduces daily rhythms but not reactivity, did not close the gap; the difference lies in the stimulus channel, not the daily profile.</w:t>
      </w:r>
    </w:p>
    <w:p>
      <w:pPr>
        <w:spacing w:after="100" w:before="200"/>
        <w:jc w:val="left"/>
      </w:pPr>
      <w:r>
        <w:rPr>
          <w:rFonts w:ascii="Times New Roman" w:cs="Times New Roman" w:eastAsia="Times New Roman" w:hAnsi="Times New Roman"/>
          <w:b/>
          <w:bCs/>
          <w:sz w:val="22"/>
          <w:szCs w:val="22"/>
        </w:rPr>
        <w:t xml:space="preserve">Table 3. Concentrated minus distributed seeding under alternative schedulers (β = 0, 18:00 injection, 30 paired replications)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800"/>
        <w:gridCol w:w="1900"/>
        <w:gridCol w:w="1500"/>
      </w:tblGrid>
      <w:tr>
        <w:trPr>
          <w:tblHeader/>
        </w:trPr>
        <w:tc>
          <w:tcPr>
            <w:tcW w:type="dxa" w:w="26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bCs/>
                <w:sz w:val="19"/>
                <w:szCs w:val="19"/>
              </w:rPr>
              <w:t xml:space="preserve">Scheduler</w:t>
            </w:r>
          </w:p>
        </w:tc>
        <w:tc>
          <w:tcPr>
            <w:tcW w:type="dxa" w:w="15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Adopters (C / D)</w:t>
            </w:r>
          </w:p>
        </w:tc>
        <w:tc>
          <w:tcPr>
            <w:tcW w:type="dxa" w:w="18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Δ adopters [95% CI]</w:t>
            </w:r>
          </w:p>
        </w:tc>
        <w:tc>
          <w:tcPr>
            <w:tcW w:type="dxa" w:w="19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Δ t₅₀, h [95% CI]</w:t>
            </w:r>
          </w:p>
        </w:tc>
        <w:tc>
          <w:tcPr>
            <w:tcW w:type="dxa" w:w="15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CVaR₀.₂ (C / D)</w:t>
            </w:r>
          </w:p>
        </w:tc>
      </w:tr>
      <w:tr>
        <w:trPr>
          <w:tblHeader w:val="false"/>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Event-driven IPP (proposed)</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299 / 144</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155 [115, 201]</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1.13 [0.91, 1.36]</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155 / 113</w:t>
            </w:r>
          </w:p>
        </w:tc>
      </w:tr>
      <w:tr>
        <w:trPr>
          <w:tblHeader w:val="false"/>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Circadian-only IPP</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548 / 208</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340 [263, 425]</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2.56 [1.77, 3.51]</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275 / 168</w:t>
            </w:r>
          </w:p>
        </w:tc>
      </w:tr>
      <w:tr>
        <w:trPr>
          <w:tblHeader w:val="false"/>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Homogeneous Poisson</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478 / 192</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286 [222, 359]</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2.94 [2.12, 4.00]</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268 / 160</w:t>
            </w:r>
          </w:p>
        </w:tc>
      </w:tr>
      <w:tr>
        <w:trPr>
          <w:tblHeader w:val="false"/>
        </w:trPr>
        <w:tc>
          <w:tcPr>
            <w:tcW w:type="dxa" w:w="2600"/>
            <w:tcBorders>
              <w:top w:val="none" w:color="FFFFFF" w:sz="0"/>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Fixed-period polling</w:t>
            </w:r>
          </w:p>
        </w:tc>
        <w:tc>
          <w:tcPr>
            <w:tcW w:type="dxa" w:w="15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484 / 193</w:t>
            </w:r>
          </w:p>
        </w:tc>
        <w:tc>
          <w:tcPr>
            <w:tcW w:type="dxa" w:w="18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292 [232, 357]</w:t>
            </w:r>
          </w:p>
        </w:tc>
        <w:tc>
          <w:tcPr>
            <w:tcW w:type="dxa" w:w="19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2.96 [2.31, 3.73]</w:t>
            </w:r>
          </w:p>
        </w:tc>
        <w:tc>
          <w:tcPr>
            <w:tcW w:type="dxa" w:w="15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270 / 155</w:t>
            </w:r>
          </w:p>
        </w:tc>
      </w:tr>
    </w:tbl>
    <w:p>
      <w:pPr>
        <w:spacing w:after="200"/>
        <w:jc w:val="left"/>
      </w:pPr>
      <w:r>
        <w:rPr>
          <w:rFonts w:ascii="Times New Roman" w:cs="Times New Roman" w:eastAsia="Times New Roman" w:hAnsi="Times New Roman"/>
          <w:sz w:val="20"/>
          <w:szCs w:val="20"/>
        </w:rPr>
        <w:t xml:space="preserve">Note. Alternative schedulers were volume-matched to the proposed scheduler (Section 3.5). C = concentrated, D = distributed.</w:t>
      </w:r>
    </w:p>
    <w:p>
      <w:pPr>
        <w:spacing w:after="160" w:line="360"/>
        <w:jc w:val="both"/>
      </w:pPr>
      <w:r>
        <w:rPr>
          <w:rFonts w:ascii="Times New Roman" w:cs="Times New Roman" w:eastAsia="Times New Roman" w:hAnsi="Times New Roman"/>
        </w:rPr>
        <w:t xml:space="preserve">The pattern was the same when the campaign was injected at 03:00 or 09:00 (Table 4). Under the event-driven scheduler a night-time injection roughly halved the reach of both plans, because few agents were active to respond, whereas under circadian-only activation the night-time effect appeared mainly as a long delay, with the t₅₀ of concentrated seeding stretching to almost ten hours.</w:t>
      </w:r>
    </w:p>
    <w:p>
      <w:pPr>
        <w:spacing w:after="100" w:before="200"/>
        <w:jc w:val="left"/>
      </w:pPr>
      <w:r>
        <w:rPr>
          <w:rFonts w:ascii="Times New Roman" w:cs="Times New Roman" w:eastAsia="Times New Roman" w:hAnsi="Times New Roman"/>
          <w:b/>
          <w:bCs/>
          <w:sz w:val="22"/>
          <w:szCs w:val="22"/>
        </w:rPr>
        <w:t xml:space="preserve">Table 4. Effect of injection time (20 paired replications per cell)</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1900"/>
        <w:gridCol w:w="2100"/>
        <w:gridCol w:w="1800"/>
      </w:tblGrid>
      <w:tr>
        <w:trPr>
          <w:tblHeader/>
        </w:trPr>
        <w:tc>
          <w:tcPr>
            <w:tcW w:type="dxa" w:w="13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bCs/>
                <w:sz w:val="19"/>
                <w:szCs w:val="19"/>
              </w:rPr>
              <w:t xml:space="preserve">Injection</w:t>
            </w:r>
          </w:p>
        </w:tc>
        <w:tc>
          <w:tcPr>
            <w:tcW w:type="dxa" w:w="20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Scheduler</w:t>
            </w:r>
          </w:p>
        </w:tc>
        <w:tc>
          <w:tcPr>
            <w:tcW w:type="dxa" w:w="19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Adopters (C / D)</w:t>
            </w:r>
          </w:p>
        </w:tc>
        <w:tc>
          <w:tcPr>
            <w:tcW w:type="dxa" w:w="21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Δ adopters [95% CI]</w:t>
            </w:r>
          </w:p>
        </w:tc>
        <w:tc>
          <w:tcPr>
            <w:tcW w:type="dxa" w:w="18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t₅₀, h (C / D)</w:t>
            </w:r>
          </w:p>
        </w:tc>
      </w:tr>
      <w:tr>
        <w:trPr>
          <w:tblHeader w:val="false"/>
        </w:trPr>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03:00</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Event-driven IPP</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172 / 82</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90 [39, 152]</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3.66 / 2.52</w:t>
            </w:r>
          </w:p>
        </w:tc>
      </w:tr>
      <w:tr>
        <w:trPr>
          <w:tblHeader w:val="false"/>
        </w:trPr>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03:00</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Circadian-only</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471 / 166</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305 [206, 424]</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9.77 / 5.15</w:t>
            </w:r>
          </w:p>
        </w:tc>
      </w:tr>
      <w:tr>
        <w:trPr>
          <w:tblHeader w:val="false"/>
        </w:trPr>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09:00</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Event-driven IPP</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261 / 122</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139 [75, 213]</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3.59 / 2.26</w:t>
            </w:r>
          </w:p>
        </w:tc>
      </w:tr>
      <w:tr>
        <w:trPr>
          <w:tblHeader w:val="false"/>
        </w:trPr>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09:00</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Circadian-only</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581 / 215</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366 [280, 465]</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5.15 / 2.47</w:t>
            </w:r>
          </w:p>
        </w:tc>
      </w:tr>
      <w:tr>
        <w:trPr>
          <w:tblHeader w:val="false"/>
        </w:trPr>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18:00</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Event-driven IPP</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299 / 144</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155 [115, 201]</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2.72 / 1.59</w:t>
            </w:r>
          </w:p>
        </w:tc>
      </w:tr>
      <w:tr>
        <w:trPr>
          <w:tblHeader w:val="false"/>
        </w:trPr>
        <w:tc>
          <w:tcPr>
            <w:tcW w:type="dxa" w:w="1300"/>
            <w:tcBorders>
              <w:top w:val="none" w:color="FFFFFF" w:sz="0"/>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18:00</w:t>
            </w:r>
          </w:p>
        </w:tc>
        <w:tc>
          <w:tcPr>
            <w:tcW w:type="dxa" w:w="20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Circadian-only</w:t>
            </w:r>
          </w:p>
        </w:tc>
        <w:tc>
          <w:tcPr>
            <w:tcW w:type="dxa" w:w="19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548 / 208</w:t>
            </w:r>
          </w:p>
        </w:tc>
        <w:tc>
          <w:tcPr>
            <w:tcW w:type="dxa" w:w="21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340 [263, 425]</w:t>
            </w:r>
          </w:p>
        </w:tc>
        <w:tc>
          <w:tcPr>
            <w:tcW w:type="dxa" w:w="18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4.23 / 1.67</w:t>
            </w:r>
          </w:p>
        </w:tc>
      </w:tr>
    </w:tbl>
    <w:p>
      <w:pPr>
        <w:spacing w:after="160" w:line="360"/>
        <w:jc w:val="both"/>
      </w:pPr>
      <w:r>
        <w:rPr>
          <w:rFonts w:ascii="Times New Roman" w:cs="Times New Roman" w:eastAsia="Times New Roman" w:hAnsi="Times New Roman"/>
        </w:rPr>
        <w:t xml:space="preserve">The answer to RQ2 is that, in this configuration, the timing assumption did not change the ranking but changed the size of the differences by a factor of about two. Where a decision turns on a threshold, for example whether the scale advantage exceeds the cost of contracting influencers, or whether a trade-off band exists at all (Section 5.5), a factor of two is decision-relevant.</w:t>
      </w:r>
    </w:p>
    <w:p>
      <w:pPr>
        <w:pStyle w:val="Heading2"/>
        <w:spacing w:after="120" w:before="240"/>
      </w:pPr>
      <w:r>
        <w:rPr>
          <w:rFonts w:ascii="Times New Roman" w:cs="Times New Roman" w:eastAsia="Times New Roman" w:hAnsi="Times New Roman"/>
          <w:b/>
          <w:bCs/>
          <w:i/>
          <w:iCs/>
          <w:color w:val="000000"/>
          <w:sz w:val="24"/>
          <w:szCs w:val="24"/>
        </w:rPr>
        <w:t xml:space="preserve">5.4 Seed pricing and hybrid portfolios (RQ3)</w:t>
      </w:r>
    </w:p>
    <w:p>
      <w:pPr>
        <w:spacing w:after="160" w:line="360"/>
        <w:jc w:val="both"/>
      </w:pPr>
      <w:r>
        <w:rPr>
          <w:rFonts w:ascii="Times New Roman" w:cs="Times New Roman" w:eastAsia="Times New Roman" w:hAnsi="Times New Roman"/>
        </w:rPr>
        <w:t xml:space="preserve">Table 5 reports hybrid portfolios under three pricing rules. Under equal-link pricing, each additional influencer raised expected reach, CVaR₀.₂, and discounted reach at δ = 1 per hour, and the pure concentrated plan (k = 3) was best or tied on every criterion. Under concave pricing (γ = 0.7) or a fixed per-account fee (c₀ = 10 follower-equivalents), the same budget bought only 88 to 102 ordinary accounts, and distributed seeding reached 30 to 35 adopters, about a tenth of concentrated seeding. Pricing therefore strengthens the case for concentration in this configuration: the equal-link comparison is generous to distributed seeding, because it ignores the per-account costs of working with hundreds of small accounts.</w:t>
      </w:r>
    </w:p>
    <w:p>
      <w:pPr>
        <w:spacing w:after="100" w:before="200"/>
        <w:jc w:val="left"/>
      </w:pPr>
      <w:r>
        <w:rPr>
          <w:rFonts w:ascii="Times New Roman" w:cs="Times New Roman" w:eastAsia="Times New Roman" w:hAnsi="Times New Roman"/>
          <w:b/>
          <w:bCs/>
          <w:sz w:val="22"/>
          <w:szCs w:val="22"/>
        </w:rPr>
        <w:t xml:space="preserve">Table 5. Hybrid portfolios: k largest accounts plus ordinary accounts filling the budget (β = 0, 20 paired replications)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900"/>
        <w:gridCol w:w="600"/>
        <w:gridCol w:w="900"/>
        <w:gridCol w:w="1800"/>
        <w:gridCol w:w="1100"/>
        <w:gridCol w:w="1200"/>
        <w:gridCol w:w="1000"/>
      </w:tblGrid>
      <w:tr>
        <w:trPr>
          <w:tblHeader/>
        </w:trPr>
        <w:tc>
          <w:tcPr>
            <w:tcW w:type="dxa" w:w="19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bCs/>
                <w:sz w:val="19"/>
                <w:szCs w:val="19"/>
              </w:rPr>
              <w:t xml:space="preserve">Pricing C(f)</w:t>
            </w:r>
          </w:p>
        </w:tc>
        <w:tc>
          <w:tcPr>
            <w:tcW w:type="dxa" w:w="6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k</w:t>
            </w:r>
          </w:p>
        </w:tc>
        <w:tc>
          <w:tcPr>
            <w:tcW w:type="dxa" w:w="9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Seeds</w:t>
            </w:r>
          </w:p>
        </w:tc>
        <w:tc>
          <w:tcPr>
            <w:tcW w:type="dxa" w:w="18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Mean adopters (SD)</w:t>
            </w:r>
          </w:p>
        </w:tc>
        <w:tc>
          <w:tcPr>
            <w:tcW w:type="dxa" w:w="11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CVaR₀.₂</w:t>
            </w:r>
          </w:p>
        </w:tc>
        <w:tc>
          <w:tcPr>
            <w:tcW w:type="dxa" w:w="12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V(δ = 1/h)</w:t>
            </w:r>
          </w:p>
        </w:tc>
        <w:tc>
          <w:tcPr>
            <w:tcW w:type="dxa" w:w="10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t₅₀ (h)</w:t>
            </w:r>
          </w:p>
        </w:tc>
      </w:tr>
      <w:tr>
        <w:trPr>
          <w:tblHeader w:val="false"/>
        </w:trPr>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f (equal links)</w:t>
            </w:r>
          </w:p>
        </w:tc>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427</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137 (22)</w:t>
            </w:r>
          </w:p>
        </w:tc>
        <w:tc>
          <w:tcPr>
            <w:tcW w:type="dxa" w:w="11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110</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42</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1.55</w:t>
            </w:r>
          </w:p>
        </w:tc>
      </w:tr>
      <w:tr>
        <w:trPr>
          <w:tblHeader w:val="false"/>
        </w:trPr>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p>
        </w:tc>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260</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219 (90)</w:t>
            </w:r>
          </w:p>
        </w:tc>
        <w:tc>
          <w:tcPr>
            <w:tcW w:type="dxa" w:w="11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126</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48</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2.28</w:t>
            </w:r>
          </w:p>
        </w:tc>
      </w:tr>
      <w:tr>
        <w:trPr>
          <w:tblHeader w:val="false"/>
        </w:trPr>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p>
        </w:tc>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118</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282 (113)</w:t>
            </w:r>
          </w:p>
        </w:tc>
        <w:tc>
          <w:tcPr>
            <w:tcW w:type="dxa" w:w="11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133</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52</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2.76</w:t>
            </w:r>
          </w:p>
        </w:tc>
      </w:tr>
      <w:tr>
        <w:trPr>
          <w:tblHeader w:val="false"/>
        </w:trPr>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p>
        </w:tc>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303 (128)</w:t>
            </w:r>
          </w:p>
        </w:tc>
        <w:tc>
          <w:tcPr>
            <w:tcW w:type="dxa" w:w="11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156</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51</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2.80</w:t>
            </w:r>
          </w:p>
        </w:tc>
      </w:tr>
      <w:tr>
        <w:trPr>
          <w:tblHeader w:val="false"/>
        </w:trPr>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f^0.7 (concave)</w:t>
            </w:r>
          </w:p>
        </w:tc>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102</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35 (6)</w:t>
            </w:r>
          </w:p>
        </w:tc>
        <w:tc>
          <w:tcPr>
            <w:tcW w:type="dxa" w:w="11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28</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10</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1.66</w:t>
            </w:r>
          </w:p>
        </w:tc>
      </w:tr>
      <w:tr>
        <w:trPr>
          <w:tblHeader w:val="false"/>
        </w:trPr>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p>
        </w:tc>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65</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174 (132)</w:t>
            </w:r>
          </w:p>
        </w:tc>
        <w:tc>
          <w:tcPr>
            <w:tcW w:type="dxa" w:w="11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74</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30</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2.53</w:t>
            </w:r>
          </w:p>
        </w:tc>
      </w:tr>
      <w:tr>
        <w:trPr>
          <w:tblHeader w:val="false"/>
        </w:trPr>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p>
        </w:tc>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32</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248 (121)</w:t>
            </w:r>
          </w:p>
        </w:tc>
        <w:tc>
          <w:tcPr>
            <w:tcW w:type="dxa" w:w="11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119</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42</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2.76</w:t>
            </w:r>
          </w:p>
        </w:tc>
      </w:tr>
      <w:tr>
        <w:trPr>
          <w:tblHeader w:val="false"/>
        </w:trPr>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p>
        </w:tc>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303 (128)</w:t>
            </w:r>
          </w:p>
        </w:tc>
        <w:tc>
          <w:tcPr>
            <w:tcW w:type="dxa" w:w="11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156</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51</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2.80</w:t>
            </w:r>
          </w:p>
        </w:tc>
      </w:tr>
      <w:tr>
        <w:trPr>
          <w:tblHeader w:val="false"/>
        </w:trPr>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10 + f (fixed fee)</w:t>
            </w:r>
          </w:p>
        </w:tc>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88</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30 (7)</w:t>
            </w:r>
          </w:p>
        </w:tc>
        <w:tc>
          <w:tcPr>
            <w:tcW w:type="dxa" w:w="11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21</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9</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1.53</w:t>
            </w:r>
          </w:p>
        </w:tc>
      </w:tr>
      <w:tr>
        <w:trPr>
          <w:tblHeader w:val="false"/>
        </w:trPr>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p>
        </w:tc>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55</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179 (112)</w:t>
            </w:r>
          </w:p>
        </w:tc>
        <w:tc>
          <w:tcPr>
            <w:tcW w:type="dxa" w:w="11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73</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30</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2.75</w:t>
            </w:r>
          </w:p>
        </w:tc>
      </w:tr>
      <w:tr>
        <w:trPr>
          <w:tblHeader w:val="false"/>
        </w:trPr>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p>
        </w:tc>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26</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252 (122)</w:t>
            </w:r>
          </w:p>
        </w:tc>
        <w:tc>
          <w:tcPr>
            <w:tcW w:type="dxa" w:w="11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126</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42</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2.84</w:t>
            </w:r>
          </w:p>
        </w:tc>
      </w:tr>
      <w:tr>
        <w:trPr>
          <w:tblHeader w:val="false"/>
        </w:trPr>
        <w:tc>
          <w:tcPr>
            <w:tcW w:type="dxa" w:w="1900"/>
            <w:tcBorders>
              <w:top w:val="none" w:color="FFFFFF" w:sz="0"/>
              <w:left w:val="none" w:color="FFFFFF" w:sz="0"/>
              <w:bottom w:val="single" w:color="000000" w:sz="4"/>
              <w:right w:val="none" w:color="FFFFFF" w:sz="0"/>
            </w:tcBorders>
            <w:tcMar>
              <w:top w:type="dxa" w:w="60"/>
              <w:left w:type="dxa" w:w="80"/>
              <w:bottom w:type="dxa" w:w="60"/>
              <w:right w:type="dxa" w:w="80"/>
            </w:tcMar>
          </w:tcPr>
          <w:p>
            <w:pPr>
              <w:jc w:val="left"/>
            </w:pPr>
          </w:p>
        </w:tc>
        <w:tc>
          <w:tcPr>
            <w:tcW w:type="dxa" w:w="6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w:t>
            </w:r>
          </w:p>
        </w:tc>
        <w:tc>
          <w:tcPr>
            <w:tcW w:type="dxa" w:w="9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w:t>
            </w:r>
          </w:p>
        </w:tc>
        <w:tc>
          <w:tcPr>
            <w:tcW w:type="dxa" w:w="18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303 (128)</w:t>
            </w:r>
          </w:p>
        </w:tc>
        <w:tc>
          <w:tcPr>
            <w:tcW w:type="dxa" w:w="11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156</w:t>
            </w:r>
          </w:p>
        </w:tc>
        <w:tc>
          <w:tcPr>
            <w:tcW w:type="dxa" w:w="12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51</w:t>
            </w:r>
          </w:p>
        </w:tc>
        <w:tc>
          <w:tcPr>
            <w:tcW w:type="dxa" w:w="10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2.80</w:t>
            </w:r>
          </w:p>
        </w:tc>
      </w:tr>
    </w:tbl>
    <w:p>
      <w:pPr>
        <w:pStyle w:val="Heading2"/>
        <w:spacing w:after="120" w:before="240"/>
      </w:pPr>
      <w:r>
        <w:rPr>
          <w:rFonts w:ascii="Times New Roman" w:cs="Times New Roman" w:eastAsia="Times New Roman" w:hAnsi="Times New Roman"/>
          <w:b/>
          <w:bCs/>
          <w:i/>
          <w:iCs/>
          <w:color w:val="000000"/>
          <w:sz w:val="24"/>
          <w:szCs w:val="24"/>
        </w:rPr>
        <w:t xml:space="preserve">5.5 Engagement elasticity and the reversal of the ranking (RQ4)</w:t>
      </w:r>
    </w:p>
    <w:p>
      <w:pPr>
        <w:spacing w:after="160" w:line="360"/>
        <w:jc w:val="both"/>
      </w:pPr>
      <w:r>
        <w:rPr>
          <w:rFonts w:ascii="Times New Roman" w:cs="Times New Roman" w:eastAsia="Times New Roman" w:hAnsi="Times New Roman"/>
        </w:rPr>
        <w:t xml:space="preserve">Sections 5.2 to 5.4 assume that every follower is equally likely to see a post. Table 6 and Fig. 2 relax this assumption by varying β in Eq. (1), which applies to all accounts in the network. The ranking reversed, and it did so at different values of β for different criteria. On discounted reach at δ = 1 per hour and on CVaR₀.₂, concentrated seeding lost its advantage near β = 0.1, and distributed seeding was clearly better from β = 0.15. On expected final reach, concentrated seeding kept a nominal advantage up to β = 0.25, although the interval included zero from β = 0.15, and distributed seeding was clearly better from β = 0.3. At β = 0.3, distributed seeding produced more adopters (175 vs. 123), led at every hour (Fig. 1b), and had better worst-case outcomes (CVaR₀.₂ of 136 vs. 67).</w:t>
      </w:r>
    </w:p>
    <w:p>
      <w:pPr>
        <w:spacing w:after="100" w:before="200"/>
        <w:jc w:val="left"/>
      </w:pPr>
      <w:r>
        <w:rPr>
          <w:rFonts w:ascii="Times New Roman" w:cs="Times New Roman" w:eastAsia="Times New Roman" w:hAnsi="Times New Roman"/>
          <w:b/>
          <w:bCs/>
          <w:sz w:val="22"/>
          <w:szCs w:val="22"/>
        </w:rPr>
        <w:t xml:space="preserve">Table 6. Concentrated versus distributed seeding as a function of the engagement elasticity β (equal-link budget, 15 paired replications)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700"/>
        <w:gridCol w:w="900"/>
        <w:gridCol w:w="1800"/>
        <w:gridCol w:w="1400"/>
        <w:gridCol w:w="1500"/>
      </w:tblGrid>
      <w:tr>
        <w:trPr>
          <w:tblHeader/>
        </w:trPr>
        <w:tc>
          <w:tcPr>
            <w:tcW w:type="dxa" w:w="7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bCs/>
                <w:sz w:val="19"/>
                <w:szCs w:val="19"/>
              </w:rPr>
              <w:t xml:space="preserve">β</w:t>
            </w:r>
          </w:p>
        </w:tc>
        <w:tc>
          <w:tcPr>
            <w:tcW w:type="dxa" w:w="14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Adopters (C / D)</w:t>
            </w:r>
          </w:p>
        </w:tc>
        <w:tc>
          <w:tcPr>
            <w:tcW w:type="dxa" w:w="17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Δ adopters [95% CI]</w:t>
            </w:r>
          </w:p>
        </w:tc>
        <w:tc>
          <w:tcPr>
            <w:tcW w:type="dxa" w:w="9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P(C &gt; D)</w:t>
            </w:r>
          </w:p>
        </w:tc>
        <w:tc>
          <w:tcPr>
            <w:tcW w:type="dxa" w:w="18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Δ V(δ=1/h) [95% CI]</w:t>
            </w:r>
          </w:p>
        </w:tc>
        <w:tc>
          <w:tcPr>
            <w:tcW w:type="dxa" w:w="14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CVaR₀.₂ (C / D)</w:t>
            </w:r>
          </w:p>
        </w:tc>
        <w:tc>
          <w:tcPr>
            <w:tcW w:type="dxa" w:w="15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Adopters at 1 h (C / D)</w:t>
            </w:r>
          </w:p>
        </w:tc>
      </w:tr>
      <w:tr>
        <w:trPr>
          <w:tblHeader w:val="false"/>
        </w:trPr>
        <w:tc>
          <w:tcPr>
            <w:tcW w:type="dxa" w:w="7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0</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289 / 133</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157 [100, 218]</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1.00</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7.8 [2.2, 14.1]</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147 / 105</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51 / 49</w:t>
            </w:r>
          </w:p>
        </w:tc>
      </w:tr>
      <w:tr>
        <w:trPr>
          <w:tblHeader w:val="false"/>
        </w:trPr>
        <w:tc>
          <w:tcPr>
            <w:tcW w:type="dxa" w:w="7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0.05</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283 / 143</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140 [84, 198]</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0.87</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6.6 [−1.6, 15.2]</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130 / 107</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51 / 49</w:t>
            </w:r>
          </w:p>
        </w:tc>
      </w:tr>
      <w:tr>
        <w:trPr>
          <w:tblHeader w:val="false"/>
        </w:trPr>
        <w:tc>
          <w:tcPr>
            <w:tcW w:type="dxa" w:w="7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0.10</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261 / 144</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117 [39, 218]</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0.73</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−2.5 [−7.8, 3.7]</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121 / 118</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41 / 48</w:t>
            </w:r>
          </w:p>
        </w:tc>
      </w:tr>
      <w:tr>
        <w:trPr>
          <w:tblHeader w:val="false"/>
        </w:trPr>
        <w:tc>
          <w:tcPr>
            <w:tcW w:type="dxa" w:w="7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0.15</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207 / 159</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49 [−10, 131]</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0.67</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−15.4 [−21.1, −10.8]</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90 / 129</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32 / 56</w:t>
            </w:r>
          </w:p>
        </w:tc>
      </w:tr>
      <w:tr>
        <w:trPr>
          <w:tblHeader w:val="false"/>
        </w:trPr>
        <w:tc>
          <w:tcPr>
            <w:tcW w:type="dxa" w:w="7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0.20</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159 / 156</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 [−26, 37]</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0.27</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−19.1 [−23.1, −14.7]</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112 / 132</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30 / 54</w:t>
            </w:r>
          </w:p>
        </w:tc>
      </w:tr>
      <w:tr>
        <w:trPr>
          <w:tblHeader w:val="false"/>
        </w:trPr>
        <w:tc>
          <w:tcPr>
            <w:tcW w:type="dxa" w:w="7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0.25</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203 / 170</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33 [−26, 100]</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0.53</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−22.6 [−26.9, −18.7]</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79 / 137</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29 / 58</w:t>
            </w:r>
          </w:p>
        </w:tc>
      </w:tr>
      <w:tr>
        <w:trPr>
          <w:tblHeader w:val="false"/>
        </w:trPr>
        <w:tc>
          <w:tcPr>
            <w:tcW w:type="dxa" w:w="7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0.30</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123 / 175</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−52 [−82, −16]</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0.13</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−29.7 [−33.4, −25.4]</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67 / 136</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23 / 59</w:t>
            </w:r>
          </w:p>
        </w:tc>
      </w:tr>
      <w:tr>
        <w:trPr>
          <w:tblHeader w:val="false"/>
        </w:trPr>
        <w:tc>
          <w:tcPr>
            <w:tcW w:type="dxa" w:w="700"/>
            <w:tcBorders>
              <w:top w:val="none" w:color="FFFFFF" w:sz="0"/>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0.50</w:t>
            </w:r>
          </w:p>
        </w:tc>
        <w:tc>
          <w:tcPr>
            <w:tcW w:type="dxa" w:w="14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77 / 193</w:t>
            </w:r>
          </w:p>
        </w:tc>
        <w:tc>
          <w:tcPr>
            <w:tcW w:type="dxa" w:w="17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−116 [−135, −91]</w:t>
            </w:r>
          </w:p>
        </w:tc>
        <w:tc>
          <w:tcPr>
            <w:tcW w:type="dxa" w:w="9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0.00</w:t>
            </w:r>
          </w:p>
        </w:tc>
        <w:tc>
          <w:tcPr>
            <w:tcW w:type="dxa" w:w="18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−42.1 [−45.7, −38.6]</w:t>
            </w:r>
          </w:p>
        </w:tc>
        <w:tc>
          <w:tcPr>
            <w:tcW w:type="dxa" w:w="14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48 / 147</w:t>
            </w:r>
          </w:p>
        </w:tc>
        <w:tc>
          <w:tcPr>
            <w:tcW w:type="dxa" w:w="15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13 / 61</w:t>
            </w:r>
          </w:p>
        </w:tc>
      </w:tr>
    </w:tbl>
    <w:p>
      <w:pPr>
        <w:spacing w:after="200"/>
        <w:jc w:val="left"/>
      </w:pPr>
      <w:r>
        <w:rPr>
          <w:rFonts w:ascii="Times New Roman" w:cs="Times New Roman" w:eastAsia="Times New Roman" w:hAnsi="Times New Roman"/>
          <w:sz w:val="20"/>
          <w:szCs w:val="20"/>
        </w:rPr>
        <w:t xml:space="preserve">Note. The β = 0 row uses the first 15 replications of the base configuration. The non-monotonic value at β = 0.25 reflects the heavy right tail of concentrated outcomes with 15 replications.</w:t>
      </w:r>
    </w:p>
    <w:p>
      <w:pPr>
        <w:jc w:val="center"/>
      </w:pPr>
      <w:r>
        <w:drawing>
          <wp:inline distT="0" distB="0" distL="0" distR="0">
            <wp:extent cx="4000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476500"/>
                    </a:xfrm>
                    <a:prstGeom prst="rect">
                      <a:avLst/>
                    </a:prstGeom>
                  </pic:spPr>
                </pic:pic>
              </a:graphicData>
            </a:graphic>
          </wp:inline>
        </w:drawing>
      </w:r>
    </w:p>
    <w:p>
      <w:pPr>
        <w:spacing w:after="200"/>
        <w:jc w:val="left"/>
      </w:pPr>
      <w:r>
        <w:rPr>
          <w:rFonts w:ascii="Times New Roman" w:cs="Times New Roman" w:eastAsia="Times New Roman" w:hAnsi="Times New Roman"/>
          <w:sz w:val="20"/>
          <w:szCs w:val="20"/>
        </w:rPr>
        <w:t xml:space="preserve">Fig. 2. Paired difference (concentrated minus distributed) in final adopters and in discounted reach at δ = 1 per hour, by engagement elasticity. Bars are 95% bootstrap intervals.</w:t>
      </w:r>
    </w:p>
    <w:p>
      <w:pPr>
        <w:spacing w:after="160" w:line="360"/>
        <w:jc w:val="both"/>
      </w:pPr>
      <w:r>
        <w:rPr>
          <w:rFonts w:ascii="Times New Roman" w:cs="Times New Roman" w:eastAsia="Times New Roman" w:hAnsi="Times New Roman"/>
        </w:rPr>
        <w:t xml:space="preserve">Two thresholds therefore bound a band, roughly 0.1 &lt; β &lt; 0.25 in this configuration, in which a genuine trade-off exists: concentration offers more adopters in expectation, with a long right tail, while distribution reaches more people early and protects against poor outcomes. Inside this band, and only inside it, the choice depends on the manager's attention half-life and risk aversion, and the critical δ</w:t>
      </w:r>
      <w:r>
        <w:rPr>
          <w:rFonts w:ascii="Times New Roman" w:cs="Times New Roman" w:eastAsia="Times New Roman" w:hAnsi="Times New Roman"/>
          <w:i/>
          <w:iCs/>
        </w:rPr>
        <w:t xml:space="preserve"> and ρ</w:t>
      </w:r>
      <w:r>
        <w:rPr>
          <w:rFonts w:ascii="Times New Roman" w:cs="Times New Roman" w:eastAsia="Times New Roman" w:hAnsi="Times New Roman"/>
        </w:rPr>
        <w:t xml:space="preserve"> of Section 4 are well defined. Below the band concentration dominates and above it distribution dominates, whatever the manager's preferences.</w:t>
      </w:r>
    </w:p>
    <w:p>
      <w:pPr>
        <w:pStyle w:val="Heading2"/>
        <w:spacing w:after="120" w:before="240"/>
      </w:pPr>
      <w:r>
        <w:rPr>
          <w:rFonts w:ascii="Times New Roman" w:cs="Times New Roman" w:eastAsia="Times New Roman" w:hAnsi="Times New Roman"/>
          <w:b/>
          <w:bCs/>
          <w:i/>
          <w:iCs/>
          <w:color w:val="000000"/>
          <w:sz w:val="24"/>
          <w:szCs w:val="24"/>
        </w:rPr>
        <w:t xml:space="preserve">5.6 Estimating the engagement elasticity and calibrating timing on platform data</w:t>
      </w:r>
    </w:p>
    <w:p>
      <w:pPr>
        <w:spacing w:after="160" w:line="360"/>
        <w:jc w:val="both"/>
      </w:pPr>
      <w:r>
        <w:rPr>
          <w:rFonts w:ascii="Times New Roman" w:cs="Times New Roman" w:eastAsia="Times New Roman" w:hAnsi="Times New Roman"/>
        </w:rPr>
        <w:t xml:space="preserve">Section 5.5 locates the decision on the engagement elasticity β, so the practical question is where real campaigns lie. We use SAGraph (Zhang et al., 2025), a public dataset released under a CC-BY 4.0 license that covers influencer campaigns for six products on Weibo and contains user profiles with follower counts, posts, and timestamped comments and reposts. The procedure has two parts and is implemented in a script included in the supplementary archive.</w:t>
      </w:r>
    </w:p>
    <w:p>
      <w:pPr>
        <w:spacing w:after="160" w:line="360"/>
        <w:jc w:val="both"/>
      </w:pPr>
      <w:r>
        <w:rPr>
          <w:rFonts w:ascii="Times New Roman" w:cs="Times New Roman" w:eastAsia="Times New Roman" w:hAnsi="Times New Roman"/>
          <w:i/>
          <w:iCs/>
        </w:rPr>
        <w:t xml:space="preserve">Elasticity.</w:t>
      </w:r>
      <w:r>
        <w:rPr>
          <w:rFonts w:ascii="Times New Roman" w:cs="Times New Roman" w:eastAsia="Times New Roman" w:hAnsi="Times New Roman"/>
        </w:rPr>
        <w:t xml:space="preserve"> If the expected number of interactions on a post by author </w:t>
      </w:r>
      <w:r>
        <w:rPr>
          <w:rFonts w:ascii="Times New Roman" w:cs="Times New Roman" w:eastAsia="Times New Roman" w:hAnsi="Times New Roman"/>
          <w:i/>
          <w:iCs/>
        </w:rPr>
        <w:t xml:space="preserve">a</w:t>
      </w:r>
      <w:r>
        <w:rPr>
          <w:rFonts w:ascii="Times New Roman" w:cs="Times New Roman" w:eastAsia="Times New Roman" w:hAnsi="Times New Roman"/>
        </w:rPr>
        <w:t xml:space="preserve"> is proportional to f_a^(1−β), then interactions per follower scale as f_a^(−β), which matches the role of β in Eq. (1). We estimate</w:t>
      </w:r>
    </w:p>
    <w:p>
      <w:pPr>
        <w:spacing w:after="160" w:before="80" w:line="360"/>
        <w:jc w:val="center"/>
      </w:pPr>
      <w:r>
        <w:rPr>
          <w:rFonts w:ascii="Times New Roman" w:cs="Times New Roman" w:eastAsia="Times New Roman" w:hAnsi="Times New Roman"/>
        </w:rPr>
        <w:t xml:space="preserve">E[y_p | f_a, product] = exp( α_product + θ · ln f_a ),   β̂ = 1 − θ̂,   (5)</w:t>
      </w:r>
    </w:p>
    <w:p>
      <w:pPr>
        <w:spacing w:after="160" w:line="360"/>
        <w:jc w:val="both"/>
      </w:pPr>
      <w:r>
        <w:rPr>
          <w:rFonts w:ascii="Times New Roman" w:cs="Times New Roman" w:eastAsia="Times New Roman" w:hAnsi="Times New Roman"/>
        </w:rPr>
        <w:t xml:space="preserve">where y_p is the number of comments and reposts on post </w:t>
      </w:r>
      <w:r>
        <w:rPr>
          <w:rFonts w:ascii="Times New Roman" w:cs="Times New Roman" w:eastAsia="Times New Roman" w:hAnsi="Times New Roman"/>
          <w:i/>
          <w:iCs/>
        </w:rPr>
        <w:t xml:space="preserve">p</w:t>
      </w:r>
      <w:r>
        <w:rPr>
          <w:rFonts w:ascii="Times New Roman" w:cs="Times New Roman" w:eastAsia="Times New Roman" w:hAnsi="Times New Roman"/>
        </w:rPr>
        <w:t>, by Poisson pseudo-maximum likelihood (PPML) with product fixed effects and standard errors clustered by author. PPML is consistent under heteroskedasticity and handles posts with no interactions without transformation (Santos Silva and Tenreyro, 2006). The common alternative, ordinary least squares on ln(1 + y_p), is biased when counts are small; on synthetic data with a true β of 0.35 it returned 0.94, whereas PPML returned 0.28 with a confidence interval of [0.20, 0.37] (Appendix B). We also report PPML estimates for each product separately and a binned plot of interactions per follower against audience size.</w:t>
      </w:r>
    </w:p>
    <w:p>
      <w:pPr>
        <w:spacing w:after="160" w:line="360"/>
        <w:jc w:val="both"/>
      </w:pPr>
      <w:r>
        <w:rPr>
          <w:rFonts w:ascii="Times New Roman" w:cs="Times New Roman" w:eastAsia="Times New Roman" w:hAnsi="Times New Roman"/>
          <w:i/>
          <w:iCs/>
        </w:rPr>
        <w:t xml:space="preserve">Timing.</w:t>
      </w:r>
      <w:r>
        <w:rPr>
          <w:rFonts w:ascii="Times New Roman" w:cs="Times New Roman" w:eastAsia="Times New Roman" w:hAnsi="Times New Roman"/>
        </w:rPr>
        <w:t xml:space="preserve"> We split the six products into a calibration set and a held-out validation set of three products each. On the calibration set we fit the five parameters of the daily activity profile c(t) (floor, evening peak and width, midday weight and width) by minimizing the total variation distance to the hourly distribution of interactions, and we fit a log-normal distribution to reply delays, defined as the time from a post to an interaction on it, truncated at 48 hours. On the validation set we report the total variation distance and correlation between the fitted and observed hourly profiles, with a flat profile as a benchmark, and the Kolmogorov–Smirnov distance for reply delays. This replaces the assumed reference profiles used in earlier versions of this study with out-of-sample comparisons to platform data.</w:t>
      </w:r>
    </w:p>
    <w:p>
      <w:pPr>
        <w:spacing w:after="160" w:line="360"/>
        <w:jc w:val="both"/>
      </w:pPr>
      <w:r>
        <w:rPr>
          <w:rFonts w:ascii="Times New Roman" w:cs="Times New Roman" w:eastAsia="Times New Roman" w:hAnsi="Times New Roman"/>
          <w:i/>
          <w:iCs/>
        </w:rPr>
        <w:t xml:space="preserve">Results.</w:t>
      </w:r>
      <w:r>
        <w:rPr>
          <w:rFonts w:ascii="Times New Roman" w:cs="Times New Roman" w:eastAsia="Times New Roman" w:hAnsi="Times New Roman"/>
        </w:rPr>
        <w:t xml:space="preserve"> </w:t>
      </w:r>
      <w:r>
        <w:rPr>
          <w:rFonts w:ascii="Times New Roman" w:cs="Times New Roman" w:eastAsia="Times New Roman" w:hAnsi="Times New Roman"/>
          <w:shd w:fill="FFFF00" w:color="auto" w:val="clear"/>
        </w:rPr>
        <w:t xml:space="preserve">To be inserted after running the pipeline on SAGraph: pooled PPML estimate of β with 95% CI; range of product-level estimates; comparison with the thresholds of Section 5.5 (below 0.1, within the trade-off band, or above 0.25); held-out TV distance, r, and KS D; fitted circadian parameters and reply-delay median. Add Fig. 3 (binned elasticity plot and held-out daily profile) and re-run Section 5.5 at the estimated β and at the ends of its confidence interval.</w:t>
      </w:r>
    </w:p>
    <w:p>
      <w:pPr>
        <w:spacing w:after="160" w:line="360"/>
        <w:jc w:val="both"/>
      </w:pPr>
      <w:r>
        <w:rPr>
          <w:rFonts w:ascii="Times New Roman" w:cs="Times New Roman" w:eastAsia="Times New Roman" w:hAnsi="Times New Roman"/>
          <w:i/>
          <w:iCs/>
        </w:rPr>
        <w:t xml:space="preserve">Scope of the estimate.</w:t>
      </w:r>
      <w:r>
        <w:rPr>
          <w:rFonts w:ascii="Times New Roman" w:cs="Times New Roman" w:eastAsia="Times New Roman" w:hAnsi="Times New Roman"/>
        </w:rPr>
        <w:t xml:space="preserve"> SAGraph collects posts from accounts with at least 100,000 followers, so β is identified over roughly 10⁵ to 10⁷ followers, whereas the simulated network has accounts with tens to hundreds of followers. Applying the estimate to the simulation assumes that the elasticity is constant across scales, that is, that the simulated network is a scaled-down version of the platform. Purchased or inactive followers inflate follower counts and would bias β̂ upward, and because interactions were collected for the posts on each account's first page, the sample over-represents recent posts. We return to these points in Section 6.3.</w:t>
      </w:r>
    </w:p>
    <w:p>
      <w:pPr>
        <w:pStyle w:val="Heading1"/>
        <w:spacing w:after="160" w:before="320"/>
      </w:pPr>
      <w:r>
        <w:rPr>
          <w:rFonts w:ascii="Times New Roman" w:cs="Times New Roman" w:eastAsia="Times New Roman" w:hAnsi="Times New Roman"/>
          <w:b/>
          <w:bCs/>
          <w:color w:val="000000"/>
          <w:sz w:val="26"/>
          <w:szCs w:val="26"/>
        </w:rPr>
        <w:t xml:space="preserve">6. Discussion</w:t>
      </w:r>
    </w:p>
    <w:p>
      <w:pPr>
        <w:pStyle w:val="Heading2"/>
        <w:spacing w:after="120" w:before="240"/>
      </w:pPr>
      <w:r>
        <w:rPr>
          <w:rFonts w:ascii="Times New Roman" w:cs="Times New Roman" w:eastAsia="Times New Roman" w:hAnsi="Times New Roman"/>
          <w:b/>
          <w:bCs/>
          <w:i/>
          <w:iCs/>
          <w:color w:val="000000"/>
          <w:sz w:val="24"/>
          <w:szCs w:val="24"/>
        </w:rPr>
        <w:t xml:space="preserve">6.1 Implications for decision makers</w:t>
      </w:r>
    </w:p>
    <w:p>
      <w:pPr>
        <w:spacing w:after="160" w:line="360"/>
        <w:jc w:val="both"/>
      </w:pPr>
      <w:r>
        <w:rPr>
          <w:rFonts w:ascii="Times New Roman" w:cs="Times New Roman" w:eastAsia="Times New Roman" w:hAnsi="Times New Roman"/>
        </w:rPr>
        <w:t xml:space="preserve">The first implication concerns how simulation output is read. A report that one plan is faster because it reaches half of its adopters sooner should prompt the question: faster at reaching how many people? In our base configuration, the plan that looked fast was behind at every hour. Managers and analysts should compare cumulative reach at fixed horizons, discounted reach at a stated attention half-life, and worst-case outcomes, rather than scale-normalized timing statistics or variances.</w:t>
      </w:r>
    </w:p>
    <w:p>
      <w:pPr>
        <w:spacing w:after="160" w:line="360"/>
        <w:jc w:val="both"/>
      </w:pPr>
      <w:r>
        <w:rPr>
          <w:rFonts w:ascii="Times New Roman" w:cs="Times New Roman" w:eastAsia="Times New Roman" w:hAnsi="Times New Roman"/>
        </w:rPr>
        <w:t xml:space="preserve">The second concerns what to measure before choosing a plan. The decision was governed less by the manager's preferences than by how attention per follower changes with audience size. A manager who can estimate β for the platform and product category can locate the decision: below roughly 0.1, choose influencers; above roughly 0.25 to 0.3, choose many ordinary users; in between, choose according to the attention window and tolerance for a weak campaign, and consider hybrid portfolios. The exact thresholds belong to this synthetic configuration and must be re-estimated for any real application, but the structure of the decision, two thresholds and a band, is likely to be more general.</w:t>
      </w:r>
    </w:p>
    <w:p>
      <w:pPr>
        <w:spacing w:after="160" w:line="360"/>
        <w:jc w:val="both"/>
      </w:pPr>
      <w:r>
        <w:rPr>
          <w:rFonts w:ascii="Times New Roman" w:cs="Times New Roman" w:eastAsia="Times New Roman" w:hAnsi="Times New Roman"/>
        </w:rPr>
        <w:t xml:space="preserve">The third concerns cost. Comparisons at equal follower links ignore the per-account cost of recruiting, briefing, and monitoring hundreds of small accounts. When such costs or concave pricing were included, distributed seeding lost most of its reach. The case for grassroots seeding thus rests on high engagement elasticity, not on the number of accounts it can reach.</w:t>
      </w:r>
    </w:p>
    <w:p>
      <w:pPr>
        <w:pStyle w:val="Heading2"/>
        <w:spacing w:after="120" w:before="240"/>
      </w:pPr>
      <w:r>
        <w:rPr>
          <w:rFonts w:ascii="Times New Roman" w:cs="Times New Roman" w:eastAsia="Times New Roman" w:hAnsi="Times New Roman"/>
          <w:b/>
          <w:bCs/>
          <w:i/>
          <w:iCs/>
          <w:color w:val="000000"/>
          <w:sz w:val="24"/>
          <w:szCs w:val="24"/>
        </w:rPr>
        <w:t xml:space="preserve">6.2 Implications for simulation-based decision support</w:t>
      </w:r>
    </w:p>
    <w:p>
      <w:pPr>
        <w:spacing w:after="160" w:line="360"/>
        <w:jc w:val="both"/>
      </w:pPr>
      <w:r>
        <w:rPr>
          <w:rFonts w:ascii="Times New Roman" w:cs="Times New Roman" w:eastAsia="Times New Roman" w:hAnsi="Times New Roman"/>
        </w:rPr>
        <w:t xml:space="preserve">For builders of LLM-agent simulators, the results suggest that the decision-relevance of the timing mechanism should be tested, not only its realism. In our configuration the timing assumption changed effect sizes by a factor of about two without changing the ranking, which means that any recommendation resting on a threshold, such as the location of the trade-off band, inherits that sensitivity. Pre-tests should report results under at least one alternative scheduler. They should also make the engagement model explicit, because the constant-visibility assumption common in simulators builds in a strong advantage for concentrated seeding.</w:t>
      </w:r>
    </w:p>
    <w:p>
      <w:pPr>
        <w:pStyle w:val="Heading2"/>
        <w:spacing w:after="120" w:before="240"/>
      </w:pPr>
      <w:r>
        <w:rPr>
          <w:rFonts w:ascii="Times New Roman" w:cs="Times New Roman" w:eastAsia="Times New Roman" w:hAnsi="Times New Roman"/>
          <w:b/>
          <w:bCs/>
          <w:i/>
          <w:iCs/>
          <w:color w:val="000000"/>
          <w:sz w:val="24"/>
          <w:szCs w:val="24"/>
        </w:rPr>
        <w:t xml:space="preserve">6.3 Limitations and future research</w:t>
      </w:r>
    </w:p>
    <w:p>
      <w:pPr>
        <w:spacing w:after="160" w:line="360"/>
        <w:jc w:val="both"/>
      </w:pPr>
      <w:r>
        <w:rPr>
          <w:rFonts w:ascii="Times New Roman" w:cs="Times New Roman" w:eastAsia="Times New Roman" w:hAnsi="Times New Roman"/>
        </w:rPr>
        <w:t xml:space="preserve">The study has several limitations. First, all results come from a synthetic population with manually set parameters, and the thresholds in Section 5.5 should be read as properties of this configuration. Second, the behavioral parameters, including the circadian profile, the persona rates, and the cap on stimulus intensity, have not been calibrated to trace data. Third, the experiments use a rule-based intensity oracle; LLM-generated ratings change only the values entering Eq. (3), and concurrent evidence suggests that such ratings matter less for timing than the gating mechanism itself (Zhang et al., 2026), but this should be tested directly. Fourth, adoption follows a simple contagion rule in which one exposure can trigger adoption; Beaman et al. (2021) show that seeding recommendations change when adoption requires several exposures, and a threshold rule is a natural extension. Fifth, the engagement elasticity applies to all accounts in the network, not only to seeds, and some cells use 15 replications, which leaves the β = 0.25 estimate noisy.</w:t>
      </w:r>
    </w:p>
    <w:p>
      <w:pPr>
        <w:spacing w:after="160" w:line="360"/>
        <w:jc w:val="both"/>
      </w:pPr>
      <w:r>
        <w:rPr>
          <w:rFonts w:ascii="Times New Roman" w:cs="Times New Roman" w:eastAsia="Times New Roman" w:hAnsi="Times New Roman"/>
        </w:rPr>
        <w:t xml:space="preserve">The empirical step in Section 5.6 has its own limits. The elasticity is estimated on accounts with at least 100,000 followers and transferred to a much smaller simulated network under an assumption of constant elasticity; it measures engagement, which combines seeing a post with choosing to respond, whereas Eq. (1) concerns exposure alone; and follower counts on Weibo may include purchased or inactive accounts. The estimate comes from one platform, one country, and six product categories, and the elasticity may differ for other platforms and campaign types. Future work should estimate β with data that cover small accounts, separate exposure from response where impression data are available, and compare the simulated relation between seed audience and cascade size with observed campaigns.</w:t>
      </w:r>
    </w:p>
    <w:p>
      <w:pPr>
        <w:pStyle w:val="Heading1"/>
        <w:spacing w:after="160" w:before="320"/>
      </w:pPr>
      <w:r>
        <w:rPr>
          <w:rFonts w:ascii="Times New Roman" w:cs="Times New Roman" w:eastAsia="Times New Roman" w:hAnsi="Times New Roman"/>
          <w:b/>
          <w:bCs/>
          <w:color w:val="000000"/>
          <w:sz w:val="26"/>
          <w:szCs w:val="26"/>
        </w:rPr>
        <w:t xml:space="preserve">7. Conclusion</w:t>
      </w:r>
    </w:p>
    <w:p>
      <w:pPr>
        <w:spacing w:after="160" w:line="360"/>
        <w:jc w:val="both"/>
      </w:pPr>
      <w:r>
        <w:rPr>
          <w:rFonts w:ascii="Times New Roman" w:cs="Times New Roman" w:eastAsia="Times New Roman" w:hAnsi="Times New Roman"/>
        </w:rPr>
        <w:t xml:space="preserve">Simulation-based pre-tests of seeding plans can mislead through the metric used to compare them, through the assumption that sets when simulated users act, and through the assumption about how attention scales with audience size. In our synthetic setting, the familiar trade-off between influencer scale and grassroots speed disappeared once speed was measured as reach over time rather than as time to half of a plan's own total; the timing assumption changed the size of the differences by about a factor of two; and a modest size-elasticity of engagement reversed the ranking. Decision support for seeding should therefore report decision-theoretic criteria, test sensitivity to the timing mechanism, and, above all, estimate how engagement scales with audience size on the platform at hand.</w:t>
      </w:r>
    </w:p>
    <w:p>
      <w:pPr>
        <w:pStyle w:val="Heading1"/>
        <w:spacing w:after="160" w:before="320"/>
      </w:pPr>
      <w:r>
        <w:rPr>
          <w:rFonts w:ascii="Times New Roman" w:cs="Times New Roman" w:eastAsia="Times New Roman" w:hAnsi="Times New Roman"/>
          <w:b/>
          <w:bCs/>
          <w:color w:val="000000"/>
          <w:sz w:val="26"/>
          <w:szCs w:val="26"/>
        </w:rPr>
        <w:t xml:space="preserve">Declarations</w:t>
      </w:r>
    </w:p>
    <w:p>
      <w:pPr>
        <w:spacing w:after="160" w:line="360"/>
        <w:jc w:val="both"/>
      </w:pPr>
      <w:r>
        <w:rPr>
          <w:rFonts w:ascii="Times New Roman" w:cs="Times New Roman" w:eastAsia="Times New Roman" w:hAnsi="Times New Roman"/>
          <w:i/>
          <w:iCs/>
        </w:rPr>
        <w:t xml:space="preserve">Declaration of generative AI use:</w:t>
      </w:r>
      <w:r>
        <w:rPr>
          <w:rFonts w:ascii="Times New Roman" w:cs="Times New Roman" w:eastAsia="Times New Roman" w:hAnsi="Times New Roman"/>
        </w:rPr>
        <w:t xml:space="preserve"> An AI assistant (Claude, Anthropic) re-implemented the simulation code from the written specification, designed and ran the experiments reported in Section 5, performed the statistical analyses, produced the figures, and drafted the manuscript. </w:t>
      </w:r>
      <w:r>
        <w:rPr>
          <w:rFonts w:ascii="Times New Roman" w:cs="Times New Roman" w:eastAsia="Times New Roman" w:hAnsi="Times New Roman"/>
          <w:shd w:fill="FFFF00" w:color="auto" w:val="clear"/>
        </w:rPr>
        <w:t xml:space="preserve">The authors must review and verify all content, code, and results, and should confirm that this use complies with the journal's current policy on generative AI.</w:t>
      </w:r>
      <w:r>
        <w:rPr>
          <w:rFonts w:ascii="Times New Roman" w:cs="Times New Roman" w:eastAsia="Times New Roman" w:hAnsi="Times New Roman"/>
        </w:rPr>
        <w:t xml:space="preserve"> The authors take full responsibility for the published work.</w:t>
      </w:r>
    </w:p>
    <w:p>
      <w:pPr>
        <w:spacing w:after="160" w:line="360"/>
        <w:jc w:val="both"/>
      </w:pPr>
      <w:r>
        <w:rPr>
          <w:rFonts w:ascii="Times New Roman" w:cs="Times New Roman" w:eastAsia="Times New Roman" w:hAnsi="Times New Roman"/>
          <w:i/>
          <w:iCs/>
        </w:rPr>
        <w:t xml:space="preserve">Data and code availability:</w:t>
      </w:r>
      <w:r>
        <w:rPr>
          <w:rFonts w:ascii="Times New Roman" w:cs="Times New Roman" w:eastAsia="Times New Roman" w:hAnsi="Times New Roman"/>
        </w:rPr>
        <w:t xml:space="preserve"> The simulation code, per-run result files, and analysis scripts are provided as an anonymized supplementary archive for review and will be deposited in a public repository upon acceptance.</w:t>
      </w:r>
    </w:p>
    <w:p>
      <w:pPr>
        <w:spacing w:after="160" w:line="360"/>
        <w:jc w:val="both"/>
      </w:pPr>
      <w:r>
        <w:rPr>
          <w:rFonts w:ascii="Times New Roman" w:cs="Times New Roman" w:eastAsia="Times New Roman" w:hAnsi="Times New Roman"/>
        </w:rPr>
        <w:t xml:space="preserve">Funding, competing interests, and author contributions are reported on the title page.</w:t>
      </w:r>
    </w:p>
    <w:p>
      <w:pPr>
        <w:pStyle w:val="Heading1"/>
        <w:spacing w:after="160" w:before="320"/>
      </w:pPr>
      <w:r>
        <w:rPr>
          <w:rFonts w:ascii="Times New Roman" w:cs="Times New Roman" w:eastAsia="Times New Roman" w:hAnsi="Times New Roman"/>
          <w:b/>
          <w:bCs/>
          <w:color w:val="000000"/>
          <w:sz w:val="26"/>
          <w:szCs w:val="26"/>
        </w:rPr>
        <w:t xml:space="preserve">References</w:t>
      </w:r>
    </w:p>
    <w:p>
      <w:pPr>
        <w:spacing w:after="100" w:line="300"/>
        <w:ind w:left="360" w:hanging="360"/>
      </w:pPr>
      <w:r>
        <w:rPr>
          <w:rFonts w:ascii="Times New Roman" w:cs="Times New Roman" w:eastAsia="Times New Roman" w:hAnsi="Times New Roman"/>
          <w:sz w:val="22"/>
          <w:szCs w:val="22"/>
        </w:rPr>
        <w:t xml:space="preserve">Akbarpour, M., Malladi, S., Saberi, A., </w:t>
      </w:r>
      <w:r>
        <w:rPr>
          <w:rFonts w:ascii="Times New Roman" w:cs="Times New Roman" w:eastAsia="Times New Roman" w:hAnsi="Times New Roman"/>
          <w:sz w:val="22"/>
          <w:szCs w:val="22"/>
          <w:shd w:fill="FFFF00" w:color="auto" w:val="clear"/>
        </w:rPr>
        <w:t xml:space="preserve">year</w:t>
      </w:r>
      <w:r>
        <w:rPr>
          <w:rFonts w:ascii="Times New Roman" w:cs="Times New Roman" w:eastAsia="Times New Roman" w:hAnsi="Times New Roman"/>
          <w:sz w:val="22"/>
          <w:szCs w:val="22"/>
        </w:rPr>
        <w:t xml:space="preserve">. Just a few seeds more: value of network information for diffusion. </w:t>
      </w:r>
      <w:r>
        <w:rPr>
          <w:rFonts w:ascii="Times New Roman" w:cs="Times New Roman" w:eastAsia="Times New Roman" w:hAnsi="Times New Roman"/>
          <w:sz w:val="22"/>
          <w:szCs w:val="22"/>
          <w:shd w:fill="FFFF00" w:color="auto" w:val="clear"/>
        </w:rPr>
        <w:t xml:space="preserve">Venue and details to be verified.</w:t>
      </w:r>
    </w:p>
    <w:p>
      <w:pPr>
        <w:spacing w:after="100" w:line="300"/>
        <w:ind w:left="360" w:hanging="360"/>
      </w:pPr>
      <w:r>
        <w:rPr>
          <w:rFonts w:ascii="Times New Roman" w:cs="Times New Roman" w:eastAsia="Times New Roman" w:hAnsi="Times New Roman"/>
          <w:sz w:val="22"/>
          <w:szCs w:val="22"/>
        </w:rPr>
        <w:t xml:space="preserve">Aral, S., Walker, D., 2012. Identifying influential and susceptible members of social networks. Science 337 (6092), 337–341.</w:t>
      </w:r>
    </w:p>
    <w:p>
      <w:pPr>
        <w:spacing w:after="100" w:line="300"/>
        <w:ind w:left="360" w:hanging="360"/>
      </w:pPr>
      <w:r>
        <w:rPr>
          <w:rFonts w:ascii="Times New Roman" w:cs="Times New Roman" w:eastAsia="Times New Roman" w:hAnsi="Times New Roman"/>
          <w:sz w:val="22"/>
          <w:szCs w:val="22"/>
        </w:rPr>
        <w:t xml:space="preserve">Bakshy, E., Hofman, J.M., Mason, W.A., Watts, D.J., 2011. Everyone's an influencer: quantifying influence on Twitter. In: Proceedings of the Fourth ACM International Conference on Web Search and Data Mining. ACM, New York, pp. 65–74.</w:t>
      </w:r>
    </w:p>
    <w:p>
      <w:pPr>
        <w:spacing w:after="100" w:line="300"/>
        <w:ind w:left="360" w:hanging="360"/>
      </w:pPr>
      <w:r>
        <w:rPr>
          <w:rFonts w:ascii="Times New Roman" w:cs="Times New Roman" w:eastAsia="Times New Roman" w:hAnsi="Times New Roman"/>
          <w:sz w:val="22"/>
          <w:szCs w:val="22"/>
        </w:rPr>
        <w:t xml:space="preserve">Ballester, C., Calvó-Armengol, A., Zenou, Y., 2006. Who's who in networks. Wanted: the key player. Econometrica 74 (5), 1403–1417.</w:t>
      </w:r>
    </w:p>
    <w:p>
      <w:pPr>
        <w:spacing w:after="100" w:line="300"/>
        <w:ind w:left="360" w:hanging="360"/>
      </w:pPr>
      <w:r>
        <w:rPr>
          <w:rFonts w:ascii="Times New Roman" w:cs="Times New Roman" w:eastAsia="Times New Roman" w:hAnsi="Times New Roman"/>
          <w:sz w:val="22"/>
          <w:szCs w:val="22"/>
        </w:rPr>
        <w:t xml:space="preserve">Banerjee, A., Chandrasekhar, A.G., Duflo, E., Jackson, M.O., 2013. The diffusion of microfinance. Science 341 (6144), 1236498.</w:t>
      </w:r>
    </w:p>
    <w:p>
      <w:pPr>
        <w:spacing w:after="100" w:line="300"/>
        <w:ind w:left="360" w:hanging="360"/>
      </w:pPr>
      <w:r>
        <w:rPr>
          <w:rFonts w:ascii="Times New Roman" w:cs="Times New Roman" w:eastAsia="Times New Roman" w:hAnsi="Times New Roman"/>
          <w:sz w:val="22"/>
          <w:szCs w:val="22"/>
        </w:rPr>
        <w:t xml:space="preserve">Bao, T., Chang, T.-L.S., 2014. Finding disseminators via electronic word of mouth message for effective marketing communications. Decis. Support Syst. 67, 21–29.</w:t>
      </w:r>
    </w:p>
    <w:p>
      <w:pPr>
        <w:spacing w:after="100" w:line="300"/>
        <w:ind w:left="360" w:hanging="360"/>
      </w:pPr>
      <w:r>
        <w:rPr>
          <w:rFonts w:ascii="Times New Roman" w:cs="Times New Roman" w:eastAsia="Times New Roman" w:hAnsi="Times New Roman"/>
          <w:sz w:val="22"/>
          <w:szCs w:val="22"/>
        </w:rPr>
        <w:t xml:space="preserve">Barabási, A.-L., 2005. The origin of bursts and heavy tails in human dynamics. Nature 435 (7039), 207–211.</w:t>
      </w:r>
    </w:p>
    <w:p>
      <w:pPr>
        <w:spacing w:after="100" w:line="300"/>
        <w:ind w:left="360" w:hanging="360"/>
      </w:pPr>
      <w:r>
        <w:rPr>
          <w:rFonts w:ascii="Times New Roman" w:cs="Times New Roman" w:eastAsia="Times New Roman" w:hAnsi="Times New Roman"/>
          <w:sz w:val="22"/>
          <w:szCs w:val="22"/>
        </w:rPr>
        <w:t xml:space="preserve">Barabási, A.-L., Albert, R., 1999. Emergence of scaling in random networks. Science 286 (5439), 509–512.</w:t>
      </w:r>
    </w:p>
    <w:p>
      <w:pPr>
        <w:spacing w:after="100" w:line="300"/>
        <w:ind w:left="360" w:hanging="360"/>
      </w:pPr>
      <w:r>
        <w:rPr>
          <w:rFonts w:ascii="Times New Roman" w:cs="Times New Roman" w:eastAsia="Times New Roman" w:hAnsi="Times New Roman"/>
          <w:sz w:val="22"/>
          <w:szCs w:val="22"/>
        </w:rPr>
        <w:t xml:space="preserve">Beaman, L., BenYishay, A., Magruder, J., Mobarak, A.M., 2021. Can network theory-based targeting increase technology adoption? Am. Econ. Rev. 111 (6), 1918–1943.</w:t>
      </w:r>
    </w:p>
    <w:p>
      <w:pPr>
        <w:spacing w:after="100" w:line="300"/>
        <w:ind w:left="360" w:hanging="360"/>
      </w:pPr>
      <w:r>
        <w:rPr>
          <w:rFonts w:ascii="Times New Roman" w:cs="Times New Roman" w:eastAsia="Times New Roman" w:hAnsi="Times New Roman"/>
          <w:sz w:val="22"/>
          <w:szCs w:val="22"/>
        </w:rPr>
        <w:t xml:space="preserve">Bonabeau, E., 2002. Agent-based modeling: methods and techniques for simulating human systems. Proc. Natl. Acad. Sci. 99 (suppl. 3), 7280–7287.</w:t>
      </w:r>
    </w:p>
    <w:p>
      <w:pPr>
        <w:spacing w:after="100" w:line="300"/>
        <w:ind w:left="360" w:hanging="360"/>
      </w:pPr>
      <w:r>
        <w:rPr>
          <w:rFonts w:ascii="Times New Roman" w:cs="Times New Roman" w:eastAsia="Times New Roman" w:hAnsi="Times New Roman"/>
          <w:sz w:val="22"/>
          <w:szCs w:val="22"/>
        </w:rPr>
        <w:t xml:space="preserve">Chang, H.-L., Chou, Y.-C., Wu, D.-Y., Wu, S.-C., 2018. Will firm's marketing efforts on owned social media payoff? A quasi-experimental analysis of tourism products. Decis. Support Syst. 107, 13–25.</w:t>
      </w:r>
    </w:p>
    <w:p>
      <w:pPr>
        <w:spacing w:after="100" w:line="300"/>
        <w:ind w:left="360" w:hanging="360"/>
      </w:pPr>
      <w:r>
        <w:rPr>
          <w:rFonts w:ascii="Times New Roman" w:cs="Times New Roman" w:eastAsia="Times New Roman" w:hAnsi="Times New Roman"/>
          <w:sz w:val="22"/>
          <w:szCs w:val="22"/>
        </w:rPr>
        <w:t xml:space="preserve">Crane, R., Sornette, D., 2008. Robust dynamic classes revealed by measuring the response function of a social system. Proc. Natl. Acad. Sci. 105 (41), 15649–15653.</w:t>
      </w:r>
    </w:p>
    <w:p>
      <w:pPr>
        <w:spacing w:after="100" w:line="300"/>
        <w:ind w:left="360" w:hanging="360"/>
      </w:pPr>
      <w:r>
        <w:rPr>
          <w:rFonts w:ascii="Times New Roman" w:cs="Times New Roman" w:eastAsia="Times New Roman" w:hAnsi="Times New Roman"/>
          <w:sz w:val="22"/>
          <w:szCs w:val="22"/>
        </w:rPr>
        <w:t xml:space="preserve">Duan, W., 2013. Special issue on social media: an editorial introduction. Decis. Support Syst. 55, 861–862.</w:t>
      </w:r>
    </w:p>
    <w:p>
      <w:pPr>
        <w:spacing w:after="100" w:line="300"/>
        <w:ind w:left="360" w:hanging="360"/>
      </w:pPr>
      <w:r>
        <w:rPr>
          <w:rFonts w:ascii="Times New Roman" w:cs="Times New Roman" w:eastAsia="Times New Roman" w:hAnsi="Times New Roman"/>
          <w:sz w:val="22"/>
          <w:szCs w:val="22"/>
        </w:rPr>
        <w:t xml:space="preserve">Galeotti, A., Goyal, S., 2009. Influencing the influencers: a theory of strategic diffusion. RAND J. Econ. 40 (3), 509–532.</w:t>
      </w:r>
    </w:p>
    <w:p>
      <w:pPr>
        <w:spacing w:after="100" w:line="300"/>
        <w:ind w:left="360" w:hanging="360"/>
      </w:pPr>
      <w:r>
        <w:rPr>
          <w:rFonts w:ascii="Times New Roman" w:cs="Times New Roman" w:eastAsia="Times New Roman" w:hAnsi="Times New Roman"/>
          <w:sz w:val="22"/>
          <w:szCs w:val="22"/>
        </w:rPr>
        <w:t xml:space="preserve">Gao, C., Lan, X., Lu, Z., Mao, J., Piao, J., Wang, H., Jin, D., Li, Y., 2023. S3: social-network simulation system with large language model-empowered agents. arXiv:2307.14984.</w:t>
      </w:r>
    </w:p>
    <w:p>
      <w:pPr>
        <w:spacing w:after="100" w:line="300"/>
        <w:ind w:left="360" w:hanging="360"/>
      </w:pPr>
      <w:r>
        <w:rPr>
          <w:rFonts w:ascii="Times New Roman" w:cs="Times New Roman" w:eastAsia="Times New Roman" w:hAnsi="Times New Roman"/>
          <w:sz w:val="22"/>
          <w:szCs w:val="22"/>
        </w:rPr>
        <w:t xml:space="preserve">Gilbert, N., 2008. Agent-Based Models. Sage Publications, Thousand Oaks, CA.</w:t>
      </w:r>
    </w:p>
    <w:p>
      <w:pPr>
        <w:spacing w:after="100" w:line="300"/>
        <w:ind w:left="360" w:hanging="360"/>
      </w:pPr>
      <w:r>
        <w:rPr>
          <w:rFonts w:ascii="Times New Roman" w:cs="Times New Roman" w:eastAsia="Times New Roman" w:hAnsi="Times New Roman"/>
          <w:sz w:val="22"/>
          <w:szCs w:val="22"/>
        </w:rPr>
        <w:t xml:space="preserve">Hadar, J., Russell, W.R., 1969. Rules for ordering uncertain prospects. Am. Econ. Rev. 59 (1), 25–34.</w:t>
      </w:r>
    </w:p>
    <w:p>
      <w:pPr>
        <w:spacing w:after="100" w:line="300"/>
        <w:ind w:left="360" w:hanging="360"/>
      </w:pPr>
      <w:r>
        <w:rPr>
          <w:rFonts w:ascii="Times New Roman" w:cs="Times New Roman" w:eastAsia="Times New Roman" w:hAnsi="Times New Roman"/>
          <w:sz w:val="22"/>
          <w:szCs w:val="22"/>
        </w:rPr>
        <w:t xml:space="preserve">Hawkes, A.G., 1971. Spectra of some self-exciting and mutually exciting point processes. Biometrika 58 (1), 83–90.</w:t>
      </w:r>
    </w:p>
    <w:p>
      <w:pPr>
        <w:spacing w:after="100" w:line="300"/>
        <w:ind w:left="360" w:hanging="360"/>
      </w:pPr>
      <w:r>
        <w:rPr>
          <w:rFonts w:ascii="Times New Roman" w:cs="Times New Roman" w:eastAsia="Times New Roman" w:hAnsi="Times New Roman"/>
          <w:sz w:val="22"/>
          <w:szCs w:val="22"/>
        </w:rPr>
        <w:t xml:space="preserve">He, S., Zhang, W., Luo, J., Zhang, P., Zhao, K., Zeng, D.D., 2024. Modeling the co-diffusion of competing memes in online social networks. Decis. Support Syst. 187, 114324.</w:t>
      </w:r>
    </w:p>
    <w:p>
      <w:pPr>
        <w:spacing w:after="100" w:line="300"/>
        <w:ind w:left="360" w:hanging="360"/>
      </w:pPr>
      <w:r>
        <w:rPr>
          <w:rFonts w:ascii="Times New Roman" w:cs="Times New Roman" w:eastAsia="Times New Roman" w:hAnsi="Times New Roman"/>
          <w:sz w:val="22"/>
          <w:szCs w:val="22"/>
        </w:rPr>
        <w:t xml:space="preserve">Kempe, D., Kleinberg, J., Tardos, É., 2003. Maximizing the spread of influence through a social network. In: Proceedings of the Ninth ACM SIGKDD International Conference on Knowledge Discovery and Data Mining. ACM, New York, pp. 137–146.</w:t>
      </w:r>
    </w:p>
    <w:p>
      <w:pPr>
        <w:spacing w:after="100" w:line="300"/>
        <w:ind w:left="360" w:hanging="360"/>
      </w:pPr>
      <w:r>
        <w:rPr>
          <w:rFonts w:ascii="Times New Roman" w:cs="Times New Roman" w:eastAsia="Times New Roman" w:hAnsi="Times New Roman"/>
          <w:sz w:val="22"/>
          <w:szCs w:val="22"/>
        </w:rPr>
        <w:t xml:space="preserve">Lewis, P.A.W., Shedler, G.S., 1979. Simulation of nonhomogeneous Poisson processes by thinning. Nav. Res. Logist. Q. 26 (3), 403–413.</w:t>
      </w:r>
    </w:p>
    <w:p>
      <w:pPr>
        <w:spacing w:after="100" w:line="300"/>
        <w:ind w:left="360" w:hanging="360"/>
      </w:pPr>
      <w:r>
        <w:rPr>
          <w:rFonts w:ascii="Times New Roman" w:cs="Times New Roman" w:eastAsia="Times New Roman" w:hAnsi="Times New Roman"/>
          <w:sz w:val="22"/>
          <w:szCs w:val="22"/>
        </w:rPr>
        <w:t xml:space="preserve">Li, F., Du, T.C., 2011. Who is talking? An ontology-based opinion leader identification framework for word-of-mouth marketing in online social blogs. Decis. Support Syst. 51, 190–197.</w:t>
      </w:r>
    </w:p>
    <w:p>
      <w:pPr>
        <w:spacing w:after="100" w:line="300"/>
        <w:ind w:left="360" w:hanging="360"/>
      </w:pPr>
      <w:r>
        <w:rPr>
          <w:rFonts w:ascii="Times New Roman" w:cs="Times New Roman" w:eastAsia="Times New Roman" w:hAnsi="Times New Roman"/>
          <w:sz w:val="22"/>
          <w:szCs w:val="22"/>
        </w:rPr>
        <w:t xml:space="preserve">Malmgren, R.D., Stouffer, D.B., Motter, A.E., Amaral, L.A.N., 2008. A Poissonian explanation for heavy tails in e-mail communication. Proc. Natl. Acad. Sci. 105 (47), 18153–18158.</w:t>
      </w:r>
    </w:p>
    <w:p>
      <w:pPr>
        <w:spacing w:after="100" w:line="300"/>
        <w:ind w:left="360" w:hanging="360"/>
      </w:pPr>
      <w:r>
        <w:rPr>
          <w:rFonts w:ascii="Times New Roman" w:cs="Times New Roman" w:eastAsia="Times New Roman" w:hAnsi="Times New Roman"/>
          <w:sz w:val="22"/>
          <w:szCs w:val="22"/>
        </w:rPr>
        <w:t xml:space="preserve">Markowitz, H., 1952. Portfolio selection. J. Finance 7 (1), 77–91.</w:t>
      </w:r>
    </w:p>
    <w:p>
      <w:pPr>
        <w:spacing w:after="100" w:line="300"/>
        <w:ind w:left="360" w:hanging="360"/>
      </w:pPr>
      <w:r>
        <w:rPr>
          <w:rFonts w:ascii="Times New Roman" w:cs="Times New Roman" w:eastAsia="Times New Roman" w:hAnsi="Times New Roman"/>
          <w:sz w:val="22"/>
          <w:szCs w:val="22"/>
        </w:rPr>
        <w:t xml:space="preserve">Miao, S., Chen, Z., Luo, Y., Hsu, H.H.-H., Li, M., Zhang, K., Li, P., 2026. Can LLM agents simulate dynamic networks? A case study on email networks with phishing synthesis. arXiv:2605.12507.</w:t>
      </w:r>
    </w:p>
    <w:p>
      <w:pPr>
        <w:spacing w:after="100" w:line="300"/>
        <w:ind w:left="360" w:hanging="360"/>
      </w:pPr>
      <w:r>
        <w:rPr>
          <w:rFonts w:ascii="Times New Roman" w:cs="Times New Roman" w:eastAsia="Times New Roman" w:hAnsi="Times New Roman"/>
          <w:sz w:val="22"/>
          <w:szCs w:val="22"/>
        </w:rPr>
        <w:t xml:space="preserve">Monteserin, A., Amandi, A., 2015. Whom should I persuade during a negotiation? An approach based on social influence maximization. Decis. Support Syst. 77, 1–20.</w:t>
      </w:r>
    </w:p>
    <w:p>
      <w:pPr>
        <w:spacing w:after="100" w:line="300"/>
        <w:ind w:left="360" w:hanging="360"/>
      </w:pPr>
      <w:r>
        <w:rPr>
          <w:rFonts w:ascii="Times New Roman" w:cs="Times New Roman" w:eastAsia="Times New Roman" w:hAnsi="Times New Roman"/>
          <w:sz w:val="22"/>
          <w:szCs w:val="22"/>
        </w:rPr>
        <w:t xml:space="preserve">Ogata, Y., 1981. On Lewis' simulation method for point processes. IEEE Trans. Inf. Theory 27 (1), 23–31.</w:t>
      </w:r>
    </w:p>
    <w:p>
      <w:pPr>
        <w:spacing w:after="100" w:line="300"/>
        <w:ind w:left="360" w:hanging="360"/>
      </w:pPr>
      <w:r>
        <w:rPr>
          <w:rFonts w:ascii="Times New Roman" w:cs="Times New Roman" w:eastAsia="Times New Roman" w:hAnsi="Times New Roman"/>
          <w:sz w:val="22"/>
          <w:szCs w:val="22"/>
        </w:rPr>
        <w:t xml:space="preserve">Park, J.S., O'Brien, J.C., Cai, C.J., Morris, M.R., Liang, P., Bernstein, M.S., 2023. Generative agents: interactive simulacra of human behavior. In: Proceedings of the 36th Annual ACM Symposium on User Interface Software and Technology. ACM, New York.</w:t>
      </w:r>
    </w:p>
    <w:p>
      <w:pPr>
        <w:spacing w:after="100" w:line="300"/>
        <w:ind w:left="360" w:hanging="360"/>
      </w:pPr>
      <w:r>
        <w:rPr>
          <w:rFonts w:ascii="Times New Roman" w:cs="Times New Roman" w:eastAsia="Times New Roman" w:hAnsi="Times New Roman"/>
          <w:sz w:val="22"/>
          <w:szCs w:val="22"/>
        </w:rPr>
        <w:t xml:space="preserve">Piao, J., Yan, Y., Zhang, J., Li, N., Yan, J., Lan, X., Lu, Z., Zheng, Z., Wang, J.Y., Zhou, D., et al., 2025. AgentSociety: large-scale simulation of LLM-driven generative agents advances understanding of human behaviors and society. arXiv:2502.08691.</w:t>
      </w:r>
    </w:p>
    <w:p>
      <w:pPr>
        <w:spacing w:after="100" w:line="300"/>
        <w:ind w:left="360" w:hanging="360"/>
      </w:pPr>
      <w:r>
        <w:rPr>
          <w:rFonts w:ascii="Times New Roman" w:cs="Times New Roman" w:eastAsia="Times New Roman" w:hAnsi="Times New Roman"/>
          <w:sz w:val="22"/>
          <w:szCs w:val="22"/>
          <w:shd w:fill="FFFF00" w:color="auto" w:val="clear"/>
        </w:rPr>
        <w:t xml:space="preserve">POSIM authors</w:t>
      </w:r>
      <w:r>
        <w:rPr>
          <w:rFonts w:ascii="Times New Roman" w:cs="Times New Roman" w:eastAsia="Times New Roman" w:hAnsi="Times New Roman"/>
          <w:sz w:val="22"/>
          <w:szCs w:val="22"/>
        </w:rPr>
        <w:t xml:space="preserve">, 2026. POSIM: a multi-agent simulation framework for social media public opinion evolution and governance. arXiv:2603.23884.</w:t>
      </w:r>
    </w:p>
    <w:p>
      <w:pPr>
        <w:spacing w:after="100" w:line="300"/>
        <w:ind w:left="360" w:hanging="360"/>
      </w:pPr>
      <w:r>
        <w:rPr>
          <w:rFonts w:ascii="Times New Roman" w:cs="Times New Roman" w:eastAsia="Times New Roman" w:hAnsi="Times New Roman"/>
          <w:sz w:val="22"/>
          <w:szCs w:val="22"/>
        </w:rPr>
        <w:t xml:space="preserve">Rand, W., Rust, R.T., 2011. Agent-based modeling in marketing: guidelines for rigor. Int. J. Res. Mark. 28 (3), 181–193.</w:t>
      </w:r>
    </w:p>
    <w:p>
      <w:pPr>
        <w:spacing w:after="100" w:line="300"/>
        <w:ind w:left="360" w:hanging="360"/>
      </w:pPr>
      <w:r>
        <w:rPr>
          <w:rFonts w:ascii="Times New Roman" w:cs="Times New Roman" w:eastAsia="Times New Roman" w:hAnsi="Times New Roman"/>
          <w:sz w:val="22"/>
          <w:szCs w:val="22"/>
        </w:rPr>
        <w:t xml:space="preserve">Rockafellar, R.T., Uryasev, S., 2000. Optimization of conditional value-at-risk. J. Risk 2 (3), 21–41.</w:t>
      </w:r>
    </w:p>
    <w:p>
      <w:pPr>
        <w:spacing w:after="100" w:line="300"/>
        <w:ind w:left="360" w:hanging="360"/>
      </w:pPr>
      <w:r>
        <w:rPr>
          <w:rFonts w:ascii="Times New Roman" w:cs="Times New Roman" w:eastAsia="Times New Roman" w:hAnsi="Times New Roman"/>
          <w:sz w:val="22"/>
          <w:szCs w:val="22"/>
        </w:rPr>
        <w:t xml:space="preserve">Santos Silva, J.M.C., Tenreyro, S., 2006. The log of gravity. Rev. Econ. Stat. 88 (4), 641–658.</w:t>
      </w:r>
    </w:p>
    <w:p>
      <w:pPr>
        <w:spacing w:after="100" w:line="300"/>
        <w:ind w:left="360" w:hanging="360"/>
      </w:pPr>
      <w:r>
        <w:rPr>
          <w:rFonts w:ascii="Times New Roman" w:cs="Times New Roman" w:eastAsia="Times New Roman" w:hAnsi="Times New Roman"/>
          <w:sz w:val="22"/>
          <w:szCs w:val="22"/>
        </w:rPr>
        <w:t xml:space="preserve">Schramm, M.E., Trainor, K.J., Shanker, M., Hu, M.Y., 2010. An agent-based diffusion model with consumer and brand agents. Decis. Support Syst. 50, 234–242.</w:t>
      </w:r>
    </w:p>
    <w:p>
      <w:pPr>
        <w:spacing w:after="100" w:line="300"/>
        <w:ind w:left="360" w:hanging="360"/>
      </w:pPr>
      <w:r>
        <w:rPr>
          <w:rFonts w:ascii="Times New Roman" w:cs="Times New Roman" w:eastAsia="Times New Roman" w:hAnsi="Times New Roman"/>
          <w:sz w:val="22"/>
          <w:szCs w:val="22"/>
        </w:rPr>
        <w:t xml:space="preserve">Törnberg, P., Valeeva, D., Uitermark, J., Bail, C., 2023. Simulating social media using large language models to evaluate alternative news feed algorithms. arXiv:2310.05984.</w:t>
      </w:r>
    </w:p>
    <w:p>
      <w:pPr>
        <w:spacing w:after="100" w:line="300"/>
        <w:ind w:left="360" w:hanging="360"/>
      </w:pPr>
      <w:r>
        <w:rPr>
          <w:rFonts w:ascii="Times New Roman" w:cs="Times New Roman" w:eastAsia="Times New Roman" w:hAnsi="Times New Roman"/>
          <w:sz w:val="22"/>
          <w:szCs w:val="22"/>
        </w:rPr>
        <w:t xml:space="preserve">Watts, D.J., Dodds, P.S., 2007. Influentials, networks, and public opinion formation. J. Consum. Res. 34 (4), 441–458.</w:t>
      </w:r>
    </w:p>
    <w:p>
      <w:pPr>
        <w:spacing w:after="100" w:line="300"/>
        <w:ind w:left="360" w:hanging="360"/>
      </w:pPr>
      <w:r>
        <w:rPr>
          <w:rFonts w:ascii="Times New Roman" w:cs="Times New Roman" w:eastAsia="Times New Roman" w:hAnsi="Times New Roman"/>
          <w:sz w:val="22"/>
          <w:szCs w:val="22"/>
        </w:rPr>
        <w:t xml:space="preserve">Yang, Z., et al., 2024. OASIS: open agent social interaction simulations with one million agents. arXiv:2411.11581.</w:t>
      </w:r>
    </w:p>
    <w:p>
      <w:pPr>
        <w:spacing w:after="100" w:line="300"/>
        <w:ind w:left="360" w:hanging="360"/>
      </w:pPr>
      <w:r>
        <w:rPr>
          <w:rFonts w:ascii="Times New Roman" w:cs="Times New Roman" w:eastAsia="Times New Roman" w:hAnsi="Times New Roman"/>
          <w:sz w:val="22"/>
          <w:szCs w:val="22"/>
        </w:rPr>
        <w:t xml:space="preserve">Zhang, A., Tan, Y., Tang, Y., Tang, H., Ye, Q., Gonzalez, M.C., Li, Y., 2026. Toward temporal realism in city-scale crisis response simulation using LLM agents. arXiv:2606.19904.</w:t>
      </w:r>
    </w:p>
    <w:p>
      <w:pPr>
        <w:spacing w:after="100" w:line="300"/>
        <w:ind w:left="360" w:hanging="360"/>
      </w:pPr>
      <w:r>
        <w:rPr>
          <w:rFonts w:ascii="Times New Roman" w:cs="Times New Roman" w:eastAsia="Times New Roman" w:hAnsi="Times New Roman"/>
          <w:sz w:val="22"/>
          <w:szCs w:val="22"/>
        </w:rPr>
        <w:t xml:space="preserve">Zhang, X., Chen, X., Liu, Y., Wang, J., Hu, Z., Yan, R., 2024. A large-scale time-aware agents simulation for influencer selection in digital advertising campaigns. arXiv:2411.01143.</w:t>
      </w:r>
    </w:p>
    <w:p>
      <w:pPr>
        <w:spacing w:after="100" w:line="300"/>
        <w:ind w:left="360" w:hanging="360"/>
      </w:pPr>
      <w:r>
        <w:rPr>
          <w:rFonts w:ascii="Times New Roman" w:cs="Times New Roman" w:eastAsia="Times New Roman" w:hAnsi="Times New Roman"/>
          <w:sz w:val="22"/>
          <w:szCs w:val="22"/>
        </w:rPr>
        <w:t xml:space="preserve">Zhang, X., Liu, Y., Wang, J., Hu, Z., Chen, X., Yan, R., 2025. SAGraph: a large-scale social graph dataset with comprehensive context for influencer selection in marketing. In: Proceedings of the 48th International ACM SIGIR Conference on Research and Development in Information Retrieval.</w:t>
      </w:r>
    </w:p>
    <w:p>
      <w:pPr>
        <w:spacing w:after="100" w:line="300"/>
        <w:ind w:left="360" w:hanging="360"/>
      </w:pPr>
      <w:r>
        <w:rPr>
          <w:rFonts w:ascii="Times New Roman" w:cs="Times New Roman" w:eastAsia="Times New Roman" w:hAnsi="Times New Roman"/>
          <w:sz w:val="22"/>
          <w:szCs w:val="22"/>
        </w:rPr>
        <w:t xml:space="preserve">Zhao, Q., Erdogdu, M.A., He, H.Y., Rajaraman, A., Leskovec, J., 2015. SEISMIC: a self-exciting point process model for predicting tweet popularity. In: Proceedings of the 21st ACM SIGKDD International Conference on Knowledge Discovery and Data Mining. ACM, New York, pp. 1513–1522.</w:t>
      </w:r>
    </w:p>
    <w:p>
      <w:r>
        <w:br w:type="page"/>
      </w:r>
    </w:p>
    <w:p>
      <w:pPr>
        <w:pStyle w:val="Heading1"/>
        <w:spacing w:after="160" w:before="320"/>
      </w:pPr>
      <w:r>
        <w:rPr>
          <w:rFonts w:ascii="Times New Roman" w:cs="Times New Roman" w:eastAsia="Times New Roman" w:hAnsi="Times New Roman"/>
          <w:b/>
          <w:bCs/>
          <w:color w:val="000000"/>
          <w:sz w:val="26"/>
          <w:szCs w:val="26"/>
        </w:rPr>
        <w:t xml:space="preserve">Appendix A. Simulation settings and assumptions</w:t>
      </w:r>
    </w:p>
    <w:p>
      <w:pPr>
        <w:spacing w:after="100" w:before="200"/>
        <w:jc w:val="left"/>
      </w:pPr>
      <w:r>
        <w:rPr>
          <w:rFonts w:ascii="Times New Roman" w:cs="Times New Roman" w:eastAsia="Times New Roman" w:hAnsi="Times New Roman"/>
          <w:b/>
          <w:bCs/>
          <w:sz w:val="22"/>
          <w:szCs w:val="22"/>
        </w:rPr>
        <w:t xml:space="preserve">Table A.1. Simulation parameters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2900"/>
      </w:tblGrid>
      <w:tr>
        <w:trPr>
          <w:tblHeader/>
        </w:trPr>
        <w:tc>
          <w:tcPr>
            <w:tcW w:type="dxa" w:w="26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bCs/>
                <w:sz w:val="19"/>
                <w:szCs w:val="19"/>
              </w:rPr>
              <w:t xml:space="preserve">Parameter</w:t>
            </w:r>
          </w:p>
        </w:tc>
        <w:tc>
          <w:tcPr>
            <w:tcW w:type="dxa" w:w="39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Value</w:t>
            </w:r>
          </w:p>
        </w:tc>
        <w:tc>
          <w:tcPr>
            <w:tcW w:type="dxa" w:w="29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Remarks</w:t>
            </w:r>
          </w:p>
        </w:tc>
      </w:tr>
      <w:tr>
        <w:trPr>
          <w:tblHeader w:val="false"/>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Stimulus scale κ</w:t>
            </w:r>
          </w:p>
        </w:tc>
        <w:tc>
          <w:tcPr>
            <w:tcW w:type="dxa" w:w="3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0.16</w:t>
            </w:r>
          </w:p>
        </w:tc>
        <w:tc>
          <w:tcPr>
            <w:tcW w:type="dxa" w:w="2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Set manually</w:t>
            </w:r>
          </w:p>
        </w:tc>
      </w:tr>
      <w:tr>
        <w:trPr>
          <w:tblHeader w:val="false"/>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Stimulus decay τ</w:t>
            </w:r>
          </w:p>
        </w:tc>
        <w:tc>
          <w:tcPr>
            <w:tcW w:type="dxa" w:w="3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 h</w:t>
            </w:r>
          </w:p>
        </w:tc>
        <w:tc>
          <w:tcPr>
            <w:tcW w:type="dxa" w:w="2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Single exponential</w:t>
            </w:r>
          </w:p>
        </w:tc>
      </w:tr>
      <w:tr>
        <w:trPr>
          <w:tblHeader w:val="false"/>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Stimulus cap S_max</w:t>
            </w:r>
          </w:p>
        </w:tc>
        <w:tc>
          <w:tcPr>
            <w:tcW w:type="dxa" w:w="3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3.0</w:t>
            </w:r>
          </w:p>
        </w:tc>
        <w:tc>
          <w:tcPr>
            <w:tcW w:type="dxa" w:w="2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Synthetic saturation</w:t>
            </w:r>
          </w:p>
        </w:tc>
      </w:tr>
      <w:tr>
        <w:trPr>
          <w:tblHeader w:val="false"/>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Base exposure probability</w:t>
            </w:r>
          </w:p>
        </w:tc>
        <w:tc>
          <w:tcPr>
            <w:tcW w:type="dxa" w:w="3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0.5</w:t>
            </w:r>
          </w:p>
        </w:tc>
        <w:tc>
          <w:tcPr>
            <w:tcW w:type="dxa" w:w="2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Multiplied by (max{f,10}/10)^(−β)</w:t>
            </w:r>
          </w:p>
        </w:tc>
      </w:tr>
      <w:tr>
        <w:trPr>
          <w:tblHeader w:val="false"/>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Engagement elasticity β</w:t>
            </w:r>
          </w:p>
        </w:tc>
        <w:tc>
          <w:tcPr>
            <w:tcW w:type="dxa" w:w="3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 (base); 0–0.5</w:t>
            </w:r>
          </w:p>
        </w:tc>
        <w:tc>
          <w:tcPr>
            <w:tcW w:type="dxa" w:w="2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Applied to all accounts</w:t>
            </w:r>
          </w:p>
        </w:tc>
      </w:tr>
      <w:tr>
        <w:trPr>
          <w:tblHeader w:val="false"/>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Comment visibility factor</w:t>
            </w:r>
          </w:p>
        </w:tc>
        <w:tc>
          <w:tcPr>
            <w:tcW w:type="dxa" w:w="3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0.4</w:t>
            </w:r>
          </w:p>
        </w:tc>
        <w:tc>
          <w:tcPr>
            <w:tcW w:type="dxa" w:w="2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Multiplies exposure probability</w:t>
            </w:r>
          </w:p>
        </w:tc>
      </w:tr>
      <w:tr>
        <w:trPr>
          <w:tblHeader w:val="false"/>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Feed capacity</w:t>
            </w:r>
          </w:p>
        </w:tc>
        <w:tc>
          <w:tcPr>
            <w:tcW w:type="dxa" w:w="3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40 items</w:t>
            </w:r>
          </w:p>
        </w:tc>
        <w:tc>
          <w:tcPr>
            <w:tcW w:type="dxa" w:w="2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Most recent items</w:t>
            </w:r>
          </w:p>
        </w:tc>
      </w:tr>
      <w:tr>
        <w:trPr>
          <w:tblHeader w:val="false"/>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Recency weight</w:t>
            </w:r>
          </w:p>
        </w:tc>
        <w:tc>
          <w:tcPr>
            <w:tcW w:type="dxa" w:w="3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exp(−age / 2 h)</w:t>
            </w:r>
          </w:p>
        </w:tc>
        <w:tc>
          <w:tcPr>
            <w:tcW w:type="dxa" w:w="2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For comment and retweet targets</w:t>
            </w:r>
          </w:p>
        </w:tc>
      </w:tr>
      <w:tr>
        <w:trPr>
          <w:tblHeader w:val="false"/>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Circadian profile</w:t>
            </w:r>
          </w:p>
        </w:tc>
        <w:tc>
          <w:tcPr>
            <w:tcW w:type="dxa" w:w="3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0.12 + evening Gaussian at chronotype (sd 2.2 h) + 0.45 × midday Gaussian at 12.5 h (sd 1.8 h)</w:t>
            </w:r>
          </w:p>
        </w:tc>
        <w:tc>
          <w:tcPr>
            <w:tcW w:type="dxa" w:w="2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Normalized to mean one</w:t>
            </w:r>
          </w:p>
        </w:tc>
      </w:tr>
      <w:tr>
        <w:trPr>
          <w:tblHeader w:val="false"/>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Emotion at each oracle call</w:t>
            </w:r>
          </w:p>
        </w:tc>
        <w:tc>
          <w:tcPr>
            <w:tcW w:type="dxa" w:w="3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excited / angry / happy / indifferent with p = .20 / .15 / .30 / .35</w:t>
            </w:r>
          </w:p>
        </w:tc>
        <w:tc>
          <w:tcPr>
            <w:tcW w:type="dxa" w:w="2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Assumption</w:t>
            </w:r>
          </w:p>
        </w:tc>
      </w:tr>
      <w:tr>
        <w:trPr>
          <w:tblHeader w:val="false"/>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Relevance level</w:t>
            </w:r>
          </w:p>
        </w:tc>
        <w:tc>
          <w:tcPr>
            <w:tcW w:type="dxa" w:w="3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interest &lt; 0.10: 0.25; &lt; 0.30: 0.50; else 0.75</w:t>
            </w:r>
          </w:p>
        </w:tc>
        <w:tc>
          <w:tcPr>
            <w:tcW w:type="dxa" w:w="2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Assumption</w:t>
            </w:r>
          </w:p>
        </w:tc>
      </w:tr>
      <w:tr>
        <w:trPr>
          <w:tblHeader w:val="false"/>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Network</w:t>
            </w:r>
          </w:p>
        </w:tc>
        <w:tc>
          <w:tcPr>
            <w:tcW w:type="dxa" w:w="3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2,000 agents, preferential attachment, 3 follows per new agent</w:t>
            </w:r>
          </w:p>
        </w:tc>
        <w:tc>
          <w:tcPr>
            <w:tcW w:type="dxa" w:w="2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p>
        </w:tc>
      </w:tr>
      <w:tr>
        <w:trPr>
          <w:tblHeader w:val="false"/>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Horizon</w:t>
            </w:r>
          </w:p>
        </w:tc>
        <w:tc>
          <w:tcPr>
            <w:tcW w:type="dxa" w:w="3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18 h warm-up; 48 h after injection</w:t>
            </w:r>
          </w:p>
        </w:tc>
        <w:tc>
          <w:tcPr>
            <w:tcW w:type="dxa" w:w="2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Injection at 18:00 unless stated</w:t>
            </w:r>
          </w:p>
        </w:tc>
      </w:tr>
      <w:tr>
        <w:trPr>
          <w:tblHeader w:val="false"/>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Distributed seed pool</w:t>
            </w:r>
          </w:p>
        </w:tc>
        <w:tc>
          <w:tcPr>
            <w:tcW w:type="dxa" w:w="3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Accounts outside the top 5% by followers</w:t>
            </w:r>
          </w:p>
        </w:tc>
        <w:tc>
          <w:tcPr>
            <w:tcW w:type="dxa" w:w="2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Random order until budget is spent</w:t>
            </w:r>
          </w:p>
        </w:tc>
      </w:tr>
      <w:tr>
        <w:trPr>
          <w:tblHeader w:val="false"/>
        </w:trPr>
        <w:tc>
          <w:tcPr>
            <w:tcW w:type="dxa" w:w="2600"/>
            <w:tcBorders>
              <w:top w:val="none" w:color="FFFFFF" w:sz="0"/>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Volume-matching factor</w:t>
            </w:r>
          </w:p>
        </w:tc>
        <w:tc>
          <w:tcPr>
            <w:tcW w:type="dxa" w:w="39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1.77</w:t>
            </w:r>
          </w:p>
        </w:tc>
        <w:tc>
          <w:tcPr>
            <w:tcW w:type="dxa" w:w="29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Alternative schedulers only</w:t>
            </w:r>
          </w:p>
        </w:tc>
      </w:tr>
    </w:tbl>
    <w:p>
      <w:pPr>
        <w:spacing w:after="160" w:line="360"/>
        <w:jc w:val="both"/>
      </w:pPr>
      <w:r>
        <w:rPr>
          <w:rFonts w:ascii="Times New Roman" w:cs="Times New Roman" w:eastAsia="Times New Roman" w:hAnsi="Times New Roman"/>
          <w:i/>
          <w:iCs/>
        </w:rPr>
        <w:t xml:space="preserve">Rule-based intensity oracle.</w:t>
      </w:r>
      <w:r>
        <w:rPr>
          <w:rFonts w:ascii="Times New Roman" w:cs="Times New Roman" w:eastAsia="Times New Roman" w:hAnsi="Times New Roman"/>
        </w:rPr>
        <w:t xml:space="preserve"> With </w:t>
      </w:r>
      <w:r>
        <w:rPr>
          <w:rFonts w:ascii="Times New Roman" w:cs="Times New Roman" w:eastAsia="Times New Roman" w:hAnsi="Times New Roman"/>
          <w:i/>
          <w:iCs/>
        </w:rPr>
        <w:t xml:space="preserve">h</w:t>
      </w:r>
      <w:r>
        <w:rPr>
          <w:rFonts w:ascii="Times New Roman" w:cs="Times New Roman" w:eastAsia="Times New Roman" w:hAnsi="Times New Roman"/>
        </w:rPr>
        <w:t xml:space="preserve"> the hour of day, leisure = 1 if h ≥ 19 or h &lt; 1, 0.5 if 11 ≤ h &lt; 14, and 0 otherwise; n the number of feed items in the last hour on topics with interest weight ≥ 0.10; ℓ ∈ {0, 1, 2} the relevance level of the latest item; ν = 1 for a notification and 0 otherwise; and e an emotion bonus of 0.8 (excited), 0.6 (angry), 0.4 (happy), or −0.6 (indifferent), the rating is I = clip(1.0 + 1.0·leisure + 0.4·min{n, 3} + 0.5·ℓ + 0.8·ν + e, 0, 5). For notifications ℓ is set to 1.</w:t>
      </w:r>
    </w:p>
    <w:p>
      <w:pPr>
        <w:pStyle w:val="Heading1"/>
        <w:spacing w:after="160" w:before="320"/>
      </w:pPr>
      <w:r>
        <w:rPr>
          <w:rFonts w:ascii="Times New Roman" w:cs="Times New Roman" w:eastAsia="Times New Roman" w:hAnsi="Times New Roman"/>
          <w:b/>
          <w:bCs/>
          <w:color w:val="000000"/>
          <w:sz w:val="26"/>
          <w:szCs w:val="26"/>
        </w:rPr>
        <w:t xml:space="preserve">Appendix B. Validation of the estimation procedure on synthetic data</w:t>
      </w:r>
    </w:p>
    <w:p>
      <w:pPr>
        <w:spacing w:after="160" w:line="360"/>
        <w:jc w:val="both"/>
      </w:pPr>
      <w:r>
        <w:rPr>
          <w:rFonts w:ascii="Times New Roman" w:cs="Times New Roman" w:eastAsia="Times New Roman" w:hAnsi="Times New Roman"/>
        </w:rPr>
        <w:t xml:space="preserve">To check that the procedure in Section 5.6 recovers known parameters, we generated synthetic campaign data with the structure of SAGraph: 400 authors with follower counts drawn log-uniformly between 10⁵ and 10⁷, assigned to six products, 15 posts per author over 60 days, author and product random effects, post-level noise, log-normal reply delays (median 0.8 h, log-sd 1.2), and interaction times thinned by a known daily profile with an evening peak at 21:30. Table B.1 reports the results for two true values of β.</w:t>
      </w:r>
    </w:p>
    <w:p>
      <w:pPr>
        <w:spacing w:after="100" w:before="200"/>
        <w:jc w:val="left"/>
      </w:pPr>
      <w:r>
        <w:rPr>
          <w:rFonts w:ascii="Times New Roman" w:cs="Times New Roman" w:eastAsia="Times New Roman" w:hAnsi="Times New Roman"/>
          <w:b/>
          <w:bCs/>
          <w:sz w:val="22"/>
          <w:szCs w:val="22"/>
        </w:rPr>
        <w:t xml:space="preserve">Table B.1. Recovery of known parameters on synthetic data (6,000 posts)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600"/>
        <w:gridCol w:w="1500"/>
        <w:gridCol w:w="2000"/>
        <w:gridCol w:w="1200"/>
      </w:tblGrid>
      <w:tr>
        <w:trPr>
          <w:tblHeader/>
        </w:trPr>
        <w:tc>
          <w:tcPr>
            <w:tcW w:type="dxa" w:w="9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bCs/>
                <w:sz w:val="19"/>
                <w:szCs w:val="19"/>
              </w:rPr>
              <w:t xml:space="preserve">True β</w:t>
            </w:r>
          </w:p>
        </w:tc>
        <w:tc>
          <w:tcPr>
            <w:tcW w:type="dxa" w:w="21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PPML β̂ [95% CI]</w:t>
            </w:r>
          </w:p>
        </w:tc>
        <w:tc>
          <w:tcPr>
            <w:tcW w:type="dxa" w:w="16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OLS on ln(1+y) β̂</w:t>
            </w:r>
          </w:p>
        </w:tc>
        <w:tc>
          <w:tcPr>
            <w:tcW w:type="dxa" w:w="15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Fitted evening peak</w:t>
            </w:r>
          </w:p>
        </w:tc>
        <w:tc>
          <w:tcPr>
            <w:tcW w:type="dxa" w:w="20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Held-out TV (flat profile)</w:t>
            </w:r>
          </w:p>
        </w:tc>
        <w:tc>
          <w:tcPr>
            <w:tcW w:type="dxa" w:w="12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Held-out r</w:t>
            </w:r>
          </w:p>
        </w:tc>
      </w:tr>
      <w:tr>
        <w:trPr>
          <w:tblHeader w:val="false"/>
        </w:trP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0</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−0.017 [−0.096, 0.063]</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0.817</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21.4 h</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0.068 (0.293)</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0.971</w:t>
            </w:r>
          </w:p>
        </w:tc>
      </w:tr>
      <w:tr>
        <w:trPr>
          <w:tblHeader w:val="false"/>
        </w:trPr>
        <w:tc>
          <w:tcPr>
            <w:tcW w:type="dxa" w:w="900"/>
            <w:tcBorders>
              <w:top w:val="none" w:color="FFFFFF" w:sz="0"/>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0.35</w:t>
            </w:r>
          </w:p>
        </w:tc>
        <w:tc>
          <w:tcPr>
            <w:tcW w:type="dxa" w:w="21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0.283 [0.199, 0.366]</w:t>
            </w:r>
          </w:p>
        </w:tc>
        <w:tc>
          <w:tcPr>
            <w:tcW w:type="dxa" w:w="16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0.944</w:t>
            </w:r>
          </w:p>
        </w:tc>
        <w:tc>
          <w:tcPr>
            <w:tcW w:type="dxa" w:w="15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22.2 h</w:t>
            </w:r>
          </w:p>
        </w:tc>
        <w:tc>
          <w:tcPr>
            <w:tcW w:type="dxa" w:w="20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0.140 (0.276)</w:t>
            </w:r>
          </w:p>
        </w:tc>
        <w:tc>
          <w:tcPr>
            <w:tcW w:type="dxa" w:w="12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0.864</w:t>
            </w:r>
          </w:p>
        </w:tc>
      </w:tr>
    </w:tbl>
    <w:p>
      <w:pPr>
        <w:spacing w:after="200"/>
        <w:jc w:val="left"/>
      </w:pPr>
      <w:r>
        <w:rPr>
          <w:rFonts w:ascii="Times New Roman" w:cs="Times New Roman" w:eastAsia="Times New Roman" w:hAnsi="Times New Roman"/>
          <w:sz w:val="20"/>
          <w:szCs w:val="20"/>
        </w:rPr>
        <w:t>Note. TV = total variation distance between the fitted profile from three calibration products and the observed hourly distribution in three held-out products; the value for a flat profile is shown in parentheses. The fitted reply-delay median was 0.86 h and 0.74 h in the two cases, against a generating value of 0.8 h.</w:t>
      </w:r>
    </w:p>
    <w:p>
      <w:pPr>
        <w:spacing w:after="160" w:line="360"/>
        <w:jc w:val="both"/>
      </w:pPr>
      <w:r>
        <w:rPr>
          <w:rFonts w:ascii="Times New Roman" w:cs="Times New Roman" w:eastAsia="Times New Roman" w:hAnsi="Times New Roman"/>
        </w:rPr>
        <w:t>The PPML confidence interval contained the true β in both cases, although the point estimate for β = 0.35 was somewhat low (0.28). OLS on the log-transformed count was far off in both cases (0.82 when the true β was 0 and 0.94 when it was 0.35), because adding one to the count distorts the relation between interactions and audience size. The daily profile fitted on calibration products reproduced the held-out profile well when β = 0 (r = 0.97) and less well when β = 0.35 (r = 0.86), but in both cases far more closely than a flat profile.</w:t>
      </w:r>
    </w:p>
    <w:sectPr>
      <w:footerReference w:type="default" r:id="rId7"/>
      <w:pgSz w:w="11906" w:h="16838" w:orient="portrait"/>
      <w:pgMar w:top="1440" w:right="1250" w:bottom="144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919b7c97efbb993f648aa727278dc8171885f06.png"/><Relationship Id="rId9" Type="http://schemas.openxmlformats.org/officeDocument/2006/relationships/image" Target="media/bb9fe1e5b70fdb1ce05fcef5ac67dc89e08e74f9.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2026-10-09T00:27:08.715Z</dcterms:created>
  <dcterms:modified xsi:type="dcterms:W3CDTF">2026-10-09T00:27:08.719Z</dcterms:modified>
</cp:coreProperties>
</file>

<file path=docProps/custom.xml><?xml version="1.0" encoding="utf-8"?>
<Properties xmlns="http://schemas.openxmlformats.org/officeDocument/2006/custom-properties" xmlns:vt="http://schemas.openxmlformats.org/officeDocument/2006/docPropsVTypes"/>
</file>