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6"/>
        </w:rPr>
        <w:t>Acquired, Not Yet Assimilated? Complementary Assets and the Limits of Occupation-Level Evidence on Generative Visual AI</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Abstract</w:t>
      </w:r>
    </w:p>
    <w:p>
      <w:pPr>
        <w:spacing w:after="160" w:line="480" w:lineRule="auto"/>
        <w:jc w:val="left"/>
      </w:pPr>
      <w:r>
        <w:rPr>
          <w:rFonts w:ascii="Times New Roman" w:cs="Times New Roman" w:eastAsia="Times New Roman" w:hAnsi="Times New Roman"/>
        </w:rPr>
        <w:t>Statistics showing that firms use generative visual AI are read as evidence that creative work is being displaced. Macroeconomic theory of general-purpose technologies and information systems research on assimilation both predict that adoption runs ahead of effects. We model a firm that reassigns a visual task to a generator only when output acceptance exceeds a cost threshold; review is a bottleneck whose cost depends on organizational complements, and employers adjust through attrition. Eurostat data show that 9.6 percent of EU firms use AI that generates pictures, video, or audio, and that non-adopters cite missing expertise (70 percent) and legal uncertainty (54 percent) far more than lack of usefulness (18 percent). European and Canadian job-advert data show no detectable labor-market effect yet: the small gradients are no larger than earlier trends, and the designs could not detect even complete assimilation at platform-sized effects. No detectable effect is not evidence of none; we specify the firm-level evidence needed.</w:t>
      </w:r>
    </w:p>
    <w:p>
      <w:pPr>
        <w:spacing w:after="200"/>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generative AI; assimilation gap; post-adoption; IT complementarities; review costs; creative work; online job adverts; minimum detectable effect</w:t>
      </w:r>
    </w:p>
    <w:p>
      <w:pPr>
        <w:pStyle w:val="Heading1"/>
        <w:keepNext/>
        <w:pageBreakBefore/>
        <w:spacing w:after="120" w:before="240" w:line="240" w:lineRule="auto"/>
        <w:jc w:val="center"/>
      </w:pPr>
      <w:r>
        <w:rPr>
          <w:rFonts w:ascii="Times New Roman" w:cs="Times New Roman" w:eastAsia="Times New Roman" w:hAnsi="Times New Roman"/>
          <w:b/>
          <w:bCs/>
          <w:i w:val="0"/>
          <w:color w:val="000000"/>
          <w:sz w:val="24"/>
          <w:szCs w:val="26"/>
        </w:rPr>
        <w:t>1 INTRODUCTION</w:t>
      </w:r>
    </w:p>
    <w:p>
      <w:pPr>
        <w:spacing w:after="160" w:line="480" w:lineRule="auto"/>
        <w:jc w:val="left"/>
      </w:pPr>
      <w:r>
        <w:rPr>
          <w:rFonts w:ascii="Times New Roman" w:cs="Times New Roman" w:eastAsia="Times New Roman" w:hAnsi="Times New Roman"/>
        </w:rPr>
        <w:t>Tools that turn text into images (widely available since 2022) and into video (since 2024) have made a first draft of visual content almost free. Official statistics already record their spread. In 2025, roughly one in ten European enterprises with ten or more employees reported using AI that generates pictures, video, or audio, and more than one in three did so in publishing, film, and broadcasting. The natural reading is that the people who used to produce such content are being redeployed, and a growing body of exposure-based labor-market research looks for that redeployment in hiring data.</w:t>
      </w:r>
    </w:p>
    <w:p>
      <w:pPr>
        <w:spacing w:after="160" w:line="480" w:lineRule="auto"/>
        <w:jc w:val="left"/>
      </w:pPr>
      <w:r>
        <w:rPr>
          <w:rFonts w:ascii="Times New Roman" w:cs="Times New Roman" w:eastAsia="Times New Roman" w:hAnsi="Times New Roman"/>
        </w:rPr>
        <w:t>Information systems research gives reason for caution. Implementation research has long treated adoption as one stage in a sequence that runs through adaptation, acceptance, routinization, and infusion (Cooper &amp; Zmud, 1990). Organizations can acquire an innovation well before they deploy it, so diffusion statistics overstate use; this wedge has been called an assimilation gap and was widest where knowledge barriers were high (Fichman &amp; Kemerer, 1999). Work on IT business value adds that returns depend on complementary organizational investments (Aral &amp; Weill, 2007; Brynjolfsson &amp; Hitt, 2000; Melville et al., 2004). Macroeconomics points the same way. General-purpose technologies take effect only after complementary investments, labor markets adjust through attrition and reallocation rather than immediate job loss, and technology often accelerates structural change already under way (Acemoglu &amp; Restrepo, 2018; Brynjolfsson et al., 2021; David, 1990). For generative visual AI, then, the question is not only whether it substitutes for creative labor but also whether reported use reflects assimilation into tasks at all, and whether the evidence researchers currently rely on could tell the difference.</w:t>
      </w:r>
    </w:p>
    <w:p>
      <w:pPr>
        <w:spacing w:after="160" w:line="480" w:lineRule="auto"/>
        <w:jc w:val="left"/>
      </w:pPr>
      <w:r>
        <w:rPr>
          <w:rFonts w:ascii="Times New Roman" w:cs="Times New Roman" w:eastAsia="Times New Roman" w:hAnsi="Times New Roman"/>
        </w:rPr>
        <w:t>The paper has three parts. First, we develop a task-level theory in which a firm reassigns a visual task to a generator only when the acceptance rate of output exceeds a threshold set by generation cost, review cost, and the cost of human production. Complementary assets enter through review cost: expertise to specify and check output, capacity to run review as a routine, and procedures that keep copyright and personal-data exposure manageable. We embed review in a task-based model of labor demand that separates displacement, reinstatement, and scale effects (Acemoglu &amp; Restrepo, 2018, 2019), treat review as a bottleneck task (Baumol, 1967), and let employers adjust through attrition. The theory implies that when review cost alone exceeds the cost of human production, no improvement in the model can trigger assimilation, and that because acquiring a generator costs almost nothing, acquisition can grow without the complements that assimilation requires. Second, we ask what aggregate public data can reveal about this gap, deriving a detectability bound that compares the hiring response implied by complete assimilation with the minimum detectable effect of standard exposure designs. Third, we assemble the descriptive evidence that exists on the acquisition margin and on the barriers firms report.</w:t>
      </w:r>
    </w:p>
    <w:p>
      <w:pPr>
        <w:spacing w:after="160" w:line="480" w:lineRule="auto"/>
        <w:jc w:val="left"/>
      </w:pPr>
      <w:r>
        <w:rPr>
          <w:rFonts w:ascii="Times New Roman" w:cs="Times New Roman" w:eastAsia="Times New Roman" w:hAnsi="Times New Roman"/>
        </w:rPr>
        <w:t>The results are partly substantive and partly cautionary. Acquisition of generative visual AI is substantial and rising, so a lack of hiring response cannot be explained by a lack of acquisition. Firms that considered AI and did not adopt it cite missing expertise, legal uncertainty, and data-protection concerns far more often than a tool that is not useful, which is what a complementary-asset account predicts and a capability-failure account does not. The hiring data, however, cannot currently distinguish an assimilation gap from complete assimilation. At observed acquisition rates and at the substitution effects estimated on freelance platforms (Demirci et al., 2025), complete assimilation would reduce adverts in the most exposed occupation by roughly 2 to 17 percent, while the European design cannot detect a reduction smaller than about 24 percent. The exposure gradients that the designs do report are small and imprecise, about 1 to 2 percent fewer adverts per standard deviation of exposure in 2023 and 2024, and the European gradient was already moving in the same direction before generative tools were released.</w:t>
      </w:r>
    </w:p>
    <w:p>
      <w:pPr>
        <w:spacing w:after="160" w:line="480" w:lineRule="auto"/>
        <w:jc w:val="left"/>
      </w:pPr>
      <w:r>
        <w:rPr>
          <w:rFonts w:ascii="Times New Roman" w:cs="Times New Roman" w:eastAsia="Times New Roman" w:hAnsi="Times New Roman"/>
        </w:rPr>
        <w:t>We are explicit about what the paper does not claim. We do not observe assimilation inside firms, and we do not treat small or fragile hiring responses as evidence of a gap. Our point is that such responses could not, at present, have revealed either a gap or its absence. Four accounts remain in contention: a capability failure, in which the tool does not meet task requirements; complete assimilation with net substitution; assimilation in which scale effects offset substitution; and an assimilation gap held open by missing complements. The barrier evidence weighs against the first at the acquisition margin. Separating the other three requires firm-level data that link use, complementary assets, task reassignment, and hiring, and we specify what such data would have to show.</w:t>
      </w:r>
    </w:p>
    <w:p>
      <w:pPr>
        <w:spacing w:after="160" w:line="480" w:lineRule="auto"/>
        <w:jc w:val="left"/>
      </w:pPr>
      <w:r>
        <w:rPr>
          <w:rFonts w:ascii="Times New Roman" w:cs="Times New Roman" w:eastAsia="Times New Roman" w:hAnsi="Times New Roman"/>
        </w:rPr>
        <w:t>The paper contributes to information systems research in three ways. First, it extends assimilation theory to generative AI by identifying review cost as the place where complementary assets enter, and by explaining why near-zero acquisition costs should make assimilation gaps wider for generative tools than for the enterprise systems on which the theory was built. Embedding review cost in a task-based model of labor demand shows that review sets a floor on the labor that assimilation can save, that cheaper generation raises employment only if demand for visual output is elastic, and that employers who adjust through attrition make adverts the earlier and employment the later signal. Second, it provides a detectability bound that tells researchers when occupation-level hiring designs can and cannot be informative about assimilation, and it shows how the bound changes the reading of exposure gradients: the 2023 European gradient is no larger than the trend that preceded the technology, and the 2024 gradient is too imprecise to separate the scenarios. Third, it turns the gap into a falsifiable research design, with predictions that distinguish the four accounts once linked data become available.</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2 RELATED LITERATURE</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2.1 From Adoption to Assimilation</w:t>
      </w:r>
    </w:p>
    <w:p>
      <w:pPr>
        <w:spacing w:after="160" w:line="480" w:lineRule="auto"/>
        <w:jc w:val="left"/>
      </w:pPr>
      <w:r>
        <w:rPr>
          <w:rFonts w:ascii="Times New Roman" w:cs="Times New Roman" w:eastAsia="Times New Roman" w:hAnsi="Times New Roman"/>
        </w:rPr>
        <w:t>IT implementation is a staged process in which adoption is followed by adaptation, acceptance, routinization, and infusion, and the factors that explain early stages differ from those that explain later ones (Cooper &amp; Zmud, 1990). Complex technologies spread slowly not because firms lack information about them but because they lack the know-how to use them, and mediating institutions emerge to lower that knowledge barrier (Attewell, 1992). The distinction becomes a measurement problem: cumulative acquisition of software-process innovations ran well ahead of cumulative deployment, and the resulting assimilation gap was largest for innovations with high knowledge barriers (Fichman &amp; Kemerer, 1999). Post-adoption usage and value vary widely across adopters of e-business, again pointing to organizational rather than technological determinants (Zhu &amp; Kraemer, 2005). We build on this tradition but apply it to an outcome that the literature has rarely examined: whether assimilation of a production technology reaches the occupation that used to perform the task.</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2.2 Complementary Assets</w:t>
      </w:r>
    </w:p>
    <w:p>
      <w:pPr>
        <w:spacing w:after="160" w:line="480" w:lineRule="auto"/>
        <w:jc w:val="left"/>
      </w:pPr>
      <w:r>
        <w:rPr>
          <w:rFonts w:ascii="Times New Roman" w:cs="Times New Roman" w:eastAsia="Times New Roman" w:hAnsi="Times New Roman"/>
        </w:rPr>
        <w:t>A second tradition holds that the value of information technology depends on complementary investments in skills, processes, and organizational design (Aral &amp; Weill, 2007; Brynjolfsson &amp; Hitt, 2000; Melville et al., 2004). General-purpose technologies display long lags for the same reason (Bresnahan &amp; Trajtenberg, 1995; David, 1990), and the lag can be formalized as a productivity J-curve in which intangible complements are built before measured gains appear (Brynjolfsson et al., 2021). When prediction becomes cheap, the value of human judgment rises (Agrawal et al., 2018). We draw on these ideas to make the complements concrete for generative visual AI and to locate them in a single cost term. Expertise, review capacity, and compliance procedures are not supplied by a better model. A better model can raise the share of acceptable output. It does not create the person who can judge that output, the time in which to judge it, or the policy that says whether it may be used.</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2.3 Generative AI and Work</w:t>
      </w:r>
    </w:p>
    <w:p>
      <w:pPr>
        <w:spacing w:after="160" w:line="480" w:lineRule="auto"/>
        <w:jc w:val="left"/>
      </w:pPr>
      <w:r>
        <w:rPr>
          <w:rFonts w:ascii="Times New Roman" w:cs="Times New Roman" w:eastAsia="Times New Roman" w:hAnsi="Times New Roman"/>
        </w:rPr>
        <w:t>A large literature maps AI capabilities onto occupational tasks (Eloundou et al., 2023; Felten et al., 2021; Webb, 2020). Exposure measures describe where a technology could matter, not where it has been acquired or assimilated. Task-based models separate displacement, reinstatement, and productivity effects of automation (Acemoglu &amp; Restrepo, 2018, 2019), and models of unbalanced growth show that tasks that cannot be automated become bottlenecks (Aghion et al., 2019; Baumol, 1967); we use both ideas in Section 3. Establishments exposed to AI change their hiring, but little aggregate effect is detectable at the occupation or industry level (Acemoglu et al., 2022). Evidence from online labor markets is sharper. Freelancers exposed to ChatGPT and image generators lost employment and earnings (Hui et al., 2024), and image-creation posts fell by about 17 percent after image generators were released, relative to manual-intensive jobs (Demirci et al., 2025). On creator platforms, generative tools raise output for some artists and reallocate demand across creator types (Kim et al., 2026; Zhou &amp; Lee, 2024), and inside firms they raise individual productivity on suitable tasks (Brynjolfsson et al., 2025). These settings have something in common that our theory makes explicit: the buyer of a freelance task, or a worker inside a studied team, can switch to the tool without the firm first building a review routine or a compliance policy. We use the platform estimates as a reference for how large substitution can be once assimilation has occurred, not as a test of our account.</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3 THEORY</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3.1 Acquisition and Assimilation</w:t>
      </w:r>
    </w:p>
    <w:p>
      <w:pPr>
        <w:spacing w:after="160" w:line="480" w:lineRule="auto"/>
        <w:jc w:val="left"/>
      </w:pPr>
      <w:r>
        <w:rPr>
          <w:rFonts w:ascii="Times New Roman" w:cs="Times New Roman" w:eastAsia="Times New Roman" w:hAnsi="Times New Roman"/>
        </w:rPr>
        <w:t xml:space="preserve">A firm produces visual tasks such as images, layouts, and short videos. </w:t>
      </w:r>
      <w:r>
        <w:rPr>
          <w:rFonts w:ascii="Times New Roman" w:cs="Times New Roman" w:eastAsia="Times New Roman" w:hAnsi="Times New Roman"/>
          <w:i/>
          <w:iCs/>
        </w:rPr>
        <w:t xml:space="preserve">Acquisition</w:t>
      </w:r>
      <w:r>
        <w:rPr>
          <w:rFonts w:ascii="Times New Roman" w:cs="Times New Roman" w:eastAsia="Times New Roman" w:hAnsi="Times New Roman"/>
        </w:rPr>
        <w:t xml:space="preserve"> is the event that the firm has a visual generator available and reports using it. </w:t>
      </w:r>
      <w:r>
        <w:rPr>
          <w:rFonts w:ascii="Times New Roman" w:cs="Times New Roman" w:eastAsia="Times New Roman" w:hAnsi="Times New Roman"/>
          <w:i/>
          <w:iCs/>
        </w:rPr>
        <w:t xml:space="preserve">Assimilation</w:t>
      </w:r>
      <w:r>
        <w:rPr>
          <w:rFonts w:ascii="Times New Roman" w:cs="Times New Roman" w:eastAsia="Times New Roman" w:hAnsi="Times New Roman"/>
        </w:rPr>
        <w:t xml:space="preserve"> of a task is the event that the task is produced by the generator rather than by the occupation that used to produce it. Acquisition is necessary for assimilation but not sufficient. A marketing team may try an image generator while the tasks that define a graphic-design role stay with that role. Survey indicators of use therefore measure something closer to acquisition than to assimilation.</w:t>
      </w:r>
    </w:p>
    <w:p>
      <w:pPr>
        <w:spacing w:after="160" w:line="480" w:lineRule="auto"/>
        <w:jc w:val="left"/>
      </w:pPr>
      <w:r>
        <w:rPr>
          <w:rFonts w:ascii="Times New Roman" w:cs="Times New Roman" w:eastAsia="Times New Roman" w:hAnsi="Times New Roman"/>
        </w:rPr>
        <w:t xml:space="preserve">Generative tools differ from the technologies studied in earlier assimilation research in one respect that matters for the theory. Acquiring a relational database or a CASE tool required licences, installation, and training, so acquisition itself was costly and partly selected firms that had already built complements. Acquiring a visual generator often requires a subscription or nothing at all. Acquisition decisions are then nearly independent of the complements, and acquisition statistics can rise without any corresponding change in the capacity to assimilate.</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3.2 The Acceptance Threshold</w:t>
      </w:r>
    </w:p>
    <w:p>
      <w:pPr>
        <w:spacing w:after="160" w:line="480" w:lineRule="auto"/>
        <w:jc w:val="left"/>
      </w:pPr>
      <w:r>
        <w:rPr>
          <w:rFonts w:ascii="Times New Roman" w:cs="Times New Roman" w:eastAsia="Times New Roman" w:hAnsi="Times New Roman"/>
        </w:rPr>
        <w:t xml:space="preserve">Producing a visual asset with human labor costs </w:t>
      </w:r>
      <w:r>
        <w:rPr>
          <w:rFonts w:ascii="Times New Roman" w:cs="Times New Roman" w:eastAsia="Times New Roman" w:hAnsi="Times New Roman"/>
          <w:i/>
          <w:iCs/>
        </w:rPr>
        <w:t xml:space="preserve">θ</w:t>
      </w:r>
      <w:r>
        <w:rPr>
          <w:rFonts w:ascii="Times New Roman" w:cs="Times New Roman" w:eastAsia="Times New Roman" w:hAnsi="Times New Roman"/>
        </w:rPr>
        <w:t xml:space="preserve">. Producing it with the generator costs </w:t>
      </w:r>
      <w:r>
        <w:rPr>
          <w:rFonts w:ascii="Times New Roman" w:cs="Times New Roman" w:eastAsia="Times New Roman" w:hAnsi="Times New Roman"/>
          <w:i/>
          <w:iCs/>
        </w:rPr>
        <w:t xml:space="preserve">c</w:t>
      </w:r>
      <w:r>
        <w:rPr>
          <w:rFonts w:ascii="Times New Roman" w:cs="Times New Roman" w:eastAsia="Times New Roman" w:hAnsi="Times New Roman"/>
        </w:rPr>
        <w:t xml:space="preserve"> for generation and </w:t>
      </w:r>
      <w:r>
        <w:rPr>
          <w:rFonts w:ascii="Times New Roman" w:cs="Times New Roman" w:eastAsia="Times New Roman" w:hAnsi="Times New Roman"/>
          <w:i/>
          <w:iCs/>
        </w:rPr>
        <w:t xml:space="preserve">r</w:t>
      </w:r>
      <w:r>
        <w:rPr>
          <w:rFonts w:ascii="Times New Roman" w:cs="Times New Roman" w:eastAsia="Times New Roman" w:hAnsi="Times New Roman"/>
        </w:rPr>
        <w:t xml:space="preserve"> for human review. With probability </w:t>
      </w:r>
      <w:r>
        <w:rPr>
          <w:rFonts w:ascii="Times New Roman" w:cs="Times New Roman" w:eastAsia="Times New Roman" w:hAnsi="Times New Roman"/>
          <w:i/>
          <w:iCs/>
        </w:rPr>
        <w:t xml:space="preserve">a</w:t>
      </w:r>
      <w:r>
        <w:rPr>
          <w:rFonts w:ascii="Times New Roman" w:cs="Times New Roman" w:eastAsia="Times New Roman" w:hAnsi="Times New Roman"/>
        </w:rPr>
        <w:t xml:space="preserve"> the output is accepted; with probability 1 − </w:t>
      </w:r>
      <w:r>
        <w:rPr>
          <w:rFonts w:ascii="Times New Roman" w:cs="Times New Roman" w:eastAsia="Times New Roman" w:hAnsi="Times New Roman"/>
          <w:i/>
          <w:iCs/>
        </w:rPr>
        <w:t xml:space="preserve">a</w:t>
      </w:r>
      <w:r>
        <w:rPr>
          <w:rFonts w:ascii="Times New Roman" w:cs="Times New Roman" w:eastAsia="Times New Roman" w:hAnsi="Times New Roman"/>
        </w:rPr>
        <w:t xml:space="preserve"> it is rejected and a human produces the asset at cost </w:t>
      </w:r>
      <w:r>
        <w:rPr>
          <w:rFonts w:ascii="Times New Roman" w:cs="Times New Roman" w:eastAsia="Times New Roman" w:hAnsi="Times New Roman"/>
          <w:i/>
          <w:iCs/>
        </w:rPr>
        <w:t xml:space="preserve">θ</w:t>
      </w:r>
      <w:r>
        <w:rPr>
          <w:rFonts w:ascii="Times New Roman" w:cs="Times New Roman" w:eastAsia="Times New Roman" w:hAnsi="Times New Roman"/>
        </w:rPr>
        <w:t xml:space="preserve">. Expected cost with the generator is </w:t>
      </w:r>
      <w:r>
        <w:rPr>
          <w:rFonts w:ascii="Times New Roman" w:cs="Times New Roman" w:eastAsia="Times New Roman" w:hAnsi="Times New Roman"/>
          <w:i/>
          <w:iCs/>
        </w:rPr>
        <w:t xml:space="preserve">c</w:t>
      </w:r>
      <w:r>
        <w:rPr>
          <w:rFonts w:ascii="Times New Roman" w:cs="Times New Roman" w:eastAsia="Times New Roman" w:hAnsi="Times New Roman"/>
        </w:rPr>
        <w:t xml:space="preserve"> + </w:t>
      </w:r>
      <w:r>
        <w:rPr>
          <w:rFonts w:ascii="Times New Roman" w:cs="Times New Roman" w:eastAsia="Times New Roman" w:hAnsi="Times New Roman"/>
          <w:i/>
          <w:iCs/>
        </w:rPr>
        <w:t xml:space="preserve">r</w:t>
      </w:r>
      <w:r>
        <w:rPr>
          <w:rFonts w:ascii="Times New Roman" w:cs="Times New Roman" w:eastAsia="Times New Roman" w:hAnsi="Times New Roman"/>
        </w:rPr>
        <w:t xml:space="preserve"> + (1 − </w:t>
      </w:r>
      <w:r>
        <w:rPr>
          <w:rFonts w:ascii="Times New Roman" w:cs="Times New Roman" w:eastAsia="Times New Roman" w:hAnsi="Times New Roman"/>
          <w:i/>
          <w:iCs/>
        </w:rPr>
        <w:t xml:space="preserve">a</w:t>
      </w:r>
      <w:r>
        <w:rPr>
          <w:rFonts w:ascii="Times New Roman" w:cs="Times New Roman" w:eastAsia="Times New Roman" w:hAnsi="Times New Roman"/>
        </w:rPr>
        <w:t xml:space="preserve">)</w:t>
      </w:r>
      <w:r>
        <w:rPr>
          <w:rFonts w:ascii="Times New Roman" w:cs="Times New Roman" w:eastAsia="Times New Roman" w:hAnsi="Times New Roman"/>
          <w:i/>
          <w:iCs/>
        </w:rPr>
        <w:t xml:space="preserve">θ</w:t>
      </w:r>
      <w:r>
        <w:rPr>
          <w:rFonts w:ascii="Times New Roman" w:cs="Times New Roman" w:eastAsia="Times New Roman" w:hAnsi="Times New Roman"/>
        </w:rPr>
        <w:t xml:space="preserve">, so the firm assimilates the task when</w:t>
      </w:r>
    </w:p>
    <w:p>
      <w:pPr>
        <w:spacing w:after="200" w:before="120"/>
        <w:jc w:val="center"/>
      </w:pPr>
      <w:r>
        <w:rPr>
          <w:rFonts w:ascii="Times New Roman" w:cs="Times New Roman" w:eastAsia="Times New Roman" w:hAnsi="Times New Roman"/>
          <w:i/>
          <w:iCs/>
        </w:rPr>
        <w:t xml:space="preserve">a  &gt;  a*  =  (c + r) / θ.          (1)</w:t>
      </w:r>
    </w:p>
    <w:p>
      <w:pPr>
        <w:spacing w:after="160" w:line="480" w:lineRule="auto"/>
        <w:jc w:val="left"/>
      </w:pPr>
      <w:r>
        <w:rPr>
          <w:rFonts w:ascii="Times New Roman" w:cs="Times New Roman" w:eastAsia="Times New Roman" w:hAnsi="Times New Roman"/>
        </w:rPr>
        <w:t xml:space="preserve">The acceptance rate </w:t>
      </w:r>
      <w:r>
        <w:rPr>
          <w:rFonts w:ascii="Times New Roman" w:cs="Times New Roman" w:eastAsia="Times New Roman" w:hAnsi="Times New Roman"/>
          <w:i/>
          <w:iCs/>
        </w:rPr>
        <w:t xml:space="preserve">a</w:t>
      </w:r>
      <w:r>
        <w:rPr>
          <w:rFonts w:ascii="Times New Roman" w:cs="Times New Roman" w:eastAsia="Times New Roman" w:hAnsi="Times New Roman"/>
        </w:rPr>
        <w:t xml:space="preserve"> = </w:t>
      </w:r>
      <w:r>
        <w:rPr>
          <w:rFonts w:ascii="Times New Roman" w:cs="Times New Roman" w:eastAsia="Times New Roman" w:hAnsi="Times New Roman"/>
          <w:i/>
          <w:iCs/>
        </w:rPr>
        <w:t xml:space="preserve">a</w:t>
      </w:r>
      <w:r>
        <w:rPr>
          <w:rFonts w:ascii="Times New Roman" w:cs="Times New Roman" w:eastAsia="Times New Roman" w:hAnsi="Times New Roman"/>
        </w:rPr>
        <w:t xml:space="preserve">(</w:t>
      </w:r>
      <w:r>
        <w:rPr>
          <w:rFonts w:ascii="Times New Roman" w:cs="Times New Roman" w:eastAsia="Times New Roman" w:hAnsi="Times New Roman"/>
          <w:i/>
          <w:iCs/>
        </w:rPr>
        <w:t xml:space="preserve">q</w:t>
      </w:r>
      <w:r>
        <w:rPr>
          <w:rFonts w:ascii="Times New Roman" w:cs="Times New Roman" w:eastAsia="Times New Roman" w:hAnsi="Times New Roman"/>
        </w:rPr>
        <w:t xml:space="preserve">, </w:t>
      </w:r>
      <w:r>
        <w:rPr>
          <w:rFonts w:ascii="Times New Roman" w:cs="Times New Roman" w:eastAsia="Times New Roman" w:hAnsi="Times New Roman"/>
          <w:i/>
          <w:iCs/>
        </w:rPr>
        <w:t xml:space="preserve">m</w:t>
      </w:r>
      <w:r>
        <w:rPr>
          <w:rFonts w:ascii="Times New Roman" w:cs="Times New Roman" w:eastAsia="Times New Roman" w:hAnsi="Times New Roman"/>
        </w:rPr>
        <w:t xml:space="preserve">) rises with model quality </w:t>
      </w:r>
      <w:r>
        <w:rPr>
          <w:rFonts w:ascii="Times New Roman" w:cs="Times New Roman" w:eastAsia="Times New Roman" w:hAnsi="Times New Roman"/>
          <w:i/>
          <w:iCs/>
        </w:rPr>
        <w:t xml:space="preserve">m</w:t>
      </w:r>
      <w:r>
        <w:rPr>
          <w:rFonts w:ascii="Times New Roman" w:cs="Times New Roman" w:eastAsia="Times New Roman" w:hAnsi="Times New Roman"/>
        </w:rPr>
        <w:t xml:space="preserve"> and falls with the task’s quality requirement </w:t>
      </w:r>
      <w:r>
        <w:rPr>
          <w:rFonts w:ascii="Times New Roman" w:cs="Times New Roman" w:eastAsia="Times New Roman" w:hAnsi="Times New Roman"/>
          <w:i/>
          <w:iCs/>
        </w:rPr>
        <w:t xml:space="preserve">q</w:t>
      </w:r>
      <w:r>
        <w:rPr>
          <w:rFonts w:ascii="Times New Roman" w:cs="Times New Roman" w:eastAsia="Times New Roman" w:hAnsi="Times New Roman"/>
        </w:rPr>
        <w:t xml:space="preserve">, so assimilation is more likely for routine and internal visuals than for brand-defining, technically exact, or legally sensitive work. The review cost </w:t>
      </w:r>
      <w:r>
        <w:rPr>
          <w:rFonts w:ascii="Times New Roman" w:cs="Times New Roman" w:eastAsia="Times New Roman" w:hAnsi="Times New Roman"/>
          <w:i/>
          <w:iCs/>
        </w:rPr>
        <w:t xml:space="preserve">r</w:t>
      </w:r>
      <w:r>
        <w:rPr>
          <w:rFonts w:ascii="Times New Roman" w:cs="Times New Roman" w:eastAsia="Times New Roman" w:hAnsi="Times New Roman"/>
        </w:rPr>
        <w:t xml:space="preserve"> = </w:t>
      </w:r>
      <w:r>
        <w:rPr>
          <w:rFonts w:ascii="Times New Roman" w:cs="Times New Roman" w:eastAsia="Times New Roman" w:hAnsi="Times New Roman"/>
          <w:i/>
          <w:iCs/>
        </w:rPr>
        <w:t xml:space="preserve">r</w:t>
      </w:r>
      <w:r>
        <w:rPr>
          <w:rFonts w:ascii="Times New Roman" w:cs="Times New Roman" w:eastAsia="Times New Roman" w:hAnsi="Times New Roman"/>
        </w:rPr>
        <w:t xml:space="preserve">(</w:t>
      </w:r>
      <w:r>
        <w:rPr>
          <w:rFonts w:ascii="Times New Roman" w:cs="Times New Roman" w:eastAsia="Times New Roman" w:hAnsi="Times New Roman"/>
          <w:i/>
          <w:iCs/>
        </w:rPr>
        <w:t xml:space="preserve">q</w:t>
      </w:r>
      <w:r>
        <w:rPr>
          <w:rFonts w:ascii="Times New Roman" w:cs="Times New Roman" w:eastAsia="Times New Roman" w:hAnsi="Times New Roman"/>
        </w:rPr>
        <w:t xml:space="preserve">; </w:t>
      </w:r>
      <w:r>
        <w:rPr>
          <w:rFonts w:ascii="Times New Roman" w:cs="Times New Roman" w:eastAsia="Times New Roman" w:hAnsi="Times New Roman"/>
          <w:i/>
          <w:iCs/>
        </w:rPr>
        <w:t xml:space="preserve">K</w:t>
      </w:r>
      <w:r>
        <w:rPr>
          <w:rFonts w:ascii="Times New Roman" w:cs="Times New Roman" w:eastAsia="Times New Roman" w:hAnsi="Times New Roman"/>
        </w:rPr>
        <w:t xml:space="preserve">) also rises with </w:t>
      </w:r>
      <w:r>
        <w:rPr>
          <w:rFonts w:ascii="Times New Roman" w:cs="Times New Roman" w:eastAsia="Times New Roman" w:hAnsi="Times New Roman"/>
          <w:i/>
          <w:iCs/>
        </w:rPr>
        <w:t xml:space="preserve">q</w:t>
      </w:r>
      <w:r>
        <w:rPr>
          <w:rFonts w:ascii="Times New Roman" w:cs="Times New Roman" w:eastAsia="Times New Roman" w:hAnsi="Times New Roman"/>
        </w:rPr>
        <w:t xml:space="preserve"> but falls with the firm’s stock of complementary assets </w:t>
      </w:r>
      <w:r>
        <w:rPr>
          <w:rFonts w:ascii="Times New Roman" w:cs="Times New Roman" w:eastAsia="Times New Roman" w:hAnsi="Times New Roman"/>
          <w:i/>
          <w:iCs/>
        </w:rPr>
        <w:t xml:space="preserve">K</w:t>
      </w:r>
      <w:r>
        <w:rPr>
          <w:rFonts w:ascii="Times New Roman" w:cs="Times New Roman" w:eastAsia="Times New Roman" w:hAnsi="Times New Roman"/>
        </w:rPr>
        <w:t xml:space="preserve"> = (</w:t>
      </w:r>
      <w:r>
        <w:rPr>
          <w:rFonts w:ascii="Times New Roman" w:cs="Times New Roman" w:eastAsia="Times New Roman" w:hAnsi="Times New Roman"/>
          <w:i/>
          <w:iCs/>
        </w:rPr>
        <w:t xml:space="preserve">K</w:t>
      </w:r>
      <w:r>
        <w:rPr>
          <w:rFonts w:ascii="Times New Roman" w:cs="Times New Roman" w:eastAsia="Times New Roman" w:hAnsi="Times New Roman"/>
        </w:rPr>
        <w:t xml:space="preserve">ᴱ, </w:t>
      </w:r>
      <w:r>
        <w:rPr>
          <w:rFonts w:ascii="Times New Roman" w:cs="Times New Roman" w:eastAsia="Times New Roman" w:hAnsi="Times New Roman"/>
          <w:i/>
          <w:iCs/>
        </w:rPr>
        <w:t xml:space="preserve">K</w:t>
      </w:r>
      <w:r>
        <w:rPr>
          <w:rFonts w:ascii="Times New Roman" w:cs="Times New Roman" w:eastAsia="Times New Roman" w:hAnsi="Times New Roman"/>
        </w:rPr>
        <w:t xml:space="preserve">ᴿ, </w:t>
      </w:r>
      <w:r>
        <w:rPr>
          <w:rFonts w:ascii="Times New Roman" w:cs="Times New Roman" w:eastAsia="Times New Roman" w:hAnsi="Times New Roman"/>
          <w:i/>
          <w:iCs/>
        </w:rPr>
        <w:t xml:space="preserve">K</w:t>
      </w:r>
      <w:r>
        <w:rPr>
          <w:rFonts w:ascii="Times New Roman" w:cs="Times New Roman" w:eastAsia="Times New Roman" w:hAnsi="Times New Roman"/>
        </w:rPr>
        <w:t xml:space="preserve">ᶜ). Expertise </w:t>
      </w:r>
      <w:r>
        <w:rPr>
          <w:rFonts w:ascii="Times New Roman" w:cs="Times New Roman" w:eastAsia="Times New Roman" w:hAnsi="Times New Roman"/>
          <w:i/>
          <w:iCs/>
        </w:rPr>
        <w:t xml:space="preserve">K</w:t>
      </w:r>
      <w:r>
        <w:rPr>
          <w:rFonts w:ascii="Times New Roman" w:cs="Times New Roman" w:eastAsia="Times New Roman" w:hAnsi="Times New Roman"/>
        </w:rPr>
        <w:t xml:space="preserve">ᴱ lowers the cost of specifying a task and recognizing a failed draft. Review capacity </w:t>
      </w:r>
      <w:r>
        <w:rPr>
          <w:rFonts w:ascii="Times New Roman" w:cs="Times New Roman" w:eastAsia="Times New Roman" w:hAnsi="Times New Roman"/>
          <w:i/>
          <w:iCs/>
        </w:rPr>
        <w:t xml:space="preserve">K</w:t>
      </w:r>
      <w:r>
        <w:rPr>
          <w:rFonts w:ascii="Times New Roman" w:cs="Times New Roman" w:eastAsia="Times New Roman" w:hAnsi="Times New Roman"/>
        </w:rPr>
        <w:t xml:space="preserve">ᴿ lowers the cost of running that check as a routine rather than as an exception. Compliance procedures </w:t>
      </w:r>
      <w:r>
        <w:rPr>
          <w:rFonts w:ascii="Times New Roman" w:cs="Times New Roman" w:eastAsia="Times New Roman" w:hAnsi="Times New Roman"/>
          <w:i/>
          <w:iCs/>
        </w:rPr>
        <w:t xml:space="preserve">K</w:t>
      </w:r>
      <w:r>
        <w:rPr>
          <w:rFonts w:ascii="Times New Roman" w:cs="Times New Roman" w:eastAsia="Times New Roman" w:hAnsi="Times New Roman"/>
        </w:rPr>
        <w:t xml:space="preserve">ᶜ lower the cost of deciding whether an output may be used given copyright and personal-data exposure. Two implications follow directly from equation (1).</w:t>
      </w:r>
    </w:p>
    <w:p>
      <w:pPr>
        <w:spacing w:after="160" w:line="480" w:lineRule="auto"/>
        <w:jc w:val="left"/>
      </w:pPr>
      <w:r>
        <w:rPr>
          <w:rFonts w:ascii="Times New Roman" w:cs="Times New Roman" w:eastAsia="Times New Roman" w:hAnsi="Times New Roman"/>
          <w:b/>
          <w:bCs/>
        </w:rPr>
        <w:t xml:space="preserve">Implication 1 (complements are necessary).</w:t>
      </w:r>
      <w:r>
        <w:rPr>
          <w:rFonts w:ascii="Times New Roman" w:cs="Times New Roman" w:eastAsia="Times New Roman" w:hAnsi="Times New Roman"/>
        </w:rPr>
        <w:t xml:space="preserve"> If </w:t>
      </w:r>
      <w:r>
        <w:rPr>
          <w:rFonts w:ascii="Times New Roman" w:cs="Times New Roman" w:eastAsia="Times New Roman" w:hAnsi="Times New Roman"/>
          <w:i/>
          <w:iCs/>
        </w:rPr>
        <w:t xml:space="preserve">c</w:t>
      </w:r>
      <w:r>
        <w:rPr>
          <w:rFonts w:ascii="Times New Roman" w:cs="Times New Roman" w:eastAsia="Times New Roman" w:hAnsi="Times New Roman"/>
        </w:rPr>
        <w:t xml:space="preserve"> + </w:t>
      </w:r>
      <w:r>
        <w:rPr>
          <w:rFonts w:ascii="Times New Roman" w:cs="Times New Roman" w:eastAsia="Times New Roman" w:hAnsi="Times New Roman"/>
          <w:i/>
          <w:iCs/>
        </w:rPr>
        <w:t xml:space="preserve">r</w:t>
      </w:r>
      <w:r>
        <w:rPr>
          <w:rFonts w:ascii="Times New Roman" w:cs="Times New Roman" w:eastAsia="Times New Roman" w:hAnsi="Times New Roman"/>
        </w:rPr>
        <w:t xml:space="preserve">(</w:t>
      </w:r>
      <w:r>
        <w:rPr>
          <w:rFonts w:ascii="Times New Roman" w:cs="Times New Roman" w:eastAsia="Times New Roman" w:hAnsi="Times New Roman"/>
          <w:i/>
          <w:iCs/>
        </w:rPr>
        <w:t xml:space="preserve">q</w:t>
      </w:r>
      <w:r>
        <w:rPr>
          <w:rFonts w:ascii="Times New Roman" w:cs="Times New Roman" w:eastAsia="Times New Roman" w:hAnsi="Times New Roman"/>
        </w:rPr>
        <w:t xml:space="preserve">; </w:t>
      </w:r>
      <w:r>
        <w:rPr>
          <w:rFonts w:ascii="Times New Roman" w:cs="Times New Roman" w:eastAsia="Times New Roman" w:hAnsi="Times New Roman"/>
          <w:i/>
          <w:iCs/>
        </w:rPr>
        <w:t xml:space="preserve">K</w:t>
      </w:r>
      <w:r>
        <w:rPr>
          <w:rFonts w:ascii="Times New Roman" w:cs="Times New Roman" w:eastAsia="Times New Roman" w:hAnsi="Times New Roman"/>
        </w:rPr>
        <w:t xml:space="preserve">) ≥ </w:t>
      </w:r>
      <w:r>
        <w:rPr>
          <w:rFonts w:ascii="Times New Roman" w:cs="Times New Roman" w:eastAsia="Times New Roman" w:hAnsi="Times New Roman"/>
          <w:i/>
          <w:iCs/>
        </w:rPr>
        <w:t xml:space="preserve">θ</w:t>
      </w:r>
      <w:r>
        <w:rPr>
          <w:rFonts w:ascii="Times New Roman" w:cs="Times New Roman" w:eastAsia="Times New Roman" w:hAnsi="Times New Roman"/>
        </w:rPr>
        <w:t xml:space="preserve">, then </w:t>
      </w:r>
      <w:r>
        <w:rPr>
          <w:rFonts w:ascii="Times New Roman" w:cs="Times New Roman" w:eastAsia="Times New Roman" w:hAnsi="Times New Roman"/>
          <w:i/>
          <w:iCs/>
        </w:rPr>
        <w:t xml:space="preserve">a</w:t>
      </w:r>
      <w:r>
        <w:rPr>
          <w:rFonts w:ascii="Times New Roman" w:cs="Times New Roman" w:eastAsia="Times New Roman" w:hAnsi="Times New Roman"/>
          <w:i/>
          <w:iCs/>
        </w:rPr>
        <w:t xml:space="preserve"> ≥ 1 and the task is not assimilated for any model quality </w:t>
      </w:r>
      <w:r>
        <w:rPr>
          <w:rFonts w:ascii="Times New Roman" w:cs="Times New Roman" w:eastAsia="Times New Roman" w:hAnsi="Times New Roman"/>
        </w:rPr>
        <w:t xml:space="preserve">m</w:t>
      </w:r>
      <w:r>
        <w:rPr>
          <w:rFonts w:ascii="Times New Roman" w:cs="Times New Roman" w:eastAsia="Times New Roman" w:hAnsi="Times New Roman"/>
          <w:i/>
          <w:iCs/>
        </w:rPr>
        <w:t xml:space="preserve">. Model improvements cannot substitute for missing complements; they matter only once complements have brought </w:t>
      </w:r>
      <w:r>
        <w:rPr>
          <w:rFonts w:ascii="Times New Roman" w:cs="Times New Roman" w:eastAsia="Times New Roman" w:hAnsi="Times New Roman"/>
        </w:rPr>
        <w:t xml:space="preserve">c</w:t>
      </w:r>
      <w:r>
        <w:rPr>
          <w:rFonts w:ascii="Times New Roman" w:cs="Times New Roman" w:eastAsia="Times New Roman" w:hAnsi="Times New Roman"/>
          <w:i/>
          <w:iCs/>
        </w:rPr>
        <w:t xml:space="preserve"> + </w:t>
      </w:r>
      <w:r>
        <w:rPr>
          <w:rFonts w:ascii="Times New Roman" w:cs="Times New Roman" w:eastAsia="Times New Roman" w:hAnsi="Times New Roman"/>
        </w:rPr>
        <w:t xml:space="preserve">r</w:t>
      </w:r>
      <w:r>
        <w:rPr>
          <w:rFonts w:ascii="Times New Roman" w:cs="Times New Roman" w:eastAsia="Times New Roman" w:hAnsi="Times New Roman"/>
          <w:i/>
          <w:iCs/>
        </w:rPr>
        <w:t xml:space="preserve"> below </w:t>
      </w:r>
      <w:r>
        <w:rPr>
          <w:rFonts w:ascii="Times New Roman" w:cs="Times New Roman" w:eastAsia="Times New Roman" w:hAnsi="Times New Roman"/>
        </w:rPr>
        <w:t xml:space="preserve">θ*.</w:t>
      </w:r>
    </w:p>
    <w:p>
      <w:pPr>
        <w:spacing w:after="160" w:line="480" w:lineRule="auto"/>
        <w:jc w:val="left"/>
      </w:pPr>
      <w:r>
        <w:rPr>
          <w:rFonts w:ascii="Times New Roman" w:cs="Times New Roman" w:eastAsia="Times New Roman" w:hAnsi="Times New Roman"/>
          <w:b/>
          <w:bCs/>
        </w:rPr>
        <w:t xml:space="preserve">Implication 2 (cheap acquisition widens the gap).</w:t>
      </w:r>
      <w:r>
        <w:rPr>
          <w:rFonts w:ascii="Times New Roman" w:cs="Times New Roman" w:eastAsia="Times New Roman" w:hAnsi="Times New Roman"/>
        </w:rPr>
        <w:t xml:space="preserve"> Because acquisition requires little investment, the share of firms that acquire the tool can grow independently of </w:t>
      </w:r>
      <w:r>
        <w:rPr>
          <w:rFonts w:ascii="Times New Roman" w:cs="Times New Roman" w:eastAsia="Times New Roman" w:hAnsi="Times New Roman"/>
          <w:i/>
          <w:iCs/>
        </w:rPr>
        <w:t xml:space="preserve">K</w:t>
      </w:r>
      <w:r>
        <w:rPr>
          <w:rFonts w:ascii="Times New Roman" w:cs="Times New Roman" w:eastAsia="Times New Roman" w:hAnsi="Times New Roman"/>
        </w:rPr>
        <w:t xml:space="preserve">. If </w:t>
      </w:r>
      <w:r>
        <w:rPr>
          <w:rFonts w:ascii="Times New Roman" w:cs="Times New Roman" w:eastAsia="Times New Roman" w:hAnsi="Times New Roman"/>
          <w:i/>
          <w:iCs/>
        </w:rPr>
        <w:t xml:space="preserve">K</w:t>
      </w:r>
      <w:r>
        <w:rPr>
          <w:rFonts w:ascii="Times New Roman" w:cs="Times New Roman" w:eastAsia="Times New Roman" w:hAnsi="Times New Roman"/>
        </w:rPr>
        <w:t xml:space="preserve"> accumulates more slowly than acquisition, the share of acquiring firms that satisfy equation (1) for a given task falls even as acquisition rises, and the gap between acquisition and assimilation widens before it narrows.</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3.3 From Tasks to Occupational Demand</w:t>
      </w:r>
    </w:p>
    <w:p>
      <w:pPr>
        <w:spacing w:after="160" w:line="480" w:lineRule="auto"/>
        <w:jc w:val="left"/>
      </w:pPr>
      <w:r>
        <w:rPr>
          <w:rFonts w:ascii="Times New Roman" w:cs="Times New Roman" w:eastAsia="Times New Roman" w:hAnsi="Times New Roman"/>
        </w:rPr>
        <w:t xml:space="preserve">Let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ᵘ be the share of employers that report use and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ᵃ ≤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ᵘ the share that have assimilated the visual-production tasks of occupation </w:t>
      </w:r>
      <w:r>
        <w:rPr>
          <w:rFonts w:ascii="Times New Roman" w:cs="Times New Roman" w:eastAsia="Times New Roman" w:hAnsi="Times New Roman"/>
          <w:i/>
          <w:iCs/>
        </w:rPr>
        <w:t xml:space="preserve">j</w:t>
      </w:r>
      <w:r>
        <w:rPr>
          <w:rFonts w:ascii="Times New Roman" w:cs="Times New Roman" w:eastAsia="Times New Roman" w:hAnsi="Times New Roman"/>
        </w:rPr>
        <w:t xml:space="preserve">. Let </w:t>
      </w:r>
      <w:r>
        <w:rPr>
          <w:rFonts w:ascii="Times New Roman" w:cs="Times New Roman" w:eastAsia="Times New Roman" w:hAnsi="Times New Roman"/>
          <w:i/>
          <w:iCs/>
        </w:rPr>
        <w:t xml:space="preserve">s</w:t>
      </w:r>
      <w:r>
        <w:rPr>
          <w:rFonts w:ascii="Times New Roman" w:cs="Times New Roman" w:eastAsia="Times New Roman" w:hAnsi="Times New Roman"/>
        </w:rPr>
        <w:t xml:space="preserve">ⱼ be the share of the occupation’s work that consists of such tasks, and let </w:t>
      </w:r>
      <w:r>
        <w:rPr>
          <w:rFonts w:ascii="Times New Roman" w:cs="Times New Roman" w:eastAsia="Times New Roman" w:hAnsi="Times New Roman"/>
          <w:i/>
          <w:iCs/>
        </w:rPr>
        <w:t xml:space="preserve">β</w:t>
      </w:r>
      <w:r>
        <w:rPr>
          <w:rFonts w:ascii="Times New Roman" w:cs="Times New Roman" w:eastAsia="Times New Roman" w:hAnsi="Times New Roman"/>
        </w:rPr>
        <w:t xml:space="preserve"> be the log change in demand for the occupation’s visual-production work at an assimilating employer. To a first approximation the aggregate log change in demand is</w:t>
      </w:r>
    </w:p>
    <w:p>
      <w:pPr>
        <w:spacing w:after="200" w:before="120"/>
        <w:jc w:val="center"/>
      </w:pPr>
      <w:r>
        <w:rPr>
          <w:rFonts w:ascii="Times New Roman" w:cs="Times New Roman" w:eastAsia="Times New Roman" w:hAnsi="Times New Roman"/>
          <w:i/>
          <w:iCs/>
        </w:rPr>
        <w:t xml:space="preserve">Δ ln Nⱼ  ≈  sⱼ · Aᵃ · β  ≥  sⱼ · Aᵘ · β   for β &lt; 0.          (2)</w:t>
      </w:r>
    </w:p>
    <w:p>
      <w:pPr>
        <w:spacing w:after="160" w:line="480" w:lineRule="auto"/>
        <w:jc w:val="left"/>
      </w:pPr>
      <w:r>
        <w:rPr>
          <w:rFonts w:ascii="Times New Roman" w:cs="Times New Roman" w:eastAsia="Times New Roman" w:hAnsi="Times New Roman"/>
        </w:rPr>
        <w:t xml:space="preserve">The parameter </w:t>
      </w:r>
      <w:r>
        <w:rPr>
          <w:rFonts w:ascii="Times New Roman" w:cs="Times New Roman" w:eastAsia="Times New Roman" w:hAnsi="Times New Roman"/>
          <w:i/>
          <w:iCs/>
        </w:rPr>
        <w:t xml:space="preserve">β</w:t>
      </w:r>
      <w:r>
        <w:rPr>
          <w:rFonts w:ascii="Times New Roman" w:cs="Times New Roman" w:eastAsia="Times New Roman" w:hAnsi="Times New Roman"/>
        </w:rPr>
        <w:t xml:space="preserve"> combines substitution, which is negative, with a scale effect, which is positive when cheaper content raises the volume of visual work and the demand for direction and selection. Equation (2) makes clear why a small aggregate response is ambiguous. It can arise because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ᵃ is small relative to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ᵘ, which is the assimilation gap, or because </w:t>
      </w:r>
      <w:r>
        <w:rPr>
          <w:rFonts w:ascii="Times New Roman" w:cs="Times New Roman" w:eastAsia="Times New Roman" w:hAnsi="Times New Roman"/>
          <w:i/>
          <w:iCs/>
        </w:rPr>
        <w:t xml:space="preserve">β</w:t>
      </w:r>
      <w:r>
        <w:rPr>
          <w:rFonts w:ascii="Times New Roman" w:cs="Times New Roman" w:eastAsia="Times New Roman" w:hAnsi="Times New Roman"/>
        </w:rPr>
        <w:t xml:space="preserve"> is close to zero, which is assimilation with offsetting scale effects. It can also arise simply because </w:t>
      </w:r>
      <w:r>
        <w:rPr>
          <w:rFonts w:ascii="Times New Roman" w:cs="Times New Roman" w:eastAsia="Times New Roman" w:hAnsi="Times New Roman"/>
          <w:i/>
          <w:iCs/>
        </w:rPr>
        <w:t xml:space="preserve">s</w:t>
      </w:r>
      <w:r>
        <w:rPr>
          <w:rFonts w:ascii="Times New Roman" w:cs="Times New Roman" w:eastAsia="Times New Roman" w:hAnsi="Times New Roman"/>
        </w:rPr>
        <w:t xml:space="preserve">ⱼ ·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ᵘ · </w:t>
      </w:r>
      <w:r>
        <w:rPr>
          <w:rFonts w:ascii="Times New Roman" w:cs="Times New Roman" w:eastAsia="Times New Roman" w:hAnsi="Times New Roman"/>
          <w:i/>
          <w:iCs/>
        </w:rPr>
        <w:t xml:space="preserve">β</w:t>
      </w:r>
      <w:r>
        <w:rPr>
          <w:rFonts w:ascii="Times New Roman" w:cs="Times New Roman" w:eastAsia="Times New Roman" w:hAnsi="Times New Roman"/>
        </w:rPr>
        <w:t xml:space="preserve"> is small even when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ᵃ = </w:t>
      </w:r>
      <w:r>
        <w:rPr>
          <w:rFonts w:ascii="Times New Roman" w:cs="Times New Roman" w:eastAsia="Times New Roman" w:hAnsi="Times New Roman"/>
          <w:i/>
          <w:iCs/>
        </w:rPr>
        <w:t xml:space="preserve">A</w:t>
      </w:r>
      <w:r>
        <w:rPr>
          <w:rFonts w:ascii="Times New Roman" w:cs="Times New Roman" w:eastAsia="Times New Roman" w:hAnsi="Times New Roman"/>
        </w:rPr>
        <w:t xml:space="preserve">ᵘ. Section 4 shows that this last possibility is the binding one in current data.</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3.4 Review as a Bottleneck Task</w:t>
      </w:r>
    </w:p>
    <w:p>
      <w:pPr>
        <w:spacing w:after="160" w:line="480" w:lineRule="auto"/>
        <w:jc w:val="left"/>
      </w:pPr>
      <w:r>
        <w:rPr>
          <w:rFonts w:ascii="Times New Roman" w:cs="Times New Roman" w:eastAsia="Times New Roman" w:hAnsi="Times New Roman"/>
        </w:rPr>
        <w:t xml:space="preserve">Equation (1) says when a firm assimilates a task. To see what assimilation does to labor demand, let a unit of the visual asset require </w:t>
      </w:r>
      <w:r>
        <w:rPr>
          <w:rFonts w:ascii="Times New Roman" w:cs="Times New Roman" w:eastAsia="Times New Roman" w:hAnsi="Times New Roman"/>
          <w:i/>
        </w:rPr>
        <w:t>h</w:t>
      </w:r>
      <w:r>
        <w:rPr>
          <w:rFonts w:ascii="Times New Roman" w:cs="Times New Roman" w:eastAsia="Times New Roman" w:hAnsi="Times New Roman"/>
        </w:rPr>
        <w:t xml:space="preserve"> hours of human production, so that </w:t>
      </w:r>
      <w:r>
        <w:rPr>
          <w:rFonts w:ascii="Times New Roman" w:cs="Times New Roman" w:eastAsia="Times New Roman" w:hAnsi="Times New Roman"/>
          <w:i/>
        </w:rPr>
        <w:t>θ</w:t>
      </w:r>
      <w:r>
        <w:rPr>
          <w:rFonts w:ascii="Times New Roman" w:cs="Times New Roman" w:eastAsia="Times New Roman" w:hAnsi="Times New Roman"/>
        </w:rPr>
        <w:t xml:space="preserve"> = </w:t>
      </w:r>
      <w:r>
        <w:rPr>
          <w:rFonts w:ascii="Times New Roman" w:cs="Times New Roman" w:eastAsia="Times New Roman" w:hAnsi="Times New Roman"/>
          <w:i/>
        </w:rPr>
        <w:t>wh</w:t>
      </w:r>
      <w:r>
        <w:rPr>
          <w:rFonts w:ascii="Times New Roman" w:cs="Times New Roman" w:eastAsia="Times New Roman" w:hAnsi="Times New Roman"/>
        </w:rPr>
        <w:t xml:space="preserve">, and let review require </w:t>
      </w:r>
      <w:r>
        <w:rPr>
          <w:rFonts w:ascii="Times New Roman" w:cs="Times New Roman" w:eastAsia="Times New Roman" w:hAnsi="Times New Roman"/>
          <w:i/>
        </w:rPr>
        <w:t>u</w:t>
      </w:r>
      <w:r>
        <w:rPr>
          <w:rFonts w:ascii="Times New Roman" w:cs="Times New Roman" w:eastAsia="Times New Roman" w:hAnsi="Times New Roman"/>
        </w:rPr>
        <w:t xml:space="preserve"> hours, so that </w:t>
      </w:r>
      <w:r>
        <w:rPr>
          <w:rFonts w:ascii="Times New Roman" w:cs="Times New Roman" w:eastAsia="Times New Roman" w:hAnsi="Times New Roman"/>
          <w:i/>
        </w:rPr>
        <w:t>r</w:t>
      </w:r>
      <w:r>
        <w:rPr>
          <w:rFonts w:ascii="Times New Roman" w:cs="Times New Roman" w:eastAsia="Times New Roman" w:hAnsi="Times New Roman"/>
        </w:rPr>
        <w:t xml:space="preserve"> = </w:t>
      </w:r>
      <w:r>
        <w:rPr>
          <w:rFonts w:ascii="Times New Roman" w:cs="Times New Roman" w:eastAsia="Times New Roman" w:hAnsi="Times New Roman"/>
          <w:i/>
        </w:rPr>
        <w:t>wu</w:t>
      </w:r>
      <w:r>
        <w:rPr>
          <w:rFonts w:ascii="Times New Roman" w:cs="Times New Roman" w:eastAsia="Times New Roman" w:hAnsi="Times New Roman"/>
        </w:rPr>
        <w:t xml:space="preserve">. Write </w:t>
      </w:r>
      <w:r>
        <w:rPr>
          <w:rFonts w:ascii="Times New Roman" w:cs="Times New Roman" w:eastAsia="Times New Roman" w:hAnsi="Times New Roman"/>
          <w:i/>
        </w:rPr>
        <w:t>ρ</w:t>
      </w:r>
      <w:r>
        <w:rPr>
          <w:rFonts w:ascii="Times New Roman" w:cs="Times New Roman" w:eastAsia="Times New Roman" w:hAnsi="Times New Roman"/>
        </w:rPr>
        <w:t xml:space="preserve"> = </w:t>
      </w:r>
      <w:r>
        <w:rPr>
          <w:rFonts w:ascii="Times New Roman" w:cs="Times New Roman" w:eastAsia="Times New Roman" w:hAnsi="Times New Roman"/>
          <w:i/>
        </w:rPr>
        <w:t>r</w:t>
      </w:r>
      <w:r>
        <w:rPr>
          <w:rFonts w:ascii="Times New Roman" w:cs="Times New Roman" w:eastAsia="Times New Roman" w:hAnsi="Times New Roman"/>
        </w:rPr>
        <w:t>/</w:t>
      </w:r>
      <w:r>
        <w:rPr>
          <w:rFonts w:ascii="Times New Roman" w:cs="Times New Roman" w:eastAsia="Times New Roman" w:hAnsi="Times New Roman"/>
          <w:i/>
        </w:rPr>
        <w:t>θ</w:t>
      </w:r>
      <w:r>
        <w:rPr>
          <w:rFonts w:ascii="Times New Roman" w:cs="Times New Roman" w:eastAsia="Times New Roman" w:hAnsi="Times New Roman"/>
        </w:rPr>
        <w:t xml:space="preserve"> for review cost relative to human production and </w:t>
      </w:r>
      <w:r>
        <w:rPr>
          <w:rFonts w:ascii="Times New Roman" w:cs="Times New Roman" w:eastAsia="Times New Roman" w:hAnsi="Times New Roman"/>
          <w:i/>
        </w:rPr>
        <w:t>γ</w:t>
      </w:r>
      <w:r>
        <w:rPr>
          <w:rFonts w:ascii="Times New Roman" w:cs="Times New Roman" w:eastAsia="Times New Roman" w:hAnsi="Times New Roman"/>
        </w:rPr>
        <w:t xml:space="preserve"> = </w:t>
      </w:r>
      <w:r>
        <w:rPr>
          <w:rFonts w:ascii="Times New Roman" w:cs="Times New Roman" w:eastAsia="Times New Roman" w:hAnsi="Times New Roman"/>
          <w:i/>
        </w:rPr>
        <w:t>c</w:t>
      </w:r>
      <w:r>
        <w:rPr>
          <w:rFonts w:ascii="Times New Roman" w:cs="Times New Roman" w:eastAsia="Times New Roman" w:hAnsi="Times New Roman"/>
        </w:rPr>
        <w:t>/</w:t>
      </w:r>
      <w:r>
        <w:rPr>
          <w:rFonts w:ascii="Times New Roman" w:cs="Times New Roman" w:eastAsia="Times New Roman" w:hAnsi="Times New Roman"/>
          <w:i/>
        </w:rPr>
        <w:t>θ</w:t>
      </w:r>
      <w:r>
        <w:rPr>
          <w:rFonts w:ascii="Times New Roman" w:cs="Times New Roman" w:eastAsia="Times New Roman" w:hAnsi="Times New Roman"/>
        </w:rPr>
        <w:t xml:space="preserve"> for generation cost relative to human production, so that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γ</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With the generator, a unit of output needs review labor and, with probability 1 − </w:t>
      </w:r>
      <w:r>
        <w:rPr>
          <w:rFonts w:ascii="Times New Roman" w:cs="Times New Roman" w:eastAsia="Times New Roman" w:hAnsi="Times New Roman"/>
          <w:i/>
        </w:rPr>
        <w:t>a</w:t>
      </w:r>
      <w:r>
        <w:rPr>
          <w:rFonts w:ascii="Times New Roman" w:cs="Times New Roman" w:eastAsia="Times New Roman" w:hAnsi="Times New Roman"/>
        </w:rPr>
        <w:t xml:space="preserve">, human production labor, so labor per unit falls from </w:t>
      </w:r>
      <w:r>
        <w:rPr>
          <w:rFonts w:ascii="Times New Roman" w:cs="Times New Roman" w:eastAsia="Times New Roman" w:hAnsi="Times New Roman"/>
          <w:i/>
        </w:rPr>
        <w:t>h</w:t>
      </w:r>
      <w:r>
        <w:rPr>
          <w:rFonts w:ascii="Times New Roman" w:cs="Times New Roman" w:eastAsia="Times New Roman" w:hAnsi="Times New Roman"/>
        </w:rPr>
        <w:t xml:space="preserve"> to </w:t>
      </w:r>
      <w:r>
        <w:rPr>
          <w:rFonts w:ascii="Times New Roman" w:cs="Times New Roman" w:eastAsia="Times New Roman" w:hAnsi="Times New Roman"/>
          <w:i/>
        </w:rPr>
        <w:t>u</w:t>
      </w:r>
      <w:r>
        <w:rPr>
          <w:rFonts w:ascii="Times New Roman" w:cs="Times New Roman" w:eastAsia="Times New Roman" w:hAnsi="Times New Roman"/>
        </w:rPr>
        <w:t xml:space="preserve"> + (1 − </w:t>
      </w:r>
      <w:r>
        <w:rPr>
          <w:rFonts w:ascii="Times New Roman" w:cs="Times New Roman" w:eastAsia="Times New Roman" w:hAnsi="Times New Roman"/>
          <w:i/>
        </w:rPr>
        <w:t>a</w:t>
      </w:r>
      <w:r>
        <w:rPr>
          <w:rFonts w:ascii="Times New Roman" w:cs="Times New Roman" w:eastAsia="Times New Roman" w:hAnsi="Times New Roman"/>
        </w:rPr>
        <w:t>)</w:t>
      </w:r>
      <w:r>
        <w:rPr>
          <w:rFonts w:ascii="Times New Roman" w:cs="Times New Roman" w:eastAsia="Times New Roman" w:hAnsi="Times New Roman"/>
          <w:i/>
        </w:rPr>
        <w:t>h</w:t>
      </w:r>
      <w:r>
        <w:rPr>
          <w:rFonts w:ascii="Times New Roman" w:cs="Times New Roman" w:eastAsia="Times New Roman" w:hAnsi="Times New Roman"/>
        </w:rPr>
        <w:t xml:space="preserve">, a ratio of 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while cost per unit falls by the ratio </w:t>
      </w:r>
      <w:r>
        <w:rPr>
          <w:rFonts w:ascii="Times New Roman" w:cs="Times New Roman" w:eastAsia="Times New Roman" w:hAnsi="Times New Roman"/>
          <w:i/>
        </w:rPr>
        <w:t>κ</w:t>
      </w:r>
      <w:r>
        <w:rPr>
          <w:rFonts w:ascii="Times New Roman" w:cs="Times New Roman" w:eastAsia="Times New Roman" w:hAnsi="Times New Roman"/>
        </w:rPr>
        <w:t xml:space="preserve"> = </w:t>
      </w:r>
      <w:r>
        <w:rPr>
          <w:rFonts w:ascii="Times New Roman" w:cs="Times New Roman" w:eastAsia="Times New Roman" w:hAnsi="Times New Roman"/>
          <w:i/>
        </w:rPr>
        <w:t>γ</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+ 1 − </w:t>
      </w:r>
      <w:r>
        <w:rPr>
          <w:rFonts w:ascii="Times New Roman" w:cs="Times New Roman" w:eastAsia="Times New Roman" w:hAnsi="Times New Roman"/>
          <w:i/>
        </w:rPr>
        <w:t>a</w:t>
      </w:r>
      <w:r>
        <w:rPr>
          <w:rFonts w:ascii="Times New Roman" w:cs="Times New Roman" w:eastAsia="Times New Roman" w:hAnsi="Times New Roman"/>
        </w:rPr>
        <w:t xml:space="preserve">. The ratio </w:t>
      </w:r>
      <w:r>
        <w:rPr>
          <w:rFonts w:ascii="Times New Roman" w:cs="Times New Roman" w:eastAsia="Times New Roman" w:hAnsi="Times New Roman"/>
          <w:i/>
        </w:rPr>
        <w:t>κ</w:t>
      </w:r>
      <w:r>
        <w:rPr>
          <w:rFonts w:ascii="Times New Roman" w:cs="Times New Roman" w:eastAsia="Times New Roman" w:hAnsi="Times New Roman"/>
        </w:rPr>
        <w:t xml:space="preserve"> is below one exactly when </w:t>
      </w:r>
      <w:r>
        <w:rPr>
          <w:rFonts w:ascii="Times New Roman" w:cs="Times New Roman" w:eastAsia="Times New Roman" w:hAnsi="Times New Roman"/>
          <w:i/>
        </w:rPr>
        <w:t>a</w:t>
      </w:r>
      <w:r>
        <w:rPr>
          <w:rFonts w:ascii="Times New Roman" w:cs="Times New Roman" w:eastAsia="Times New Roman" w:hAnsi="Times New Roman"/>
        </w:rPr>
        <w:t xml:space="preserve"> &gt; </w:t>
      </w:r>
      <w:r>
        <w:rPr>
          <w:rFonts w:ascii="Times New Roman" w:cs="Times New Roman" w:eastAsia="Times New Roman" w:hAnsi="Times New Roman"/>
          <w:i/>
        </w:rPr>
        <w:t>a</w:t>
      </w:r>
      <w:r>
        <w:rPr>
          <w:rFonts w:ascii="Times New Roman" w:cs="Times New Roman" w:eastAsia="Times New Roman" w:hAnsi="Times New Roman"/>
        </w:rPr>
        <w:t xml:space="preserve">*. Review labor is paid the same wage as production labor; relaxing this changes </w:t>
      </w:r>
      <w:r>
        <w:rPr>
          <w:rFonts w:ascii="Times New Roman" w:cs="Times New Roman" w:eastAsia="Times New Roman" w:hAnsi="Times New Roman"/>
          <w:i/>
        </w:rPr>
        <w:t>ρ</w:t>
      </w:r>
      <w:r>
        <w:rPr>
          <w:rFonts w:ascii="Times New Roman" w:cs="Times New Roman" w:eastAsia="Times New Roman" w:hAnsi="Times New Roman"/>
        </w:rPr>
        <w:t xml:space="preserve"> but not the argument.</w:t>
      </w:r>
    </w:p>
    <w:p>
      <w:pPr>
        <w:spacing w:after="160" w:line="480" w:lineRule="auto"/>
        <w:jc w:val="left"/>
      </w:pPr>
      <w:r>
        <w:rPr>
          <w:rFonts w:ascii="Times New Roman" w:cs="Times New Roman" w:eastAsia="Times New Roman" w:hAnsi="Times New Roman"/>
          <w:b/>
        </w:rPr>
        <w:t>Proposition 1 (review floor).</w:t>
      </w:r>
      <w:r>
        <w:rPr>
          <w:rFonts w:ascii="Times New Roman" w:cs="Times New Roman" w:eastAsia="Times New Roman" w:hAnsi="Times New Roman"/>
        </w:rPr>
        <w:t xml:space="preserve"> Labor per unit of output at an assimilating firm cannot fall below the review share </w:t>
      </w:r>
      <w:r>
        <w:rPr>
          <w:rFonts w:ascii="Times New Roman" w:cs="Times New Roman" w:eastAsia="Times New Roman" w:hAnsi="Times New Roman"/>
          <w:i/>
        </w:rPr>
        <w:t>ρ</w:t>
      </w:r>
      <w:r>
        <w:rPr>
          <w:rFonts w:ascii="Times New Roman" w:cs="Times New Roman" w:eastAsia="Times New Roman" w:hAnsi="Times New Roman"/>
        </w:rPr>
        <w:t xml:space="preserve">, however high the acceptance rate </w:t>
      </w:r>
      <w:r>
        <w:rPr>
          <w:rFonts w:ascii="Times New Roman" w:cs="Times New Roman" w:eastAsia="Times New Roman" w:hAnsi="Times New Roman"/>
          <w:i/>
        </w:rPr>
        <w:t>a</w:t>
      </w:r>
      <w:r>
        <w:rPr>
          <w:rFonts w:ascii="Times New Roman" w:cs="Times New Roman" w:eastAsia="Times New Roman" w:hAnsi="Times New Roman"/>
        </w:rPr>
        <w:t xml:space="preserve">. If review hours do not fall with model quality, improvements in the generator reduce labor per unit only down to this floor, and when </w:t>
      </w:r>
      <w:r>
        <w:rPr>
          <w:rFonts w:ascii="Times New Roman" w:cs="Times New Roman" w:eastAsia="Times New Roman" w:hAnsi="Times New Roman"/>
          <w:i/>
        </w:rPr>
        <w:t>ρ</w:t>
      </w:r>
      <w:r>
        <w:rPr>
          <w:rFonts w:ascii="Times New Roman" w:cs="Times New Roman" w:eastAsia="Times New Roman" w:hAnsi="Times New Roman"/>
        </w:rPr>
        <w:t xml:space="preserve"> is large relative to </w:t>
      </w:r>
      <w:r>
        <w:rPr>
          <w:rFonts w:ascii="Times New Roman" w:cs="Times New Roman" w:eastAsia="Times New Roman" w:hAnsi="Times New Roman"/>
          <w:i/>
        </w:rPr>
        <w:t>a</w:t>
      </w:r>
      <w:r>
        <w:rPr>
          <w:rFonts w:ascii="Times New Roman" w:cs="Times New Roman" w:eastAsia="Times New Roman" w:hAnsi="Times New Roman"/>
        </w:rPr>
        <w:t xml:space="preserve"> the labor saved is small even though the task has been assimilated.</w:t>
      </w:r>
    </w:p>
    <w:p>
      <w:pPr>
        <w:spacing w:after="160" w:line="480" w:lineRule="auto"/>
        <w:jc w:val="left"/>
      </w:pPr>
      <w:r>
        <w:rPr>
          <w:rFonts w:ascii="Times New Roman" w:cs="Times New Roman" w:eastAsia="Times New Roman" w:hAnsi="Times New Roman"/>
        </w:rPr>
        <w:t xml:space="preserve">The floor is a bottleneck: when a task that can be automated is complementary to one that cannot, the task that cannot be automated becomes the binding constraint, and its share of the remaining labor rises as the generator improves (Aghion et al., 2019; Baumol, 1967). Because </w:t>
      </w:r>
      <w:r>
        <w:rPr>
          <w:rFonts w:ascii="Times New Roman" w:cs="Times New Roman" w:eastAsia="Times New Roman" w:hAnsi="Times New Roman"/>
          <w:i/>
        </w:rPr>
        <w:t>ρ</w:t>
      </w:r>
      <w:r>
        <w:rPr>
          <w:rFonts w:ascii="Times New Roman" w:cs="Times New Roman" w:eastAsia="Times New Roman" w:hAnsi="Times New Roman"/>
        </w:rPr>
        <w:t xml:space="preserve"> depends on the complements </w:t>
      </w:r>
      <w:r>
        <w:rPr>
          <w:rFonts w:ascii="Times New Roman" w:cs="Times New Roman" w:eastAsia="Times New Roman" w:hAnsi="Times New Roman"/>
          <w:i/>
        </w:rPr>
        <w:t>K</w:t>
      </w:r>
      <w:r>
        <w:rPr>
          <w:rFonts w:ascii="Times New Roman" w:cs="Times New Roman" w:eastAsia="Times New Roman" w:hAnsi="Times New Roman"/>
        </w:rPr>
        <w:t xml:space="preserve"> through review cost, the same complements that govern assimilation also govern how much labor assimilation can save.</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3.5 Displacement, Reinstatement, and Scale</w:t>
      </w:r>
    </w:p>
    <w:p>
      <w:pPr>
        <w:spacing w:after="160" w:line="480" w:lineRule="auto"/>
        <w:jc w:val="left"/>
      </w:pPr>
      <w:r>
        <w:rPr>
          <w:rFonts w:ascii="Times New Roman" w:cs="Times New Roman" w:eastAsia="Times New Roman" w:hAnsi="Times New Roman"/>
        </w:rPr>
        <w:t xml:space="preserve">Equation (2) leaves </w:t>
      </w:r>
      <w:r>
        <w:rPr>
          <w:rFonts w:ascii="Times New Roman" w:cs="Times New Roman" w:eastAsia="Times New Roman" w:hAnsi="Times New Roman"/>
          <w:i/>
        </w:rPr>
        <w:t>β</w:t>
      </w:r>
      <w:r>
        <w:rPr>
          <w:rFonts w:ascii="Times New Roman" w:cs="Times New Roman" w:eastAsia="Times New Roman" w:hAnsi="Times New Roman"/>
        </w:rPr>
        <w:t xml:space="preserve"> unspecified. Let </w:t>
      </w:r>
      <w:r>
        <w:rPr>
          <w:rFonts w:ascii="Times New Roman" w:cs="Times New Roman" w:eastAsia="Times New Roman" w:hAnsi="Times New Roman"/>
          <w:i/>
        </w:rPr>
        <w:t>ε</w:t>
      </w:r>
      <w:r>
        <w:rPr>
          <w:rFonts w:ascii="Times New Roman" w:cs="Times New Roman" w:eastAsia="Times New Roman" w:hAnsi="Times New Roman"/>
        </w:rPr>
        <w:t xml:space="preserve"> be the price elasticity of demand for the occupation’s visual output at the assimilating firm, so that output rises by </w:t>
      </w:r>
      <w:r>
        <w:rPr>
          <w:rFonts w:ascii="Times New Roman" w:cs="Times New Roman" w:eastAsia="Times New Roman" w:hAnsi="Times New Roman"/>
          <w:i/>
        </w:rPr>
        <w:t>κ</w:t>
      </w:r>
      <w:r>
        <w:rPr>
          <w:rFonts w:ascii="Times New Roman" w:cs="Times New Roman" w:eastAsia="Times New Roman" w:hAnsi="Times New Roman"/>
        </w:rPr>
        <w:t>^(−</w:t>
      </w:r>
      <w:r>
        <w:rPr>
          <w:rFonts w:ascii="Times New Roman" w:cs="Times New Roman" w:eastAsia="Times New Roman" w:hAnsi="Times New Roman"/>
          <w:i/>
        </w:rPr>
        <w:t>ε</w:t>
      </w:r>
      <w:r>
        <w:rPr>
          <w:rFonts w:ascii="Times New Roman" w:cs="Times New Roman" w:eastAsia="Times New Roman" w:hAnsi="Times New Roman"/>
        </w:rPr>
        <w:t xml:space="preserve">) when cost per unit falls by the ratio </w:t>
      </w:r>
      <w:r>
        <w:rPr>
          <w:rFonts w:ascii="Times New Roman" w:cs="Times New Roman" w:eastAsia="Times New Roman" w:hAnsi="Times New Roman"/>
          <w:i/>
        </w:rPr>
        <w:t>κ</w:t>
      </w:r>
      <w:r>
        <w:rPr>
          <w:rFonts w:ascii="Times New Roman" w:cs="Times New Roman" w:eastAsia="Times New Roman" w:hAnsi="Times New Roman"/>
        </w:rPr>
        <w:t>. The net effect on demand for the occupation’s work at an assimilating employer is</w:t>
      </w:r>
    </w:p>
    <w:p>
      <w:pPr>
        <w:spacing w:after="200" w:before="120"/>
        <w:jc w:val="center"/>
      </w:pPr>
      <w:r>
        <w:rPr>
          <w:rFonts w:ascii="Times New Roman" w:cs="Times New Roman" w:eastAsia="Times New Roman" w:hAnsi="Times New Roman"/>
          <w:i/>
          <w:iCs/>
        </w:rPr>
        <w:t>β</w:t>
      </w:r>
      <w:r>
        <w:rPr>
          <w:rFonts w:ascii="Times New Roman" w:cs="Times New Roman" w:eastAsia="Times New Roman" w:hAnsi="Times New Roman"/>
          <w:iCs/>
        </w:rPr>
        <w:t xml:space="preserve">  =  ln(1 − </w:t>
      </w:r>
      <w:r>
        <w:rPr>
          <w:rFonts w:ascii="Times New Roman" w:cs="Times New Roman" w:eastAsia="Times New Roman" w:hAnsi="Times New Roman"/>
          <w:i/>
          <w:iCs/>
        </w:rPr>
        <w:t>a</w:t>
      </w:r>
      <w:r>
        <w:rPr>
          <w:rFonts w:ascii="Times New Roman" w:cs="Times New Roman" w:eastAsia="Times New Roman" w:hAnsi="Times New Roman"/>
          <w:iCs/>
        </w:rPr>
        <w:t xml:space="preserve"> + </w:t>
      </w:r>
      <w:r>
        <w:rPr>
          <w:rFonts w:ascii="Times New Roman" w:cs="Times New Roman" w:eastAsia="Times New Roman" w:hAnsi="Times New Roman"/>
          <w:i/>
          <w:iCs/>
        </w:rPr>
        <w:t>ρ</w:t>
      </w:r>
      <w:r>
        <w:rPr>
          <w:rFonts w:ascii="Times New Roman" w:cs="Times New Roman" w:eastAsia="Times New Roman" w:hAnsi="Times New Roman"/>
          <w:iCs/>
        </w:rPr>
        <w:t xml:space="preserve">)  −  </w:t>
      </w:r>
      <w:r>
        <w:rPr>
          <w:rFonts w:ascii="Times New Roman" w:cs="Times New Roman" w:eastAsia="Times New Roman" w:hAnsi="Times New Roman"/>
          <w:i/>
          <w:iCs/>
        </w:rPr>
        <w:t>ε</w:t>
      </w:r>
      <w:r>
        <w:rPr>
          <w:rFonts w:ascii="Times New Roman" w:cs="Times New Roman" w:eastAsia="Times New Roman" w:hAnsi="Times New Roman"/>
          <w:iCs/>
        </w:rPr>
        <w:t xml:space="preserve"> ln </w:t>
      </w:r>
      <w:r>
        <w:rPr>
          <w:rFonts w:ascii="Times New Roman" w:cs="Times New Roman" w:eastAsia="Times New Roman" w:hAnsi="Times New Roman"/>
          <w:i/>
          <w:iCs/>
        </w:rPr>
        <w:t>κ</w:t>
      </w:r>
      <w:r>
        <w:rPr>
          <w:rFonts w:ascii="Times New Roman" w:cs="Times New Roman" w:eastAsia="Times New Roman" w:hAnsi="Times New Roman"/>
          <w:iCs/>
        </w:rPr>
        <w:t>.          (3)</w:t>
      </w:r>
    </w:p>
    <w:p>
      <w:pPr>
        <w:spacing w:after="160" w:line="480" w:lineRule="auto"/>
        <w:jc w:val="left"/>
      </w:pPr>
      <w:r>
        <w:rPr>
          <w:rFonts w:ascii="Times New Roman" w:cs="Times New Roman" w:eastAsia="Times New Roman" w:hAnsi="Times New Roman"/>
        </w:rPr>
        <w:t xml:space="preserve">The first term combines displacement, because the generator takes over a share </w:t>
      </w:r>
      <w:r>
        <w:rPr>
          <w:rFonts w:ascii="Times New Roman" w:cs="Times New Roman" w:eastAsia="Times New Roman" w:hAnsi="Times New Roman"/>
          <w:i/>
        </w:rPr>
        <w:t>a</w:t>
      </w:r>
      <w:r>
        <w:rPr>
          <w:rFonts w:ascii="Times New Roman" w:cs="Times New Roman" w:eastAsia="Times New Roman" w:hAnsi="Times New Roman"/>
        </w:rPr>
        <w:t xml:space="preserve"> of human production, with reinstatement, because review and direction create labor </w:t>
      </w:r>
      <w:r>
        <w:rPr>
          <w:rFonts w:ascii="Times New Roman" w:cs="Times New Roman" w:eastAsia="Times New Roman" w:hAnsi="Times New Roman"/>
          <w:i/>
        </w:rPr>
        <w:t>ρ</w:t>
      </w:r>
      <w:r>
        <w:rPr>
          <w:rFonts w:ascii="Times New Roman" w:cs="Times New Roman" w:eastAsia="Times New Roman" w:hAnsi="Times New Roman"/>
        </w:rPr>
        <w:t xml:space="preserve"> that did not exist before; these are the displacement and reinstatement effects of the task-based framework (Acemoglu &amp; Restrepo, 2018, 2019). The second term is the productivity or scale effect, which is positive because cheaper output raises the quantity demanded and with it the demand for review and direction. The values </w:t>
      </w:r>
      <w:r>
        <w:rPr>
          <w:rFonts w:ascii="Times New Roman" w:cs="Times New Roman" w:eastAsia="Times New Roman" w:hAnsi="Times New Roman"/>
          <w:i/>
        </w:rPr>
        <w:t>β</w:t>
      </w:r>
      <w:r>
        <w:rPr>
          <w:rFonts w:ascii="Times New Roman" w:cs="Times New Roman" w:eastAsia="Times New Roman" w:hAnsi="Times New Roman"/>
        </w:rPr>
        <w:t xml:space="preserve"> = −0.19 and </w:t>
      </w:r>
      <w:r>
        <w:rPr>
          <w:rFonts w:ascii="Times New Roman" w:cs="Times New Roman" w:eastAsia="Times New Roman" w:hAnsi="Times New Roman"/>
          <w:i/>
        </w:rPr>
        <w:t>β</w:t>
      </w:r>
      <w:r>
        <w:rPr>
          <w:rFonts w:ascii="Times New Roman" w:cs="Times New Roman" w:eastAsia="Times New Roman" w:hAnsi="Times New Roman"/>
        </w:rPr>
        <w:t xml:space="preserve"> = −0.5 used below are therefore reduced-form: each bundles </w:t>
      </w:r>
      <w:r>
        <w:rPr>
          <w:rFonts w:ascii="Times New Roman" w:cs="Times New Roman" w:eastAsia="Times New Roman" w:hAnsi="Times New Roman"/>
          <w:i/>
        </w:rPr>
        <w:t>a</w:t>
      </w:r>
      <w:r>
        <w:rPr>
          <w:rFonts w:ascii="Times New Roman" w:cs="Times New Roman" w:eastAsia="Times New Roman" w:hAnsi="Times New Roman"/>
        </w:rPr>
        <w:t xml:space="preserve">, </w:t>
      </w:r>
      <w:r>
        <w:rPr>
          <w:rFonts w:ascii="Times New Roman" w:cs="Times New Roman" w:eastAsia="Times New Roman" w:hAnsi="Times New Roman"/>
          <w:i/>
        </w:rPr>
        <w:t>ρ</w:t>
      </w:r>
      <w:r>
        <w:rPr>
          <w:rFonts w:ascii="Times New Roman" w:cs="Times New Roman" w:eastAsia="Times New Roman" w:hAnsi="Times New Roman"/>
        </w:rPr>
        <w:t xml:space="preserve">, </w:t>
      </w:r>
      <w:r>
        <w:rPr>
          <w:rFonts w:ascii="Times New Roman" w:cs="Times New Roman" w:eastAsia="Times New Roman" w:hAnsi="Times New Roman"/>
          <w:i/>
        </w:rPr>
        <w:t>γ</w:t>
      </w:r>
      <w:r>
        <w:rPr>
          <w:rFonts w:ascii="Times New Roman" w:cs="Times New Roman" w:eastAsia="Times New Roman" w:hAnsi="Times New Roman"/>
        </w:rPr>
        <w:t xml:space="preserve">, and </w:t>
      </w:r>
      <w:r>
        <w:rPr>
          <w:rFonts w:ascii="Times New Roman" w:cs="Times New Roman" w:eastAsia="Times New Roman" w:hAnsi="Times New Roman"/>
          <w:i/>
        </w:rPr>
        <w:t>ε</w:t>
      </w:r>
      <w:r>
        <w:rPr>
          <w:rFonts w:ascii="Times New Roman" w:cs="Times New Roman" w:eastAsia="Times New Roman" w:hAnsi="Times New Roman"/>
        </w:rPr>
        <w:t xml:space="preserve">. For example, with </w:t>
      </w:r>
      <w:r>
        <w:rPr>
          <w:rFonts w:ascii="Times New Roman" w:cs="Times New Roman" w:eastAsia="Times New Roman" w:hAnsi="Times New Roman"/>
          <w:i/>
        </w:rPr>
        <w:t>a</w:t>
      </w:r>
      <w:r>
        <w:rPr>
          <w:rFonts w:ascii="Times New Roman" w:cs="Times New Roman" w:eastAsia="Times New Roman" w:hAnsi="Times New Roman"/>
        </w:rPr>
        <w:t xml:space="preserve"> = 0.8, </w:t>
      </w:r>
      <w:r>
        <w:rPr>
          <w:rFonts w:ascii="Times New Roman" w:cs="Times New Roman" w:eastAsia="Times New Roman" w:hAnsi="Times New Roman"/>
          <w:i/>
        </w:rPr>
        <w:t>ρ</w:t>
      </w:r>
      <w:r>
        <w:rPr>
          <w:rFonts w:ascii="Times New Roman" w:cs="Times New Roman" w:eastAsia="Times New Roman" w:hAnsi="Times New Roman"/>
        </w:rPr>
        <w:t xml:space="preserve"> = 0.3, and </w:t>
      </w:r>
      <w:r>
        <w:rPr>
          <w:rFonts w:ascii="Times New Roman" w:cs="Times New Roman" w:eastAsia="Times New Roman" w:hAnsi="Times New Roman"/>
          <w:i/>
        </w:rPr>
        <w:t>γ</w:t>
      </w:r>
      <w:r>
        <w:rPr>
          <w:rFonts w:ascii="Times New Roman" w:cs="Times New Roman" w:eastAsia="Times New Roman" w:hAnsi="Times New Roman"/>
        </w:rPr>
        <w:t xml:space="preserve"> = 0.05, labor per unit falls to half and cost per unit to 0.55 of its earlier level, and </w:t>
      </w:r>
      <w:r>
        <w:rPr>
          <w:rFonts w:ascii="Times New Roman" w:cs="Times New Roman" w:eastAsia="Times New Roman" w:hAnsi="Times New Roman"/>
          <w:i/>
        </w:rPr>
        <w:t>β</w:t>
      </w:r>
      <w:r>
        <w:rPr>
          <w:rFonts w:ascii="Times New Roman" w:cs="Times New Roman" w:eastAsia="Times New Roman" w:hAnsi="Times New Roman"/>
        </w:rPr>
        <w:t xml:space="preserve"> is −0.39 if </w:t>
      </w:r>
      <w:r>
        <w:rPr>
          <w:rFonts w:ascii="Times New Roman" w:cs="Times New Roman" w:eastAsia="Times New Roman" w:hAnsi="Times New Roman"/>
          <w:i/>
        </w:rPr>
        <w:t>ε</w:t>
      </w:r>
      <w:r>
        <w:rPr>
          <w:rFonts w:ascii="Times New Roman" w:cs="Times New Roman" w:eastAsia="Times New Roman" w:hAnsi="Times New Roman"/>
        </w:rPr>
        <w:t xml:space="preserve"> = 0.5, −0.10 if </w:t>
      </w:r>
      <w:r>
        <w:rPr>
          <w:rFonts w:ascii="Times New Roman" w:cs="Times New Roman" w:eastAsia="Times New Roman" w:hAnsi="Times New Roman"/>
          <w:i/>
        </w:rPr>
        <w:t>ε</w:t>
      </w:r>
      <w:r>
        <w:rPr>
          <w:rFonts w:ascii="Times New Roman" w:cs="Times New Roman" w:eastAsia="Times New Roman" w:hAnsi="Times New Roman"/>
        </w:rPr>
        <w:t xml:space="preserve"> = 1, and +0.02 if </w:t>
      </w:r>
      <w:r>
        <w:rPr>
          <w:rFonts w:ascii="Times New Roman" w:cs="Times New Roman" w:eastAsia="Times New Roman" w:hAnsi="Times New Roman"/>
          <w:i/>
        </w:rPr>
        <w:t>ε</w:t>
      </w:r>
      <w:r>
        <w:rPr>
          <w:rFonts w:ascii="Times New Roman" w:cs="Times New Roman" w:eastAsia="Times New Roman" w:hAnsi="Times New Roman"/>
        </w:rPr>
        <w:t xml:space="preserve"> = 1.2.</w:t>
      </w:r>
    </w:p>
    <w:p>
      <w:pPr>
        <w:spacing w:after="160" w:line="480" w:lineRule="auto"/>
        <w:jc w:val="left"/>
      </w:pPr>
      <w:r>
        <w:rPr>
          <w:rFonts w:ascii="Times New Roman" w:cs="Times New Roman" w:eastAsia="Times New Roman" w:hAnsi="Times New Roman"/>
          <w:b/>
        </w:rPr>
        <w:t>Proposition 2 (scale offset).</w:t>
      </w:r>
      <w:r>
        <w:rPr>
          <w:rFonts w:ascii="Times New Roman" w:cs="Times New Roman" w:eastAsia="Times New Roman" w:hAnsi="Times New Roman"/>
        </w:rPr>
        <w:t xml:space="preserve"> The net effect </w:t>
      </w:r>
      <w:r>
        <w:rPr>
          <w:rFonts w:ascii="Times New Roman" w:cs="Times New Roman" w:eastAsia="Times New Roman" w:hAnsi="Times New Roman"/>
          <w:i/>
        </w:rPr>
        <w:t>β</w:t>
      </w:r>
      <w:r>
        <w:rPr>
          <w:rFonts w:ascii="Times New Roman" w:cs="Times New Roman" w:eastAsia="Times New Roman" w:hAnsi="Times New Roman"/>
        </w:rPr>
        <w:t xml:space="preserve"> is negative if and only if </w:t>
      </w:r>
      <w:r>
        <w:rPr>
          <w:rFonts w:ascii="Times New Roman" w:cs="Times New Roman" w:eastAsia="Times New Roman" w:hAnsi="Times New Roman"/>
          <w:i/>
        </w:rPr>
        <w:t>ε</w:t>
      </w:r>
      <w:r>
        <w:rPr>
          <w:rFonts w:ascii="Times New Roman" w:cs="Times New Roman" w:eastAsia="Times New Roman" w:hAnsi="Times New Roman"/>
        </w:rPr>
        <w:t xml:space="preserve"> &lt; </w:t>
      </w:r>
      <w:r>
        <w:rPr>
          <w:rFonts w:ascii="Times New Roman" w:cs="Times New Roman" w:eastAsia="Times New Roman" w:hAnsi="Times New Roman"/>
          <w:i/>
        </w:rPr>
        <w:t>ε</w:t>
      </w:r>
      <w:r>
        <w:rPr>
          <w:rFonts w:ascii="Times New Roman" w:cs="Times New Roman" w:eastAsia="Times New Roman" w:hAnsi="Times New Roman"/>
        </w:rPr>
        <w:t xml:space="preserve">* = ln(1 −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 ln </w:t>
      </w:r>
      <w:r>
        <w:rPr>
          <w:rFonts w:ascii="Times New Roman" w:cs="Times New Roman" w:eastAsia="Times New Roman" w:hAnsi="Times New Roman"/>
          <w:i/>
        </w:rPr>
        <w:t>κ</w:t>
      </w:r>
      <w:r>
        <w:rPr>
          <w:rFonts w:ascii="Times New Roman" w:cs="Times New Roman" w:eastAsia="Times New Roman" w:hAnsi="Times New Roman"/>
        </w:rPr>
        <w:t xml:space="preserve">, and </w:t>
      </w:r>
      <w:r>
        <w:rPr>
          <w:rFonts w:ascii="Times New Roman" w:cs="Times New Roman" w:eastAsia="Times New Roman" w:hAnsi="Times New Roman"/>
          <w:i/>
        </w:rPr>
        <w:t>ε</w:t>
      </w:r>
      <w:r>
        <w:rPr>
          <w:rFonts w:ascii="Times New Roman" w:cs="Times New Roman" w:eastAsia="Times New Roman" w:hAnsi="Times New Roman"/>
        </w:rPr>
        <w:t xml:space="preserve">* &gt; 1 whenever </w:t>
      </w:r>
      <w:r>
        <w:rPr>
          <w:rFonts w:ascii="Times New Roman" w:cs="Times New Roman" w:eastAsia="Times New Roman" w:hAnsi="Times New Roman"/>
          <w:i/>
        </w:rPr>
        <w:t>γ</w:t>
      </w:r>
      <w:r>
        <w:rPr>
          <w:rFonts w:ascii="Times New Roman" w:cs="Times New Roman" w:eastAsia="Times New Roman" w:hAnsi="Times New Roman"/>
        </w:rPr>
        <w:t xml:space="preserve"> &gt; 0. As generation cost falls toward zero, </w:t>
      </w:r>
      <w:r>
        <w:rPr>
          <w:rFonts w:ascii="Times New Roman" w:cs="Times New Roman" w:eastAsia="Times New Roman" w:hAnsi="Times New Roman"/>
          <w:i/>
        </w:rPr>
        <w:t>ε</w:t>
      </w:r>
      <w:r>
        <w:rPr>
          <w:rFonts w:ascii="Times New Roman" w:cs="Times New Roman" w:eastAsia="Times New Roman" w:hAnsi="Times New Roman"/>
        </w:rPr>
        <w:t>* approaches 1: complete assimilation reduces demand for the occupation if demand for visual output is inelastic and can raise it only if demand is elastic.</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3.6 Adjustment Through Attrition</w:t>
      </w:r>
    </w:p>
    <w:p>
      <w:pPr>
        <w:spacing w:after="160" w:line="480" w:lineRule="auto"/>
        <w:jc w:val="left"/>
      </w:pPr>
      <w:r>
        <w:rPr>
          <w:rFonts w:ascii="Times New Roman" w:cs="Times New Roman" w:eastAsia="Times New Roman" w:hAnsi="Times New Roman"/>
        </w:rPr>
        <w:t xml:space="preserve">Job adverts measure hiring, and hiring is how most employers reduce a workforce without layoffs. Let </w:t>
      </w:r>
      <w:r>
        <w:rPr>
          <w:rFonts w:ascii="Times New Roman" w:cs="Times New Roman" w:eastAsia="Times New Roman" w:hAnsi="Times New Roman"/>
          <w:i/>
        </w:rPr>
        <w:t>L</w:t>
      </w:r>
      <w:r>
        <w:rPr>
          <w:rFonts w:ascii="Times New Roman" w:cs="Times New Roman" w:eastAsia="Times New Roman" w:hAnsi="Times New Roman"/>
        </w:rPr>
        <w:t xml:space="preserve">(t) be an employer’s employment in the occupation, </w:t>
      </w:r>
      <w:r>
        <w:rPr>
          <w:rFonts w:ascii="Times New Roman" w:cs="Times New Roman" w:eastAsia="Times New Roman" w:hAnsi="Times New Roman"/>
          <w:i/>
        </w:rPr>
        <w:t>δ</w:t>
      </w:r>
      <w:r>
        <w:rPr>
          <w:rFonts w:ascii="Times New Roman" w:cs="Times New Roman" w:eastAsia="Times New Roman" w:hAnsi="Times New Roman"/>
        </w:rPr>
        <w:t xml:space="preserve"> the separation rate, and </w:t>
      </w:r>
      <w:r>
        <w:rPr>
          <w:rFonts w:ascii="Times New Roman" w:cs="Times New Roman" w:eastAsia="Times New Roman" w:hAnsi="Times New Roman"/>
          <w:i/>
        </w:rPr>
        <w:t>H</w:t>
      </w:r>
      <w:r>
        <w:rPr>
          <w:rFonts w:ascii="Times New Roman" w:cs="Times New Roman" w:eastAsia="Times New Roman" w:hAnsi="Times New Roman"/>
        </w:rPr>
        <w:t xml:space="preserve">(t) hires, so that </w:t>
      </w:r>
      <w:r>
        <w:rPr>
          <w:rFonts w:ascii="Times New Roman" w:cs="Times New Roman" w:eastAsia="Times New Roman" w:hAnsi="Times New Roman"/>
          <w:i/>
        </w:rPr>
        <w:t>L</w:t>
      </w:r>
      <w:r>
        <w:rPr>
          <w:rFonts w:ascii="Times New Roman" w:cs="Times New Roman" w:eastAsia="Times New Roman" w:hAnsi="Times New Roman"/>
        </w:rPr>
        <w:t xml:space="preserve">(t + 1) = (1 − </w:t>
      </w:r>
      <w:r>
        <w:rPr>
          <w:rFonts w:ascii="Times New Roman" w:cs="Times New Roman" w:eastAsia="Times New Roman" w:hAnsi="Times New Roman"/>
          <w:i/>
        </w:rPr>
        <w:t>δ</w:t>
      </w:r>
      <w:r>
        <w:rPr>
          <w:rFonts w:ascii="Times New Roman" w:cs="Times New Roman" w:eastAsia="Times New Roman" w:hAnsi="Times New Roman"/>
        </w:rPr>
        <w:t>)</w:t>
      </w:r>
      <w:r>
        <w:rPr>
          <w:rFonts w:ascii="Times New Roman" w:cs="Times New Roman" w:eastAsia="Times New Roman" w:hAnsi="Times New Roman"/>
          <w:i/>
        </w:rPr>
        <w:t>L</w:t>
      </w:r>
      <w:r>
        <w:rPr>
          <w:rFonts w:ascii="Times New Roman" w:cs="Times New Roman" w:eastAsia="Times New Roman" w:hAnsi="Times New Roman"/>
        </w:rPr>
        <w:t xml:space="preserve">(t) + </w:t>
      </w:r>
      <w:r>
        <w:rPr>
          <w:rFonts w:ascii="Times New Roman" w:cs="Times New Roman" w:eastAsia="Times New Roman" w:hAnsi="Times New Roman"/>
          <w:i/>
        </w:rPr>
        <w:t>H</w:t>
      </w:r>
      <w:r>
        <w:rPr>
          <w:rFonts w:ascii="Times New Roman" w:cs="Times New Roman" w:eastAsia="Times New Roman" w:hAnsi="Times New Roman"/>
        </w:rPr>
        <w:t xml:space="preserve">(t). Suppose assimilation lowers target employment to </w:t>
      </w:r>
      <w:r>
        <w:rPr>
          <w:rFonts w:ascii="Times New Roman" w:cs="Times New Roman" w:eastAsia="Times New Roman" w:hAnsi="Times New Roman"/>
          <w:i/>
        </w:rPr>
        <w:t>L</w:t>
      </w:r>
      <w:r>
        <w:rPr>
          <w:rFonts w:ascii="Times New Roman" w:cs="Times New Roman" w:eastAsia="Times New Roman" w:hAnsi="Times New Roman"/>
        </w:rPr>
        <w:t xml:space="preserve">* = (1 − </w:t>
      </w:r>
      <w:r>
        <w:rPr>
          <w:rFonts w:ascii="Times New Roman" w:cs="Times New Roman" w:eastAsia="Times New Roman" w:hAnsi="Times New Roman"/>
          <w:i/>
        </w:rPr>
        <w:t>f</w:t>
      </w:r>
      <w:r>
        <w:rPr>
          <w:rFonts w:ascii="Times New Roman" w:cs="Times New Roman" w:eastAsia="Times New Roman" w:hAnsi="Times New Roman"/>
        </w:rPr>
        <w:t>)</w:t>
      </w:r>
      <w:r>
        <w:rPr>
          <w:rFonts w:ascii="Times New Roman" w:cs="Times New Roman" w:eastAsia="Times New Roman" w:hAnsi="Times New Roman"/>
          <w:i/>
        </w:rPr>
        <w:t>L</w:t>
      </w:r>
      <w:r>
        <w:rPr>
          <w:rFonts w:ascii="Times New Roman" w:cs="Times New Roman" w:eastAsia="Times New Roman" w:hAnsi="Times New Roman"/>
        </w:rPr>
        <w:t xml:space="preserve">₀ and the employer closes a fraction </w:t>
      </w:r>
      <w:r>
        <w:rPr>
          <w:rFonts w:ascii="Times New Roman" w:cs="Times New Roman" w:eastAsia="Times New Roman" w:hAnsi="Times New Roman"/>
          <w:i/>
        </w:rPr>
        <w:t>λ</w:t>
      </w:r>
      <w:r>
        <w:rPr>
          <w:rFonts w:ascii="Times New Roman" w:cs="Times New Roman" w:eastAsia="Times New Roman" w:hAnsi="Times New Roman"/>
        </w:rPr>
        <w:t xml:space="preserve"> ≤ </w:t>
      </w:r>
      <w:r>
        <w:rPr>
          <w:rFonts w:ascii="Times New Roman" w:cs="Times New Roman" w:eastAsia="Times New Roman" w:hAnsi="Times New Roman"/>
          <w:i/>
        </w:rPr>
        <w:t>δ</w:t>
      </w:r>
      <w:r>
        <w:rPr>
          <w:rFonts w:ascii="Times New Roman" w:cs="Times New Roman" w:eastAsia="Times New Roman" w:hAnsi="Times New Roman"/>
        </w:rPr>
        <w:t xml:space="preserve"> of the remaining gap each period by adjusting hiring:</w:t>
      </w:r>
    </w:p>
    <w:p>
      <w:pPr>
        <w:spacing w:after="200" w:before="120"/>
        <w:jc w:val="center"/>
      </w:pPr>
      <w:r>
        <w:rPr>
          <w:rFonts w:ascii="Times New Roman" w:cs="Times New Roman" w:eastAsia="Times New Roman" w:hAnsi="Times New Roman"/>
          <w:i/>
          <w:iCs/>
        </w:rPr>
        <w:t>H</w:t>
      </w:r>
      <w:r>
        <w:rPr>
          <w:rFonts w:ascii="Times New Roman" w:cs="Times New Roman" w:eastAsia="Times New Roman" w:hAnsi="Times New Roman"/>
          <w:iCs/>
        </w:rPr>
        <w:t xml:space="preserve">(t)  =  </w:t>
      </w:r>
      <w:r>
        <w:rPr>
          <w:rFonts w:ascii="Times New Roman" w:cs="Times New Roman" w:eastAsia="Times New Roman" w:hAnsi="Times New Roman"/>
          <w:i/>
          <w:iCs/>
        </w:rPr>
        <w:t>δL</w:t>
      </w:r>
      <w:r>
        <w:rPr>
          <w:rFonts w:ascii="Times New Roman" w:cs="Times New Roman" w:eastAsia="Times New Roman" w:hAnsi="Times New Roman"/>
          <w:iCs/>
        </w:rPr>
        <w:t xml:space="preserve">(t)  +  </w:t>
      </w:r>
      <w:r>
        <w:rPr>
          <w:rFonts w:ascii="Times New Roman" w:cs="Times New Roman" w:eastAsia="Times New Roman" w:hAnsi="Times New Roman"/>
          <w:i/>
          <w:iCs/>
        </w:rPr>
        <w:t>λ</w:t>
      </w:r>
      <w:r>
        <w:rPr>
          <w:rFonts w:ascii="Times New Roman" w:cs="Times New Roman" w:eastAsia="Times New Roman" w:hAnsi="Times New Roman"/>
          <w:iCs/>
        </w:rPr>
        <w:t>(</w:t>
      </w:r>
      <w:r>
        <w:rPr>
          <w:rFonts w:ascii="Times New Roman" w:cs="Times New Roman" w:eastAsia="Times New Roman" w:hAnsi="Times New Roman"/>
          <w:i/>
          <w:iCs/>
        </w:rPr>
        <w:t>L</w:t>
      </w:r>
      <w:r>
        <w:rPr>
          <w:rFonts w:ascii="Times New Roman" w:cs="Times New Roman" w:eastAsia="Times New Roman" w:hAnsi="Times New Roman"/>
          <w:iCs/>
        </w:rPr>
        <w:t xml:space="preserve">*  −  </w:t>
      </w:r>
      <w:r>
        <w:rPr>
          <w:rFonts w:ascii="Times New Roman" w:cs="Times New Roman" w:eastAsia="Times New Roman" w:hAnsi="Times New Roman"/>
          <w:i/>
          <w:iCs/>
        </w:rPr>
        <w:t>L</w:t>
      </w:r>
      <w:r>
        <w:rPr>
          <w:rFonts w:ascii="Times New Roman" w:cs="Times New Roman" w:eastAsia="Times New Roman" w:hAnsi="Times New Roman"/>
          <w:iCs/>
        </w:rPr>
        <w:t>(t)).          (4)</w:t>
      </w:r>
    </w:p>
    <w:p>
      <w:pPr>
        <w:spacing w:after="160" w:line="480" w:lineRule="auto"/>
        <w:jc w:val="left"/>
      </w:pPr>
      <w:r>
        <w:rPr>
          <w:rFonts w:ascii="Times New Roman" w:cs="Times New Roman" w:eastAsia="Times New Roman" w:hAnsi="Times New Roman"/>
          <w:b/>
        </w:rPr>
        <w:t>Proposition 3 (attrition lag).</w:t>
      </w:r>
      <w:r>
        <w:rPr>
          <w:rFonts w:ascii="Times New Roman" w:cs="Times New Roman" w:eastAsia="Times New Roman" w:hAnsi="Times New Roman"/>
        </w:rPr>
        <w:t xml:space="preserve"> Under equation (4), (i) hiring in the first period falls by the fraction (</w:t>
      </w:r>
      <w:r>
        <w:rPr>
          <w:rFonts w:ascii="Times New Roman" w:cs="Times New Roman" w:eastAsia="Times New Roman" w:hAnsi="Times New Roman"/>
          <w:i/>
        </w:rPr>
        <w:t>λ</w:t>
      </w:r>
      <w:r>
        <w:rPr>
          <w:rFonts w:ascii="Times New Roman" w:cs="Times New Roman" w:eastAsia="Times New Roman" w:hAnsi="Times New Roman"/>
        </w:rPr>
        <w:t>/</w:t>
      </w:r>
      <w:r>
        <w:rPr>
          <w:rFonts w:ascii="Times New Roman" w:cs="Times New Roman" w:eastAsia="Times New Roman" w:hAnsi="Times New Roman"/>
          <w:i/>
        </w:rPr>
        <w:t>δ</w:t>
      </w:r>
      <w:r>
        <w:rPr>
          <w:rFonts w:ascii="Times New Roman" w:cs="Times New Roman" w:eastAsia="Times New Roman" w:hAnsi="Times New Roman"/>
        </w:rPr>
        <w:t>)</w:t>
      </w:r>
      <w:r>
        <w:rPr>
          <w:rFonts w:ascii="Times New Roman" w:cs="Times New Roman" w:eastAsia="Times New Roman" w:hAnsi="Times New Roman"/>
          <w:i/>
        </w:rPr>
        <w:t>f</w:t>
      </w:r>
      <w:r>
        <w:rPr>
          <w:rFonts w:ascii="Times New Roman" w:cs="Times New Roman" w:eastAsia="Times New Roman" w:hAnsi="Times New Roman"/>
        </w:rPr>
        <w:t xml:space="preserve"> ≤ </w:t>
      </w:r>
      <w:r>
        <w:rPr>
          <w:rFonts w:ascii="Times New Roman" w:cs="Times New Roman" w:eastAsia="Times New Roman" w:hAnsi="Times New Roman"/>
          <w:i/>
        </w:rPr>
        <w:t>f</w:t>
      </w:r>
      <w:r>
        <w:rPr>
          <w:rFonts w:ascii="Times New Roman" w:cs="Times New Roman" w:eastAsia="Times New Roman" w:hAnsi="Times New Roman"/>
        </w:rPr>
        <w:t xml:space="preserve"> and converges to a fall of </w:t>
      </w:r>
      <w:r>
        <w:rPr>
          <w:rFonts w:ascii="Times New Roman" w:cs="Times New Roman" w:eastAsia="Times New Roman" w:hAnsi="Times New Roman"/>
          <w:i/>
        </w:rPr>
        <w:t>f</w:t>
      </w:r>
      <w:r>
        <w:rPr>
          <w:rFonts w:ascii="Times New Roman" w:cs="Times New Roman" w:eastAsia="Times New Roman" w:hAnsi="Times New Roman"/>
        </w:rPr>
        <w:t xml:space="preserve">, so the decline in adverts never exceeds the decline in target employment, and equation (5) below, which gives the coefficient implied by </w:t>
      </w:r>
      <w:r>
        <w:rPr>
          <w:rFonts w:ascii="Times New Roman" w:cs="Times New Roman" w:eastAsia="Times New Roman" w:hAnsi="Times New Roman"/>
          <w:i/>
        </w:rPr>
        <w:t>f</w:t>
      </w:r>
      <w:r>
        <w:rPr>
          <w:rFonts w:ascii="Times New Roman" w:cs="Times New Roman" w:eastAsia="Times New Roman" w:hAnsi="Times New Roman"/>
        </w:rPr>
        <w:t xml:space="preserve">, is an upper bound for adverts as well as for employment; (ii) employment closes only a fraction 1 − (1 − </w:t>
      </w:r>
      <w:r>
        <w:rPr>
          <w:rFonts w:ascii="Times New Roman" w:cs="Times New Roman" w:eastAsia="Times New Roman" w:hAnsi="Times New Roman"/>
          <w:i/>
        </w:rPr>
        <w:t>λ</w:t>
      </w:r>
      <w:r>
        <w:rPr>
          <w:rFonts w:ascii="Times New Roman" w:cs="Times New Roman" w:eastAsia="Times New Roman" w:hAnsi="Times New Roman"/>
        </w:rPr>
        <w:t>)^</w:t>
      </w:r>
      <w:r>
        <w:rPr>
          <w:rFonts w:ascii="Times New Roman" w:cs="Times New Roman" w:eastAsia="Times New Roman" w:hAnsi="Times New Roman"/>
          <w:i/>
        </w:rPr>
        <w:t>T</w:t>
      </w:r>
      <w:r>
        <w:rPr>
          <w:rFonts w:ascii="Times New Roman" w:cs="Times New Roman" w:eastAsia="Times New Roman" w:hAnsi="Times New Roman"/>
        </w:rPr>
        <w:t xml:space="preserve"> of the gap after </w:t>
      </w:r>
      <w:r>
        <w:rPr>
          <w:rFonts w:ascii="Times New Roman" w:cs="Times New Roman" w:eastAsia="Times New Roman" w:hAnsi="Times New Roman"/>
          <w:i/>
        </w:rPr>
        <w:t>T</w:t>
      </w:r>
      <w:r>
        <w:rPr>
          <w:rFonts w:ascii="Times New Roman" w:cs="Times New Roman" w:eastAsia="Times New Roman" w:hAnsi="Times New Roman"/>
        </w:rPr>
        <w:t xml:space="preserve"> periods. With </w:t>
      </w:r>
      <w:r>
        <w:rPr>
          <w:rFonts w:ascii="Times New Roman" w:cs="Times New Roman" w:eastAsia="Times New Roman" w:hAnsi="Times New Roman"/>
          <w:i/>
        </w:rPr>
        <w:t>λ</w:t>
      </w:r>
      <w:r>
        <w:rPr>
          <w:rFonts w:ascii="Times New Roman" w:cs="Times New Roman" w:eastAsia="Times New Roman" w:hAnsi="Times New Roman"/>
        </w:rPr>
        <w:t xml:space="preserve"> = 0.10, for example, 19 percent of the gap is closed after two years and 41 percent after five.</w:t>
      </w:r>
    </w:p>
    <w:p>
      <w:pPr>
        <w:spacing w:after="160" w:line="480" w:lineRule="auto"/>
        <w:jc w:val="left"/>
      </w:pPr>
      <w:r>
        <w:rPr>
          <w:rFonts w:ascii="Times New Roman" w:cs="Times New Roman" w:eastAsia="Times New Roman" w:hAnsi="Times New Roman"/>
        </w:rPr>
        <w:t>Two consequences follow. Employment series, such as those in Section 7.3, can show no contraction for years after assimilation has begun, so adverts are the earlier signal, though not a larger one. And a decline that began before the technology, because of structural change in the industries that employ the occupation, enters as a lower target employment at an earlier date and follows the same dynamics. A pre-existing trend in adverts and a target cut caused by the technology cannot be told apart without firm-level data that observe use of the tool.</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3.7 Competing Accounts</w:t>
      </w:r>
    </w:p>
    <w:p>
      <w:pPr>
        <w:spacing w:after="160" w:line="480" w:lineRule="auto"/>
        <w:jc w:val="left"/>
      </w:pPr>
      <w:r>
        <w:rPr>
          <w:rFonts w:ascii="Times New Roman" w:cs="Times New Roman" w:eastAsia="Times New Roman" w:hAnsi="Times New Roman"/>
        </w:rPr>
        <w:t xml:space="preserve">Table 1 sets out four accounts and what each predicts for four observables. Only the first three columns are observed in this paper. The fourth column, the firm-level link between use and hiring, is what discriminates among the last three accounts.</w:t>
      </w:r>
    </w:p>
    <w:p>
      <w:pPr>
        <w:keepNext/>
        <w:spacing w:after="80" w:before="200"/>
      </w:pPr>
      <w:r>
        <w:rPr>
          <w:rFonts w:ascii="Times New Roman" w:cs="Times New Roman" w:eastAsia="Times New Roman" w:hAnsi="Times New Roman"/>
          <w:b/>
          <w:bCs/>
          <w:sz w:val="21"/>
          <w:szCs w:val="21"/>
        </w:rPr>
        <w:t xml:space="preserve">Table 1. Competing accounts and their observable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900"/>
        <w:gridCol w:w="1900"/>
        <w:gridCol w:w="2260"/>
      </w:tblGrid>
      <w:tr>
        <w:trPr>
          <w:tblHeader/>
        </w:trPr>
        <w:tc>
          <w:tcPr>
            <w:tcW w:type="dxa" w:w="17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Account</w:t>
            </w:r>
          </w:p>
        </w:tc>
        <w:tc>
          <w:tcPr>
            <w:tcW w:type="dxa" w:w="16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Acquisition (Aᵘ)</w:t>
            </w:r>
          </w:p>
        </w:tc>
        <w:tc>
          <w:tcPr>
            <w:tcW w:type="dxa" w:w="19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Barriers cited by non-adopters</w:t>
            </w:r>
          </w:p>
        </w:tc>
        <w:tc>
          <w:tcPr>
            <w:tcW w:type="dxa" w:w="19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Occupation-level hiring</w:t>
            </w:r>
          </w:p>
        </w:tc>
        <w:tc>
          <w:tcPr>
            <w:tcW w:type="dxa" w:w="226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Firm-level link (not observed here)</w:t>
            </w:r>
          </w:p>
        </w:tc>
      </w:tr>
      <w:tr>
        <w:trPr>
          <w:tblHeader w:val="false"/>
        </w:trP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Capability failure</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Low</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“Not useful” dominant</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No change</w:t>
            </w:r>
          </w:p>
        </w:tc>
        <w:tc>
          <w:tcPr>
            <w:tcW w:type="dxa" w:w="22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Users do not reassign tasks</w:t>
            </w:r>
          </w:p>
        </w:tc>
      </w:tr>
      <w:tr>
        <w:trPr>
          <w:tblHeader w:val="false"/>
        </w:trP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Complete assimilation, net substitution</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Substantial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Any</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Δ ln N ≈ s·Aᵘ·β, β &lt; 0</w:t>
            </w:r>
          </w:p>
        </w:tc>
        <w:tc>
          <w:tcPr>
            <w:tcW w:type="dxa" w:w="22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Users cut visual hiring relative to non-users</w:t>
            </w:r>
          </w:p>
        </w:tc>
      </w:tr>
      <w:tr>
        <w:trPr>
          <w:tblHeader w:val="false"/>
        </w:trPr>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Assimilation, offsetting scale</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Substantial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Any</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Δ ln N ≈ 0</w:t>
            </w:r>
          </w:p>
        </w:tc>
        <w:tc>
          <w:tcPr>
            <w:tcW w:type="dxa" w:w="22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Users reassign tasks; hiring unchanged; postings shift toward direction and review</w:t>
            </w:r>
          </w:p>
        </w:tc>
      </w:tr>
      <w:tr>
        <w:trPr>
          <w:tblHeader w:val="false"/>
        </w:trPr>
        <w:tc>
          <w:tcPr>
            <w:tcW w:type="dxa" w:w="170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Assimilation gap</w:t>
            </w:r>
          </w:p>
        </w:tc>
        <w:tc>
          <w:tcPr>
            <w:tcW w:type="dxa" w:w="160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Substantial</w:t>
            </w:r>
          </w:p>
        </w:tc>
        <w:tc>
          <w:tcPr>
            <w:tcW w:type="dxa" w:w="190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Complements (expertise, legal, privacy) dominant</w:t>
            </w:r>
          </w:p>
        </w:tc>
        <w:tc>
          <w:tcPr>
            <w:tcW w:type="dxa" w:w="190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Δ ln N ≈ s·Aᵃ·β, small</w:t>
            </w:r>
          </w:p>
        </w:tc>
        <w:tc>
          <w:tcPr>
            <w:tcW w:type="dxa" w:w="226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Few users reassign tasks; reassignment rises with K</w:t>
            </w:r>
          </w:p>
        </w:tc>
      </w:tr>
    </w:tbl>
    <w:p>
      <w:pPr>
        <w:spacing w:after="200" w:before="60"/>
      </w:pPr>
      <w:r>
        <w:rPr>
          <w:rFonts w:ascii="Times New Roman" w:cs="Times New Roman" w:eastAsia="Times New Roman" w:hAnsi="Times New Roman"/>
          <w:i/>
          <w:iCs/>
          <w:sz w:val="19"/>
          <w:szCs w:val="19"/>
        </w:rPr>
        <w:t xml:space="preserve">Notes. Aᵘ: share of firms reporting use. Aᵃ: share that have assimilated the occupation’s visual tasks. K: complementary assets. The occupation-level column discriminates among accounts only when s·Aᵘ·β exceeds the minimum detectable effect of the design (Section 4).</w:t>
      </w:r>
    </w:p>
    <w:p>
      <w:pPr>
        <w:spacing w:after="160" w:line="480" w:lineRule="auto"/>
        <w:jc w:val="left"/>
      </w:pPr>
      <w:r>
        <w:rPr>
          <w:rFonts w:ascii="Times New Roman" w:cs="Times New Roman" w:eastAsia="Times New Roman" w:hAnsi="Times New Roman"/>
        </w:rPr>
        <w:t xml:space="preserve">From the table we derive two hypotheses that can be examined with current data and one that cannot. </w:t>
      </w:r>
      <w:r>
        <w:rPr>
          <w:rFonts w:ascii="Times New Roman" w:cs="Times New Roman" w:eastAsia="Times New Roman" w:hAnsi="Times New Roman"/>
          <w:b/>
          <w:bCs/>
        </w:rPr>
        <w:t xml:space="preserve">H1 (complements, not capability):</w:t>
      </w:r>
      <w:r>
        <w:rPr>
          <w:rFonts w:ascii="Times New Roman" w:cs="Times New Roman" w:eastAsia="Times New Roman" w:hAnsi="Times New Roman"/>
        </w:rPr>
        <w:t xml:space="preserve"> among firms that considered AI and did not adopt it, complementary-asset barriers are cited substantially more often than lack of usefulness. </w:t>
      </w:r>
      <w:r>
        <w:rPr>
          <w:rFonts w:ascii="Times New Roman" w:cs="Times New Roman" w:eastAsia="Times New Roman" w:hAnsi="Times New Roman"/>
          <w:b/>
          <w:bCs/>
        </w:rPr>
        <w:t xml:space="preserve">H2 (detectability):</w:t>
      </w:r>
      <w:r>
        <w:rPr>
          <w:rFonts w:ascii="Times New Roman" w:cs="Times New Roman" w:eastAsia="Times New Roman" w:hAnsi="Times New Roman"/>
        </w:rPr>
        <w:t xml:space="preserve"> at current acquisition rates and at platform-sized substitution effects, the occupation-level hiring response implied by complete assimilation lies below the minimum detectable effect of exposure-based designs. </w:t>
      </w:r>
      <w:r>
        <w:rPr>
          <w:rFonts w:ascii="Times New Roman" w:cs="Times New Roman" w:eastAsia="Times New Roman" w:hAnsi="Times New Roman"/>
          <w:b/>
          <w:bCs/>
        </w:rPr>
        <w:t xml:space="preserve">H3 (firm-level, for future data):</w:t>
      </w:r>
      <w:r>
        <w:rPr>
          <w:rFonts w:ascii="Times New Roman" w:cs="Times New Roman" w:eastAsia="Times New Roman" w:hAnsi="Times New Roman"/>
        </w:rPr>
        <w:t xml:space="preserve"> among acquiring firms, task reassignment increases with </w:t>
      </w:r>
      <w:r>
        <w:rPr>
          <w:rFonts w:ascii="Times New Roman" w:cs="Times New Roman" w:eastAsia="Times New Roman" w:hAnsi="Times New Roman"/>
          <w:i/>
          <w:iCs/>
        </w:rPr>
        <w:t xml:space="preserve">K</w:t>
      </w:r>
      <w:r>
        <w:rPr>
          <w:rFonts w:ascii="Times New Roman" w:cs="Times New Roman" w:eastAsia="Times New Roman" w:hAnsi="Times New Roman"/>
        </w:rPr>
        <w:t xml:space="preserve">, and hiring for visual occupations falls only among firms that have reassigned tasks.</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4 WHAT OCCUPATION-LEVEL DATA CAN IDENTIFY</w:t>
      </w:r>
    </w:p>
    <w:p>
      <w:pPr>
        <w:spacing w:after="160" w:line="480" w:lineRule="auto"/>
        <w:jc w:val="left"/>
      </w:pPr>
      <w:r>
        <w:rPr>
          <w:rFonts w:ascii="Times New Roman" w:cs="Times New Roman" w:eastAsia="Times New Roman" w:hAnsi="Times New Roman"/>
        </w:rPr>
        <w:t xml:space="preserve">Exposure-based hiring designs regress the change in log adverts for occupation </w:t>
      </w:r>
      <w:r>
        <w:rPr>
          <w:rFonts w:ascii="Times New Roman" w:cs="Times New Roman" w:eastAsia="Times New Roman" w:hAnsi="Times New Roman"/>
          <w:i/>
          <w:iCs/>
        </w:rPr>
        <w:t xml:space="preserve">j</w:t>
      </w:r>
      <w:r>
        <w:rPr>
          <w:rFonts w:ascii="Times New Roman" w:cs="Times New Roman" w:eastAsia="Times New Roman" w:hAnsi="Times New Roman"/>
        </w:rPr>
        <w:t xml:space="preserve"> on standardized exposure. Suppose the most exposed occupation lies </w:t>
      </w:r>
      <w:r>
        <w:rPr>
          <w:rFonts w:ascii="Times New Roman" w:cs="Times New Roman" w:eastAsia="Times New Roman" w:hAnsi="Times New Roman"/>
          <w:i/>
          <w:iCs/>
        </w:rPr>
        <w:t xml:space="preserve">k</w:t>
      </w:r>
      <w:r>
        <w:rPr>
          <w:rFonts w:ascii="Times New Roman" w:cs="Times New Roman" w:eastAsia="Times New Roman" w:hAnsi="Times New Roman"/>
        </w:rPr>
        <w:t xml:space="preserve"> standard deviations above the mean and that its work is almost entirely visual production (</w:t>
      </w:r>
      <w:r>
        <w:rPr>
          <w:rFonts w:ascii="Times New Roman" w:cs="Times New Roman" w:eastAsia="Times New Roman" w:hAnsi="Times New Roman"/>
          <w:i/>
          <w:iCs/>
        </w:rPr>
        <w:t xml:space="preserve">s</w:t>
      </w:r>
      <w:r>
        <w:rPr>
          <w:rFonts w:ascii="Times New Roman" w:cs="Times New Roman" w:eastAsia="Times New Roman" w:hAnsi="Times New Roman"/>
        </w:rPr>
        <w:t xml:space="preserve">ⱼ ≈ 1). If exposure is approximately proportional to </w:t>
      </w:r>
      <w:r>
        <w:rPr>
          <w:rFonts w:ascii="Times New Roman" w:cs="Times New Roman" w:eastAsia="Times New Roman" w:hAnsi="Times New Roman"/>
          <w:i/>
          <w:iCs/>
        </w:rPr>
        <w:t xml:space="preserve">s</w:t>
      </w:r>
      <w:r>
        <w:rPr>
          <w:rFonts w:ascii="Times New Roman" w:cs="Times New Roman" w:eastAsia="Times New Roman" w:hAnsi="Times New Roman"/>
        </w:rPr>
        <w:t xml:space="preserve">ⱼ, complete assimilation implies a coefficient per standard deviation of approximately</w:t>
      </w:r>
    </w:p>
    <w:p>
      <w:pPr>
        <w:spacing w:after="200" w:before="120"/>
        <w:jc w:val="center"/>
      </w:pPr>
      <w:r>
        <w:rPr>
          <w:rFonts w:ascii="Times New Roman" w:cs="Times New Roman" w:eastAsia="Times New Roman" w:hAnsi="Times New Roman"/>
          <w:i/>
          <w:iCs/>
        </w:rPr>
        <w:t>γ</w:t>
      </w:r>
      <w:r>
        <w:rPr>
          <w:rFonts w:ascii="Times New Roman" w:cs="Times New Roman" w:eastAsia="Times New Roman" w:hAnsi="Times New Roman"/>
          <w:iCs/>
        </w:rPr>
        <w:t xml:space="preserve">*  ≈  </w:t>
      </w:r>
      <w:r>
        <w:rPr>
          <w:rFonts w:ascii="Times New Roman" w:cs="Times New Roman" w:eastAsia="Times New Roman" w:hAnsi="Times New Roman"/>
          <w:i/>
          <w:iCs/>
        </w:rPr>
        <w:t>A</w:t>
      </w:r>
      <w:r>
        <w:rPr>
          <w:rFonts w:ascii="Times New Roman" w:cs="Times New Roman" w:eastAsia="Times New Roman" w:hAnsi="Times New Roman"/>
          <w:iCs/>
        </w:rPr>
        <w:t xml:space="preserve">ᵘ · </w:t>
      </w:r>
      <w:r>
        <w:rPr>
          <w:rFonts w:ascii="Times New Roman" w:cs="Times New Roman" w:eastAsia="Times New Roman" w:hAnsi="Times New Roman"/>
          <w:i/>
          <w:iCs/>
        </w:rPr>
        <w:t>β</w:t>
      </w:r>
      <w:r>
        <w:rPr>
          <w:rFonts w:ascii="Times New Roman" w:cs="Times New Roman" w:eastAsia="Times New Roman" w:hAnsi="Times New Roman"/>
          <w:iCs/>
        </w:rPr>
        <w:t xml:space="preserve"> / </w:t>
      </w:r>
      <w:r>
        <w:rPr>
          <w:rFonts w:ascii="Times New Roman" w:cs="Times New Roman" w:eastAsia="Times New Roman" w:hAnsi="Times New Roman"/>
          <w:i/>
          <w:iCs/>
        </w:rPr>
        <w:t>k</w:t>
      </w:r>
      <w:r>
        <w:rPr>
          <w:rFonts w:ascii="Times New Roman" w:cs="Times New Roman" w:eastAsia="Times New Roman" w:hAnsi="Times New Roman"/>
          <w:iCs/>
        </w:rPr>
        <w:t>.          (5)</w:t>
      </w:r>
    </w:p>
    <w:p>
      <w:pPr>
        <w:spacing w:after="160" w:line="480" w:lineRule="auto"/>
        <w:jc w:val="left"/>
      </w:pPr>
      <w:r>
        <w:rPr>
          <w:rFonts w:ascii="Times New Roman" w:cs="Times New Roman" w:eastAsia="Times New Roman" w:hAnsi="Times New Roman"/>
        </w:rPr>
        <w:t xml:space="preserve">The design can detect </w:t>
      </w:r>
      <w:r>
        <w:rPr>
          <w:rFonts w:ascii="Times New Roman" w:cs="Times New Roman" w:eastAsia="Times New Roman" w:hAnsi="Times New Roman"/>
          <w:i/>
          <w:iCs/>
        </w:rPr>
        <w:t xml:space="preserve">γ</w:t>
      </w:r>
      <w:r>
        <w:rPr>
          <w:rFonts w:ascii="Times New Roman" w:cs="Times New Roman" w:eastAsia="Times New Roman" w:hAnsi="Times New Roman"/>
        </w:rPr>
        <w:t xml:space="preserve">* only if its magnitude exceeds the minimum detectable effect, which for a two-sided 5 percent test at 80 percent power is approximately 2.8 times the standard error of the coefficient. This gives a classification rule that we state before applying it, so that neither a small nor a large observed coefficient is read as support for the gap:</w:t>
      </w:r>
    </w:p>
    <w:p>
      <w:pPr>
        <w:spacing w:after="160" w:line="480" w:lineRule="auto"/>
        <w:jc w:val="left"/>
      </w:pPr>
      <w:r>
        <w:rPr>
          <w:rFonts w:ascii="Times New Roman" w:cs="Times New Roman" w:eastAsia="Times New Roman" w:hAnsi="Times New Roman"/>
        </w:rPr>
        <w:t>(i) If |</w:t>
      </w:r>
      <w:r>
        <w:rPr>
          <w:rFonts w:ascii="Times New Roman" w:cs="Times New Roman" w:eastAsia="Times New Roman" w:hAnsi="Times New Roman"/>
          <w:i/>
        </w:rPr>
        <w:t>γ</w:t>
      </w:r>
      <w:r>
        <w:rPr>
          <w:rFonts w:ascii="Times New Roman" w:cs="Times New Roman" w:eastAsia="Times New Roman" w:hAnsi="Times New Roman"/>
        </w:rPr>
        <w:t>*| is below the minimum detectable effect, the design is uninformative about assimilation, whatever the estimated coefficient. A null result does not support the gap, and a negative result is not evidence of substitution. (ii) If |</w:t>
      </w:r>
      <w:r>
        <w:rPr>
          <w:rFonts w:ascii="Times New Roman" w:cs="Times New Roman" w:eastAsia="Times New Roman" w:hAnsi="Times New Roman"/>
          <w:i/>
        </w:rPr>
        <w:t>γ</w:t>
      </w:r>
      <w:r>
        <w:rPr>
          <w:rFonts w:ascii="Times New Roman" w:cs="Times New Roman" w:eastAsia="Times New Roman" w:hAnsi="Times New Roman"/>
        </w:rPr>
        <w:t xml:space="preserve">*| exceeds the minimum detectable effect and the estimate is significantly smaller in magnitude than </w:t>
      </w:r>
      <w:r>
        <w:rPr>
          <w:rFonts w:ascii="Times New Roman" w:cs="Times New Roman" w:eastAsia="Times New Roman" w:hAnsi="Times New Roman"/>
          <w:i/>
        </w:rPr>
        <w:t>γ</w:t>
      </w:r>
      <w:r>
        <w:rPr>
          <w:rFonts w:ascii="Times New Roman" w:cs="Times New Roman" w:eastAsia="Times New Roman" w:hAnsi="Times New Roman"/>
        </w:rPr>
        <w:t xml:space="preserve">*, the data reject complete assimilation with net substitution but do not distinguish the gap from offsetting scale effects. (iii) If the estimate is significantly larger in magnitude than the largest plausible </w:t>
      </w:r>
      <w:r>
        <w:rPr>
          <w:rFonts w:ascii="Times New Roman" w:cs="Times New Roman" w:eastAsia="Times New Roman" w:hAnsi="Times New Roman"/>
          <w:i/>
        </w:rPr>
        <w:t>γ</w:t>
      </w:r>
      <w:r>
        <w:rPr>
          <w:rFonts w:ascii="Times New Roman" w:cs="Times New Roman" w:eastAsia="Times New Roman" w:hAnsi="Times New Roman"/>
        </w:rPr>
        <w:t xml:space="preserve">**, which we take to be the coefficient implied by an effect of </w:t>
      </w:r>
      <w:r>
        <w:rPr>
          <w:rFonts w:ascii="Times New Roman" w:cs="Times New Roman" w:eastAsia="Times New Roman" w:hAnsi="Times New Roman"/>
          <w:i/>
        </w:rPr>
        <w:t>β</w:t>
      </w:r>
      <w:r>
        <w:rPr>
          <w:rFonts w:ascii="Times New Roman" w:cs="Times New Roman" w:eastAsia="Times New Roman" w:hAnsi="Times New Roman"/>
        </w:rPr>
        <w:t xml:space="preserve"> = −0.5 at the acquisition rate of the highest-acquisition sector, or if the gradient is already present before the technology was available, the decline is attributed to other causes and counts as evidence for none of the accounts.</w:t>
      </w:r>
    </w:p>
    <w:p>
      <w:pPr>
        <w:spacing w:after="160" w:line="480" w:lineRule="auto"/>
        <w:jc w:val="left"/>
      </w:pPr>
      <w:r>
        <w:rPr>
          <w:rFonts w:ascii="Times New Roman" w:cs="Times New Roman" w:eastAsia="Times New Roman" w:hAnsi="Times New Roman"/>
        </w:rPr>
        <w:t xml:space="preserve">The reference value of </w:t>
      </w:r>
      <w:r>
        <w:rPr>
          <w:rFonts w:ascii="Times New Roman" w:cs="Times New Roman" w:eastAsia="Times New Roman" w:hAnsi="Times New Roman"/>
          <w:i/>
        </w:rPr>
        <w:t>β</w:t>
      </w:r>
      <w:r>
        <w:rPr>
          <w:rFonts w:ascii="Times New Roman" w:cs="Times New Roman" w:eastAsia="Times New Roman" w:hAnsi="Times New Roman"/>
        </w:rPr>
        <w:t xml:space="preserve"> comes from the platform literature. A 17 percent fall in image-creation posts (Demirci et al., 2025) corresponds to </w:t>
      </w:r>
      <w:r>
        <w:rPr>
          <w:rFonts w:ascii="Times New Roman" w:cs="Times New Roman" w:eastAsia="Times New Roman" w:hAnsi="Times New Roman"/>
          <w:i/>
        </w:rPr>
        <w:t>β</w:t>
      </w:r>
      <w:r>
        <w:rPr>
          <w:rFonts w:ascii="Times New Roman" w:cs="Times New Roman" w:eastAsia="Times New Roman" w:hAnsi="Times New Roman"/>
        </w:rPr>
        <w:t xml:space="preserve"> ≈ −0.19. Because standing occupations may adjust differently, we also consider </w:t>
      </w:r>
      <w:r>
        <w:rPr>
          <w:rFonts w:ascii="Times New Roman" w:cs="Times New Roman" w:eastAsia="Times New Roman" w:hAnsi="Times New Roman"/>
          <w:i/>
        </w:rPr>
        <w:t>β</w:t>
      </w:r>
      <w:r>
        <w:rPr>
          <w:rFonts w:ascii="Times New Roman" w:cs="Times New Roman" w:eastAsia="Times New Roman" w:hAnsi="Times New Roman"/>
        </w:rPr>
        <w:t xml:space="preserve"> = −0.5 (a 39 percent fall among assimilating employers) as an aggressive case. Appendix B gives the derivation.</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5 DATA</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5.1 Acquisition and Barriers</w:t>
      </w:r>
    </w:p>
    <w:p>
      <w:pPr>
        <w:spacing w:after="160" w:line="480" w:lineRule="auto"/>
        <w:jc w:val="left"/>
      </w:pPr>
      <w:r>
        <w:rPr>
          <w:rFonts w:ascii="Times New Roman" w:cs="Times New Roman" w:eastAsia="Times New Roman" w:hAnsi="Times New Roman"/>
        </w:rPr>
        <w:t>We use Eurostat’s survey on ICT usage in enterprises (Eurostat, 2026), which covers firms with ten or more employees in the EU27. The 2025 wave asks whether enterprises use AI that generates pictures, video, or sound. This is the closest public measure of acquisition of generative visual AI and is available only for 2025. Text generation, asked in 2021, 2023, 2024, and 2025, and image recognition provide the time path of neighboring AI uses. The survey asks enterprises that considered AI but did not adopt it why they did not, offering lack of expertise, unclear legal consequences, data protection and privacy, costs, data availability or quality, incompatibility with existing systems, ethical considerations, and the view that AI is not useful. These items correspond to the complementary assets with two limits that bound every inference below: they refer to AI in general rather than to visual generators, and they are asked only of firms that considered AI. They describe the acquisition margin, not the assimilation margin among users.</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5.2 Hiring Series</w:t>
      </w:r>
    </w:p>
    <w:p>
      <w:pPr>
        <w:spacing w:after="160" w:line="480" w:lineRule="auto"/>
        <w:jc w:val="left"/>
      </w:pPr>
      <w:r>
        <w:rPr>
          <w:rFonts w:ascii="Times New Roman" w:cs="Times New Roman" w:eastAsia="Times New Roman" w:hAnsi="Times New Roman"/>
        </w:rPr>
        <w:t>Because the acquisition measure covers EU firms, the hiring series is Eurostat’s experimental online job advertisements by ISCO-08 three-digit occupation, 2019–2024 (Eurostat, 2026), with 2022 as the base year (604 country-occupation cells, 96 occupations, 16 countries, after a floor of 1,000 base-year adverts). Its population matches the acquisition data, but it offers only two post-2022 years. The Canadian series is the Job Vacancy and Wage Survey by NOC 2021 unit group, 2015–2026 (Statistics Canada, 2026), restricted to 308 unit groups with at least 1,000 vacancies in the base window; the quarter 2020Q2 was not collected, so 2020 and 2021 cannot be used. European Labour Force Survey employment by industry and US sector postings from Indeed Hiring Lab (2026) are used descriptively.</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5.3 Exposure</w:t>
      </w:r>
    </w:p>
    <w:p>
      <w:pPr>
        <w:spacing w:after="160" w:line="480" w:lineRule="auto"/>
        <w:jc w:val="left"/>
      </w:pPr>
      <w:r>
        <w:rPr>
          <w:rFonts w:ascii="Times New Roman" w:cs="Times New Roman" w:eastAsia="Times New Roman" w:hAnsi="Times New Roman"/>
        </w:rPr>
        <w:t>Occupational exposure to visual content creation is the mean, over O*NET task statements (National Center for O*NET Development, 2026), of a language-model score on a 0–2 rubric divided by two, mapped to European occupations through ISCO-08 (three-digit prefix of the ESCO crosswalk) and to Canadian occupations through NOC main-duty statements. The primary measure uses a narrow rubric that scores production or editing of visual content (Appendix A). The construct is hard to code reliably. On 199 human-validated tasks, design-weighted Cohen’s κ between two coders is 0.18, and the narrow score’s weighted κ with the coders is 0.11 and 0.04. A broad rubric that scores work with visual materials agrees better with the coders (weighted κ 0.31 to 0.41), but it was written after one coder’s pattern on a first half-sample had been seen; we therefore report it only as exploratory. A rule-based score correlates 0.78 to 0.88 with the narrow score and is used as a robustness check. With the broad measure the European coefficients are −0.009 in 2023 and −0.004 in 2024 (standard errors 0.007 and 0.015). Low reliability attenuates exposure coefficients toward zero, which lowers power further and so strengthens the detectability result; we do not correct for it.</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6 THE ACQUISITION MARGIN</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6.1 Acquisition Is Substantial and Rising</w:t>
      </w:r>
    </w:p>
    <w:p>
      <w:pPr>
        <w:spacing w:after="160" w:line="480" w:lineRule="auto"/>
        <w:jc w:val="left"/>
      </w:pPr>
      <w:r>
        <w:rPr>
          <w:rFonts w:ascii="Times New Roman" w:cs="Times New Roman" w:eastAsia="Times New Roman" w:hAnsi="Times New Roman"/>
        </w:rPr>
        <w:t xml:space="preserve">In 2025, 9.6 percent of EU27 enterprises with ten or more employees used AI that generates pictures, video, or audio, close to the 8.8 percent that used text generation (Table 2). The share rises to 27.9 percent among firms with 250 or more employees, 35.5 percent in information and communication, and 36.2 percent in publishing, film, television, and music. Text-generation use rose from 1.3 percent in 2021 to 2.1 percent in 2023, 5.4 percent in 2024, and 8.8 percent in 2025, while use of at least one AI technology rose from 7.7 to 20.0 percent. Image recognition grew only from 2.1 to 3.8 percent. Acquisition of generative tools is therefore early but accelerating, and it is concentrated where visual production is most common.</w:t>
      </w:r>
    </w:p>
    <w:p>
      <w:pPr>
        <w:keepNext/>
        <w:spacing w:after="80" w:before="200"/>
      </w:pPr>
      <w:r>
        <w:rPr>
          <w:rFonts w:ascii="Times New Roman" w:cs="Times New Roman" w:eastAsia="Times New Roman" w:hAnsi="Times New Roman"/>
          <w:b/>
          <w:bCs/>
          <w:sz w:val="21"/>
          <w:szCs w:val="21"/>
        </w:rPr>
        <w:t xml:space="preserve">Table 2. Acquisition of generative AI, EU27, 2025 (percent of enterprises with 10 or more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Group</w:t>
            </w:r>
          </w:p>
        </w:tc>
        <w:tc>
          <w:tcPr>
            <w:tcW w:type="dxa" w:w="24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Picture, video, or audio</w:t>
            </w:r>
          </w:p>
        </w:tc>
        <w:tc>
          <w:tcPr>
            <w:tcW w:type="dxa" w:w="24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Text generation</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All enterprises (10+)</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9.6</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8.8</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10–49 employees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8.1</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7.0</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50–249 employees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14.4</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14.8</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250 or more employees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27.9</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31.7</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Information and communication (J)</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35.5</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42.2</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Publishing, film, TV, music (J58–J60)</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36.2</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34.0</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Professional, scientific, technical (M)</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18.7</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17.7</w:t>
            </w:r>
          </w:p>
        </w:tc>
      </w:tr>
      <w:tr>
        <w:trPr>
          <w:tblHeader w:val="false"/>
        </w:trPr>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Construction (F)</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4.5</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3.2</w:t>
            </w:r>
          </w:p>
        </w:tc>
      </w:tr>
      <w:tr>
        <w:trPr>
          <w:tblHeader w:val="false"/>
        </w:trPr>
        <w:tc>
          <w:tcPr>
            <w:tcW w:type="dxa" w:w="456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Transportation and storage (H)</w:t>
            </w:r>
          </w:p>
        </w:tc>
        <w:tc>
          <w:tcPr>
            <w:tcW w:type="dxa" w:w="240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4.0</w:t>
            </w:r>
          </w:p>
        </w:tc>
        <w:tc>
          <w:tcPr>
            <w:tcW w:type="dxa" w:w="240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3.9</w:t>
            </w:r>
          </w:p>
        </w:tc>
      </w:tr>
    </w:tbl>
    <w:p>
      <w:pPr>
        <w:spacing w:after="200" w:before="60"/>
      </w:pPr>
      <w:r>
        <w:rPr>
          <w:rFonts w:ascii="Times New Roman" w:cs="Times New Roman" w:eastAsia="Times New Roman" w:hAnsi="Times New Roman"/>
          <w:i/>
          <w:iCs/>
          <w:sz w:val="19"/>
          <w:szCs w:val="19"/>
        </w:rPr>
        <w:t xml:space="preserve">Source. Eurostat survey on ICT usage in enterprises, indicators E_AI_TPVSG and E_AI_TNLG. The visual-generation indicator exists only for 2025 and is interpreted as acquisition (Aᵘ), not assimilation.</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6.2 Reported Barriers Are Complements, Not Capability</w:t>
      </w:r>
    </w:p>
    <w:p>
      <w:pPr>
        <w:spacing w:after="160" w:line="480" w:lineRule="auto"/>
        <w:jc w:val="left"/>
      </w:pPr>
      <w:r>
        <w:rPr>
          <w:rFonts w:ascii="Times New Roman" w:cs="Times New Roman" w:eastAsia="Times New Roman" w:hAnsi="Times New Roman"/>
        </w:rPr>
        <w:t xml:space="preserve">Among enterprises that considered AI and did not adopt it, 70.3 percent cite lack of relevant expertise, 53.6 percent unclear legal consequences, and 52.7 percent data protection and privacy (Table 3). Costs are cited by 38.4 percent and the view that AI is not useful by 17.8 percent. The pattern is similar across size classes. This is consistent with H1: firms that stopped short of acquisition describe the obstacle as a missing asset rather than as a tool that fails the task.</w:t>
      </w:r>
    </w:p>
    <w:p>
      <w:pPr>
        <w:keepNext/>
        <w:spacing w:after="80" w:before="200"/>
      </w:pPr>
      <w:r>
        <w:rPr>
          <w:rFonts w:ascii="Times New Roman" w:cs="Times New Roman" w:eastAsia="Times New Roman" w:hAnsi="Times New Roman"/>
          <w:b/>
          <w:bCs/>
          <w:sz w:val="21"/>
          <w:szCs w:val="21"/>
        </w:rPr>
        <w:t xml:space="preserve">Table 3. Reasons for not using AI among enterprises that considered it, EU27,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3860"/>
      </w:tblGrid>
      <w:tr>
        <w:trPr>
          <w:tblHeader/>
        </w:trPr>
        <w:tc>
          <w:tcPr>
            <w:tcW w:type="dxa" w:w="38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Specification</w:t>
            </w:r>
          </w:p>
        </w:tc>
        <w:tc>
          <w:tcPr>
            <w:tcW w:type="dxa" w:w="17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2019</w:t>
            </w:r>
          </w:p>
        </w:tc>
        <w:tc>
          <w:tcPr>
            <w:tcW w:type="dxa" w:w="386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2020</w:t>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Country-year FE, LLM control (preferred)</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+0.024 (0.014)</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+0.008 (0.013)</w:t>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Country-year FE, no LLM control</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+0.008 (0.013)</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−0.002 (0.013)</w:t>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Deviation from linear pre-trend, LLM control</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Randomization p (preferred)</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Minimum detectable effect (preferred)</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0.038</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0.037</w:t>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Costs seem too high</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38.4</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Fixed cost of complements or of the tool</w:t>
            </w:r>
          </w:p>
        </w:tc>
      </w:tr>
      <w:tr>
        <w:trPr>
          <w:tblHeader w:val="false"/>
        </w:trPr>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Ethical considerations</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24.6</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Institutional complement</w:t>
            </w:r>
          </w:p>
        </w:tc>
      </w:tr>
      <w:tr>
        <w:trPr>
          <w:tblHeader w:val="false"/>
        </w:trPr>
        <w:tc>
          <w:tcPr>
            <w:tcW w:type="dxa" w:w="380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AI is not useful for the enterprise</w:t>
            </w:r>
          </w:p>
        </w:tc>
        <w:tc>
          <w:tcPr>
            <w:tcW w:type="dxa" w:w="170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17.8</w:t>
            </w:r>
          </w:p>
        </w:tc>
        <w:tc>
          <w:tcPr>
            <w:tcW w:type="dxa" w:w="386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Capability failure</w:t>
            </w:r>
          </w:p>
        </w:tc>
      </w:tr>
    </w:tbl>
    <w:p>
      <w:pPr>
        <w:spacing w:after="200" w:before="60"/>
      </w:pPr>
      <w:r>
        <w:rPr>
          <w:rFonts w:ascii="Times New Roman" w:cs="Times New Roman" w:eastAsia="Times New Roman" w:hAnsi="Times New Roman"/>
          <w:i/>
          <w:iCs/>
          <w:sz w:val="19"/>
          <w:szCs w:val="19"/>
        </w:rPr>
        <w:t xml:space="preserve">Source. Eurostat 2025. Multiple answers allowed. Items refer to AI in general and are asked only of enterprises that considered AI.</w:t>
      </w:r>
    </w:p>
    <w:p>
      <w:pPr>
        <w:spacing w:after="160" w:line="480" w:lineRule="auto"/>
        <w:jc w:val="left"/>
      </w:pPr>
      <w:r>
        <w:rPr>
          <w:rFonts w:ascii="Times New Roman" w:cs="Times New Roman" w:eastAsia="Times New Roman" w:hAnsi="Times New Roman"/>
        </w:rPr>
        <w:t xml:space="preserve">Three limits govern how far this evidence reaches. First, the items refer to AI in general, so the share citing legal uncertainty may partly reflect text or decision tools. Second, firms that never considered AI are excluded, and they may include many for which the tool is genuinely not useful; the 17.8 percent figure is therefore a lower bound on capability-based non-adoption in the population. Third, the evidence concerns non-adopters and cannot show that the same barriers block assimilation among adopters, which is what H3 would test.</w:t>
      </w:r>
    </w:p>
    <w:p>
      <w:pPr>
        <w:spacing w:after="160" w:line="480" w:lineRule="auto"/>
        <w:jc w:val="left"/>
      </w:pPr>
      <w:r>
        <w:rPr>
          <w:rFonts w:ascii="Times New Roman" w:cs="Times New Roman" w:eastAsia="Times New Roman" w:hAnsi="Times New Roman"/>
        </w:rPr>
        <w:t xml:space="preserve">Cross-country patterns are descriptive. Across 23 countries, acquisition of visual generation is negatively correlated with the share of considerers citing costs (r = −0.76), weakly with unclear legal consequences (r = −0.24) and data protection (r = −0.02), and positively with missing expertise (r = 0.46), which would be expected if countries with more acquisition also have more considerers who have encountered the knowledge barrier. With 23 observations these correlations do not show that differences in legal concern explain differences in acquisition. Sector exposure to visual content creation correlates with visual-generation acquisition at 0.84 but also with text-generation acquisition at 0.83 and image recognition at 0.81, and in country-sector cells with country fixed effects a standard deviation of exposure is associated with higher acquisition of every AI type (permutation p-values 0.003 to 0.006). Exposure therefore identifies digitally intensive sectors rather than a specific propensity to acquire visual generators, which is a further reason not to read exposure gradients in hiring as effects of visual generation.</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7 OCCUPATION-LEVEL HIRING THROUGH THE BOUND</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7.1 Exposure Gradients</w:t>
      </w:r>
    </w:p>
    <w:p>
      <w:pPr>
        <w:spacing w:after="160" w:line="480" w:lineRule="auto"/>
        <w:jc w:val="left"/>
      </w:pPr>
      <w:r>
        <w:rPr>
          <w:rFonts w:ascii="Times New Roman" w:cs="Times New Roman" w:eastAsia="Times New Roman" w:hAnsi="Times New Roman"/>
        </w:rPr>
        <w:t>For each country-occupation cell in 16 European countries we regress the change in log online adverts relative to 2022 on standardized visual-creation exposure and standardized language-model exposure, with country-year fixed effects and standard errors clustered by ISCO occupation (Table 4). A standard deviation of exposure is associated with 1.6 percent fewer adverts in 2023 (standard error 0.6, randomization p = 0.016) and 1.2 percent fewer in 2024 (standard error 1.7, p = 0.19). Without the language control the estimates are −3.7 and −5.9 percent, because exposure to visual content creation and exposure to language models are positively correlated across occupations (0.27).</w:t>
      </w:r>
    </w:p>
    <w:p>
      <w:pPr>
        <w:keepNext/>
        <w:spacing w:after="80" w:before="200"/>
      </w:pPr>
      <w:r>
        <w:rPr>
          <w:rFonts w:ascii="Times New Roman" w:cs="Times New Roman" w:eastAsia="Times New Roman" w:hAnsi="Times New Roman"/>
          <w:bCs/>
          <w:sz w:val="21"/>
          <w:szCs w:val="21"/>
        </w:rPr>
        <w:t>Table 4. Europe: log-advert change per standard deviation of visual-creation exposure, relative to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40"/>
        <w:gridCol w:w="1240"/>
        <w:gridCol w:w="1240"/>
        <w:gridCol w:w="1240"/>
        <w:gridCol w:w="1240"/>
      </w:tblGrid>
      <w:tr>
        <w:trPr>
          <w:tblHeader/>
        </w:trPr>
        <w:tc>
          <w:tcPr>
            <w:tcW w:type="dxa" w:w="316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Acquisition rate Aᵘ</w:t>
            </w:r>
          </w:p>
        </w:tc>
        <w:tc>
          <w:tcPr>
            <w:tcW w:type="dxa" w:w="124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β = −0.19 (platform)</w:t>
            </w:r>
          </w:p>
        </w:tc>
        <w:tc>
          <w:tcPr>
            <w:tcW w:type="dxa" w:w="124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β = −0.50 (aggressive)</w:t>
            </w:r>
          </w:p>
        </w:tc>
        <w:tc>
          <w:tcPr>
            <w:tcW w:type="dxa" w:w="124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Implied log change, most exposed occupation (β = −0.50)</w:t>
            </w:r>
          </w:p>
        </w:tc>
        <w:tc>
          <w:tcPr>
            <w:tcW w:type="dxa" w:w="124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2025</w:t>
            </w:r>
          </w:p>
        </w:tc>
        <w:tc>
          <w:tcPr>
            <w:tcW w:type="dxa" w:w="124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2026</w:t>
            </w:r>
          </w:p>
        </w:tc>
      </w:tr>
      <w:tr>
        <w:trPr>
          <w:tblHeader w:val="false"/>
        </w:trPr>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9.6% (EU27, all firms)</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−0.003</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−0.008</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−0.048</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−0.021 (0.016)</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−0.033 (0.017)</w:t>
            </w:r>
          </w:p>
        </w:tc>
      </w:tr>
      <w:tr>
        <w:trPr>
          <w:tblHeader w:val="false"/>
        </w:trPr>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36.2% (publishing, film, broadcasting)</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−0.012</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−0.032</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−0.181</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−0.043 (0.016)</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−0.052 (0.018)</w:t>
            </w:r>
          </w:p>
        </w:tc>
      </w:tr>
      <w:tr>
        <w:trPr>
          <w:tblHeader w:val="false"/>
        </w:trPr>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2.1% (text generation, 2023, proxy for early acquisition)</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−0.001</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−0.002</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−0.010</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−0.026 (0.016)</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−0.026 (0.015)</w:t>
            </w:r>
          </w:p>
        </w:tc>
      </w:tr>
      <w:tr>
        <w:trPr>
          <w:tblHeader w:val="false"/>
        </w:trPr>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Minimum detectable effect, 2024</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t>0.048</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t>0.048</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−0.28</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0.16</w:t>
            </w:r>
          </w:p>
        </w:tc>
        <w:tc>
          <w:tcPr>
            <w:tcW w:type="dxa" w:w="124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0.03</w:t>
            </w:r>
          </w:p>
        </w:tc>
      </w:tr>
      <w:tr>
        <w:trPr>
          <w:tblHeader w:val="false"/>
        </w:trPr>
        <w:tc>
          <w:tcPr>
            <w:tcW w:type="dxa" w:w="316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Observed (preferred), 2024</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t>−0.012</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−0.012</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−0.07</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0.045</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0.048</w:t>
            </w:r>
          </w:p>
        </w:tc>
      </w:tr>
      <w:tr>
        <w:trPr>
          <w:tblHeader w:val="false"/>
        </w:trPr>
        <w:tc>
          <w:tcPr>
            <w:tcW w:type="dxa" w:w="316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Observed (no language control), 2024</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t>−0.059</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−0.059</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−0.34</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0.045</w:t>
            </w:r>
          </w:p>
        </w:tc>
        <w:tc>
          <w:tcPr>
            <w:tcW w:type="dxa" w:w="124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0.048</w:t>
            </w:r>
          </w:p>
        </w:tc>
      </w:tr>
    </w:tbl>
    <w:p>
      <w:pPr>
        <w:spacing w:after="200" w:before="60"/>
      </w:pPr>
      <w:r>
        <w:rPr>
          <w:rFonts w:ascii="Times New Roman" w:cs="Times New Roman" w:eastAsia="Times New Roman" w:hAnsi="Times New Roman"/>
          <w:iCs/>
          <w:sz w:val="19"/>
          <w:szCs w:val="19"/>
        </w:rPr>
        <w:t>Notes. 604 country-occupation cells (96 occupations, 16 countries); country-year fixed effects; standard errors clustered by ISCO three-digit occupation in parentheses. The deviation row estimates a linear trend in the exposure gradient on 2019–2021 (−0.0072 per year, standard error 0.0047) and reports the deviation of 2023 and 2024 from its extrapolation. Minimum detectable effect = 2.8 × standard error (two-sided 5 percent test, 80 percent power) of the preferred specification.</w:t>
      </w:r>
    </w:p>
    <w:p>
      <w:pPr>
        <w:spacing w:after="160" w:line="480" w:lineRule="auto"/>
        <w:jc w:val="left"/>
      </w:pPr>
      <w:r>
        <w:rPr>
          <w:rFonts w:ascii="Times New Roman" w:cs="Times New Roman" w:eastAsia="Times New Roman" w:hAnsi="Times New Roman"/>
        </w:rPr>
        <w:t>The coefficients before 2022 are positive (+0.024, +0.008, and +0.011 for 2019, 2020, and 2021), which means that exposed occupations were already declining relative to others before generative tools were released. The trend is weak (−0.007 per year, standard error 0.005), but it runs in the same direction as the post-2022 coefficients: relative to it, the 2023 and 2024 coefficients are −0.009 (standard error 0.007) and +0.002 (0.023). The series has only two post-2022 years. In Canada, within NOC two-digit groups, the coefficient is −2.2 percent in the first post-2022 year (standard error 0.9, randomization p = 0.10) and indistinguishable from zero afterward (−0.9, +1.6, and +1.1 percent in 2024, 2025, and 2026, with standard errors of 2.5, 2.7, and 3.0), in a market where total vacancies fell 47 percent.</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7.2 Applying the Bound</w:t>
      </w:r>
    </w:p>
    <w:p>
      <w:pPr>
        <w:spacing w:after="160" w:line="480" w:lineRule="auto"/>
        <w:jc w:val="left"/>
      </w:pPr>
      <w:r>
        <w:rPr>
          <w:rFonts w:ascii="Times New Roman" w:cs="Times New Roman" w:eastAsia="Times New Roman" w:hAnsi="Times New Roman"/>
        </w:rPr>
        <w:t xml:space="preserve">In the European exposure distribution the most exposed occupations are creative and performing artists (ISCO 265, 6.2 standard deviations above the mean) and architects, planners, surveyors, and designers (ISCO 216, which includes graphic designers, 5.7 standard deviations). We set </w:t>
      </w:r>
      <w:r>
        <w:rPr>
          <w:rFonts w:ascii="Times New Roman" w:cs="Times New Roman" w:eastAsia="Times New Roman" w:hAnsi="Times New Roman"/>
          <w:i/>
        </w:rPr>
        <w:t>k</w:t>
      </w:r>
      <w:r>
        <w:rPr>
          <w:rFonts w:ascii="Times New Roman" w:cs="Times New Roman" w:eastAsia="Times New Roman" w:hAnsi="Times New Roman"/>
        </w:rPr>
        <w:t xml:space="preserve"> = 5.7, the value more favorable to detection. Table 5 reports the coefficient per standard deviation that complete assimilation would produce under equation (5) for a range of acquisition rates and substitution effects, alongside the minimum detectable effect and the observed coefficients.</w:t>
      </w:r>
    </w:p>
    <w:p>
      <w:pPr>
        <w:keepNext/>
        <w:spacing w:after="80" w:before="200"/>
      </w:pPr>
      <w:r>
        <w:rPr>
          <w:rFonts w:ascii="Times New Roman" w:cs="Times New Roman" w:eastAsia="Times New Roman" w:hAnsi="Times New Roman"/>
          <w:bCs/>
          <w:sz w:val="21"/>
          <w:szCs w:val="21"/>
        </w:rPr>
        <w:t>Table 5. Coefficient per standard deviation implied by complete assimilation (Aᵃ = Aᵘ), Europe, k =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50"/>
        <w:gridCol w:w="2150"/>
        <w:gridCol w:w="2160"/>
      </w:tblGrid>
      <w:tr>
        <w:trPr>
          <w:tblHeader/>
        </w:trPr>
        <w:tc>
          <w:tcPr>
            <w:tcW w:type="dxa" w:w="29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Acquisition rate Aᵘ</w:t>
            </w:r>
          </w:p>
        </w:tc>
        <w:tc>
          <w:tcPr>
            <w:tcW w:type="dxa" w:w="215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β = −0.19 (platform)</w:t>
            </w:r>
          </w:p>
        </w:tc>
        <w:tc>
          <w:tcPr>
            <w:tcW w:type="dxa" w:w="215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β = −0.50 (aggressive)</w:t>
            </w:r>
          </w:p>
        </w:tc>
        <w:tc>
          <w:tcPr>
            <w:tcW w:type="dxa" w:w="216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Implied log change, most exposed occupation (β = −0.50)</w:t>
            </w:r>
          </w:p>
        </w:tc>
      </w:tr>
      <w:tr>
        <w:trPr>
          <w:tblHeader w:val="false"/>
        </w:trPr>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−0.19 (−17%)</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above 100%</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never</w:t>
            </w:r>
          </w:p>
        </w:tc>
        <w:tc>
          <w:tcPr>
            <w:tcW w:type="dxa" w:w="21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never</w:t>
            </w:r>
          </w:p>
        </w:tc>
      </w:tr>
      <w:tr>
        <w:trPr>
          <w:tblHeader w:val="false"/>
        </w:trPr>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−0.50 (−39%)</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55%</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2029 / 2027</w:t>
            </w:r>
          </w:p>
        </w:tc>
        <w:tc>
          <w:tcPr>
            <w:tcW w:type="dxa" w:w="21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2030 / 2027</w:t>
            </w:r>
          </w:p>
        </w:tc>
      </w:tr>
      <w:tr>
        <w:trPr>
          <w:tblHeader w:val="false"/>
        </w:trPr>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−0.80 (−55%)</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34%</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2028 / 2025</w:t>
            </w:r>
          </w:p>
        </w:tc>
        <w:tc>
          <w:tcPr>
            <w:tcW w:type="dxa" w:w="21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2029 / 2025</w:t>
            </w:r>
          </w:p>
        </w:tc>
      </w:tr>
      <w:tr>
        <w:trPr>
          <w:tblHeader w:val="false"/>
        </w:trPr>
        <w:tc>
          <w:tcPr>
            <w:tcW w:type="dxa" w:w="29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Minimum detectable effect, 2025 / 2026</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0.045 / 0.048</w:t>
            </w:r>
          </w:p>
        </w:tc>
        <w:tc>
          <w:tcPr>
            <w:tcW w:type="dxa" w:w="215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0.045 / 0.048</w:t>
            </w:r>
          </w:p>
        </w:tc>
        <w:tc>
          <w:tcPr>
            <w:tcW w:type="dxa" w:w="216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−0.36 / −0.38</w:t>
            </w:r>
          </w:p>
        </w:tc>
      </w:tr>
      <w:tr>
        <w:trPr>
          <w:tblHeader w:val="false"/>
        </w:trPr>
        <w:tc>
          <w:tcPr>
            <w:tcW w:type="dxa" w:w="290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Observed (preferred), 2025 / 2026</w:t>
            </w:r>
          </w:p>
        </w:tc>
        <w:tc>
          <w:tcPr>
            <w:tcW w:type="dxa" w:w="215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−0.021 / −0.033</w:t>
            </w:r>
          </w:p>
        </w:tc>
        <w:tc>
          <w:tcPr>
            <w:tcW w:type="dxa" w:w="215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−0.021 / −0.033</w:t>
            </w:r>
          </w:p>
        </w:tc>
        <w:tc>
          <w:tcPr>
            <w:tcW w:type="dxa" w:w="216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−0.17 / −0.26</w:t>
            </w:r>
          </w:p>
        </w:tc>
      </w:tr>
    </w:tbl>
    <w:p>
      <w:pPr>
        <w:spacing w:after="200" w:before="60"/>
      </w:pPr>
      <w:r>
        <w:rPr>
          <w:rFonts w:ascii="Times New Roman" w:cs="Times New Roman" w:eastAsia="Times New Roman" w:hAnsi="Times New Roman"/>
          <w:iCs/>
          <w:sz w:val="19"/>
          <w:szCs w:val="19"/>
        </w:rPr>
        <w:t>Notes. γ* = Aᵘ·β/k. The upper bound Aᵃ = Aᵘ maximizes the implied response; any assimilation gap makes it smaller. Acquisition rates: Eurostat 2025 (all enterprises; publishing, film, television, and music) and Eurostat 2023 text generation as a proxy for early acquisition. The minimum detectable effect and the observed coefficients are for 2024, the year with the least power; the last column multiplies by k.</w:t>
      </w:r>
    </w:p>
    <w:p>
      <w:pPr>
        <w:spacing w:after="160" w:line="480" w:lineRule="auto"/>
        <w:jc w:val="left"/>
      </w:pPr>
      <w:r>
        <w:rPr>
          <w:rFonts w:ascii="Times New Roman" w:cs="Times New Roman" w:eastAsia="Times New Roman" w:hAnsi="Times New Roman"/>
        </w:rPr>
        <w:t xml:space="preserve">Two results follow. First, every complete-assimilation scenario for 2024 implies a coefficient below the minimum detectable effect of 0.048; the largest, −0.032, requires a 39 percent fall among assimilating employers in a sector where 36 percent have acquired the tool, and assimilation by all of them. Under rule (i), the 2024 European estimate is uninformative about whether acquisition has been assimilated, and its small and imprecise coefficient supports neither the gap nor substitution. The preferred estimate of −0.012 equals what the platform effect would produce if every employer in a high-acquisition sector had assimilated, but it is 0.7 standard errors from zero. The estimate without the language control (−0.059) is larger than any scenario, but it is not significantly larger than </w:t>
      </w:r>
      <w:r>
        <w:rPr>
          <w:rFonts w:ascii="Times New Roman" w:cs="Times New Roman" w:eastAsia="Times New Roman" w:hAnsi="Times New Roman"/>
          <w:i/>
        </w:rPr>
        <w:t>γ</w:t>
      </w:r>
      <w:r>
        <w:rPr>
          <w:rFonts w:ascii="Times New Roman" w:cs="Times New Roman" w:eastAsia="Times New Roman" w:hAnsi="Times New Roman"/>
        </w:rPr>
        <w:t xml:space="preserve">** (−0.032; z = 1.3) and, as the difference between the specifications shows, partly reflects exposure to language models. Second, the 2023 estimate has more power (minimum detectable effect 0.016). Text-generation acquisition stood at 2.1 percent in 2023. If acquisition of visual generators was similarly low, complete assimilation with </w:t>
      </w:r>
      <w:r>
        <w:rPr>
          <w:rFonts w:ascii="Times New Roman" w:cs="Times New Roman" w:eastAsia="Times New Roman" w:hAnsi="Times New Roman"/>
          <w:i/>
        </w:rPr>
        <w:t>β</w:t>
      </w:r>
      <w:r>
        <w:rPr>
          <w:rFonts w:ascii="Times New Roman" w:cs="Times New Roman" w:eastAsia="Times New Roman" w:hAnsi="Times New Roman"/>
        </w:rPr>
        <w:t xml:space="preserve"> = −0.5 implies a coefficient of about −0.002, and the observed −0.016 differs from it significantly (z = 2.6); if acquisition had already reached its 2025 level, the implied coefficient would be −0.008 and the difference would not be significant. Either way, the 2023 gradient is of the size predicted by the trend that preceded the technology, since relative to that trend it is −0.009 (standard error 0.007). Under rule (iii), the gradient is better attributed to other causes than to generative visual AI.</w:t>
      </w:r>
    </w:p>
    <w:p>
      <w:pPr>
        <w:spacing w:after="160" w:line="480" w:lineRule="auto"/>
        <w:jc w:val="left"/>
      </w:pPr>
      <w:r>
        <w:rPr>
          <w:rFonts w:ascii="Times New Roman" w:cs="Times New Roman" w:eastAsia="Times New Roman" w:hAnsi="Times New Roman"/>
        </w:rPr>
        <w:t>The Canadian series has standard errors of 0.025 to 0.030 per standard deviation after 2023, so its minimum detectable effect is about 0.07 to 0.08 per standard deviation. For the most exposed unit group, 9.0 standard deviations above the mean, this corresponds to a log change of about 0.6 to 0.8. The Canadian series is therefore uninformative about assimilation at any plausible acquisition rate, and its first-year coefficient, which does not persist, leads to the same classification.</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7.3 Employment Where Acquisition Is Highest</w:t>
      </w:r>
    </w:p>
    <w:p>
      <w:pPr>
        <w:spacing w:after="160" w:line="480" w:lineRule="auto"/>
        <w:jc w:val="left"/>
      </w:pPr>
      <w:r>
        <w:rPr>
          <w:rFonts w:ascii="Times New Roman" w:cs="Times New Roman" w:eastAsia="Times New Roman" w:hAnsi="Times New Roman"/>
        </w:rPr>
        <w:t>European Labour Force Survey employment in video and film production, advertising, and other professional activities including design and photography rose between 2019–2021 and 2023–2025 by 0.13, 0.11, and 0.15 log points, against a median of 0.04 across 88 industries; creative industries gained 0.09 log points relative to other industries (randomization p = 0.20). US sector postings in arts, media, and marketing fell relative to other sectors, but so did software and data postings, and the same sectors were not stable before the base period. The finest public occupation-by-industry cross-tabulation (one-digit occupations by industry section) shows professionals’ employment growing by 0.26 log points in information and communication, 0.17 in professional and technical activities, and 0.14 in arts and entertainment, against a median of 0.19 across 19 sections; these groups are dominated by occupations other than visual production, and two-digit occupation data (cultural professionals, +0.09) are too coarse to isolate designers or artists. Neither series isolates visual generation, and both are consistent with every account in Table 1 other than large and rapid net substitution.</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7.4 Acquisition Interaction in Europe</w:t>
      </w:r>
    </w:p>
    <w:p>
      <w:pPr>
        <w:spacing w:after="160" w:line="480" w:lineRule="auto"/>
        <w:jc w:val="left"/>
      </w:pPr>
      <w:r>
        <w:rPr>
          <w:rFonts w:ascii="Times New Roman" w:cs="Times New Roman" w:eastAsia="Times New Roman" w:hAnsi="Times New Roman"/>
        </w:rPr>
        <w:t xml:space="preserve">A European dose-response test interacts occupational exposure with country-level acquisition of picture, video, or audio generation (Eurostat, 2026), which is available for 12 of the 16 countries. Complete assimilation predicts a steeper exposure gradient where acquisition is higher, whereas the gap and offsetting-scale accounts predict no such interaction. The interaction coefficient per standard deviation of acquisition (5.1 percentage points) is −0.008 (standard error 0.008) in 2023 and +0.003 (0.016) in 2024; permutation p-values across countries are 0.46 and 0.85. In 2021, before the base year, it is +0.008 (0.007). Complete assimilation with </w:t>
      </w:r>
      <w:r>
        <w:rPr>
          <w:rFonts w:ascii="Times New Roman" w:cs="Times New Roman" w:eastAsia="Times New Roman" w:hAnsi="Times New Roman"/>
          <w:i/>
        </w:rPr>
        <w:t>β</w:t>
      </w:r>
      <w:r>
        <w:rPr>
          <w:rFonts w:ascii="Times New Roman" w:cs="Times New Roman" w:eastAsia="Times New Roman" w:hAnsi="Times New Roman"/>
        </w:rPr>
        <w:t xml:space="preserve"> = −0.5 predicts an interaction of only about −0.004 (−0.5 × 0.051 / 5.7), far smaller than the standard errors, so the test cannot discriminate among the accounts. We report it because it is the only test here that uses variation in acquisition directly. It becomes informative only with more countries, more post-2022 years, and acquisition measured before the outcome. The detectability result does not depend on it, because that result depends only on acquisition rates, reference effect sizes, and standard errors.</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7.5 Sector-Level Acquisition and Employment</w:t>
      </w:r>
    </w:p>
    <w:p>
      <w:pPr>
        <w:spacing w:after="160" w:line="480" w:lineRule="auto"/>
        <w:jc w:val="left"/>
      </w:pPr>
      <w:r>
        <w:rPr>
          <w:rFonts w:ascii="Times New Roman" w:cs="Times New Roman" w:eastAsia="Times New Roman" w:hAnsi="Times New Roman"/>
        </w:rPr>
        <w:t xml:space="preserve">Firm-level links between use and hiring are not public, so we use sectors as the nearest proxy. In 260 country-sector cells (30 countries, 9 NACE sections), sectors with higher acquisition of picture, video, or audio generation in 2025 had higher employment growth between 2019–2021 and 2023–2025: 0.051 log points per standard deviation of acquisition (10.6 percentage points), with country fixed effects (standard error 0.010). The same relationship holds before the technology: for 2016–2018 to 2019–2021 the coefficient is 0.049 (0.008), and the difference between the two periods is 0.002 (0.012). Acquisition is not a separate signal here, because it correlates 0.92 with acquisition of text generation and 0.95 with use of any AI across cells; adding the text-generation control leaves a post-minus-pre difference of 0.041 (0.020), which is imprecise because of this collinearity. In the United States, the sector share of businesses reporting AI use in the Business Trends and Outlook Survey (U.S. Census Bureau, 2026) correlates 0.59 across 20 sectors with the sector’s reported employee-change index (descriptive only). Complete assimilation with </w:t>
      </w:r>
      <w:r>
        <w:rPr>
          <w:rFonts w:ascii="Times New Roman" w:cs="Times New Roman" w:eastAsia="Times New Roman" w:hAnsi="Times New Roman"/>
          <w:i/>
        </w:rPr>
        <w:t>β</w:t>
      </w:r>
      <w:r>
        <w:rPr>
          <w:rFonts w:ascii="Times New Roman" w:cs="Times New Roman" w:eastAsia="Times New Roman" w:hAnsi="Times New Roman"/>
        </w:rPr>
        <w:t xml:space="preserve"> = −0.5 would imply a coefficient of about −0.053 times </w:t>
      </w:r>
      <w:r>
        <w:rPr>
          <w:rFonts w:ascii="Times New Roman" w:cs="Times New Roman" w:eastAsia="Times New Roman" w:hAnsi="Times New Roman"/>
          <w:i/>
        </w:rPr>
        <w:t>s</w:t>
      </w:r>
      <w:r>
        <w:rPr>
          <w:rFonts w:ascii="Times New Roman" w:cs="Times New Roman" w:eastAsia="Times New Roman" w:hAnsi="Times New Roman"/>
        </w:rPr>
        <w:t xml:space="preserve">, the share of sector employment in visual-production occupations, per standard deviation of acquisition. Because </w:t>
      </w:r>
      <w:r>
        <w:rPr>
          <w:rFonts w:ascii="Times New Roman" w:cs="Times New Roman" w:eastAsia="Times New Roman" w:hAnsi="Times New Roman"/>
          <w:i/>
        </w:rPr>
        <w:t>s</w:t>
      </w:r>
      <w:r>
        <w:rPr>
          <w:rFonts w:ascii="Times New Roman" w:cs="Times New Roman" w:eastAsia="Times New Roman" w:hAnsi="Times New Roman"/>
        </w:rPr>
        <w:t xml:space="preserve"> is well below one, the implied effect is far smaller than the standard errors. Sector-level data therefore show that acquisition marks growing, digitally intensive sectors, not that it displaces labor, and they cannot reveal the assimilation margin; this is the limit that firm-level data would remove.</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8 WHEN WILL OCCUPATION-LEVEL DATA BECOME INFORMATIVE?</w:t>
      </w:r>
    </w:p>
    <w:p>
      <w:pPr>
        <w:spacing w:after="160" w:line="480" w:lineRule="auto"/>
        <w:jc w:val="left"/>
      </w:pPr>
      <w:r>
        <w:rPr>
          <w:rFonts w:ascii="Times New Roman" w:cs="Times New Roman" w:eastAsia="Times New Roman" w:hAnsi="Times New Roman"/>
        </w:rPr>
        <w:t xml:space="preserve">Equation (5) also tells us when the European design would gain the power to detect complete assimilation. Holding the 2024 standard error fixed, detection for an occupation at </w:t>
      </w:r>
      <w:r>
        <w:rPr>
          <w:rFonts w:ascii="Times New Roman" w:cs="Times New Roman" w:eastAsia="Times New Roman" w:hAnsi="Times New Roman"/>
          <w:i/>
        </w:rPr>
        <w:t>k</w:t>
      </w:r>
      <w:r>
        <w:rPr>
          <w:rFonts w:ascii="Times New Roman" w:cs="Times New Roman" w:eastAsia="Times New Roman" w:hAnsi="Times New Roman"/>
        </w:rPr>
        <w:t xml:space="preserve"> = 5.7 requires </w:t>
      </w:r>
      <w:r>
        <w:rPr>
          <w:rFonts w:ascii="Times New Roman" w:cs="Times New Roman" w:eastAsia="Times New Roman" w:hAnsi="Times New Roman"/>
          <w:i/>
        </w:rPr>
        <w:t>A</w:t>
      </w:r>
      <w:r>
        <w:rPr>
          <w:rFonts w:ascii="Times New Roman" w:cs="Times New Roman" w:eastAsia="Times New Roman" w:hAnsi="Times New Roman"/>
        </w:rPr>
        <w:t xml:space="preserve">ᵃ · </w:t>
      </w:r>
      <w:r>
        <w:rPr>
          <w:rFonts w:ascii="Times New Roman" w:cs="Times New Roman" w:eastAsia="Times New Roman" w:hAnsi="Times New Roman"/>
          <w:i/>
        </w:rPr>
        <w:t>β</w:t>
      </w:r>
      <w:r>
        <w:rPr>
          <w:rFonts w:ascii="Times New Roman" w:cs="Times New Roman" w:eastAsia="Times New Roman" w:hAnsi="Times New Roman"/>
        </w:rPr>
        <w:t xml:space="preserve"> ≤ −0.28. With </w:t>
      </w:r>
      <w:r>
        <w:rPr>
          <w:rFonts w:ascii="Times New Roman" w:cs="Times New Roman" w:eastAsia="Times New Roman" w:hAnsi="Times New Roman"/>
          <w:i/>
        </w:rPr>
        <w:t>β</w:t>
      </w:r>
      <w:r>
        <w:rPr>
          <w:rFonts w:ascii="Times New Roman" w:cs="Times New Roman" w:eastAsia="Times New Roman" w:hAnsi="Times New Roman"/>
        </w:rPr>
        <w:t xml:space="preserve"> = −0.19 this cannot occur even at full assimilation. With </w:t>
      </w:r>
      <w:r>
        <w:rPr>
          <w:rFonts w:ascii="Times New Roman" w:cs="Times New Roman" w:eastAsia="Times New Roman" w:hAnsi="Times New Roman"/>
          <w:i/>
        </w:rPr>
        <w:t>β</w:t>
      </w:r>
      <w:r>
        <w:rPr>
          <w:rFonts w:ascii="Times New Roman" w:cs="Times New Roman" w:eastAsia="Times New Roman" w:hAnsi="Times New Roman"/>
        </w:rPr>
        <w:t xml:space="preserve"> = −0.5 it requires </w:t>
      </w:r>
      <w:r>
        <w:rPr>
          <w:rFonts w:ascii="Times New Roman" w:cs="Times New Roman" w:eastAsia="Times New Roman" w:hAnsi="Times New Roman"/>
          <w:i/>
        </w:rPr>
        <w:t>A</w:t>
      </w:r>
      <w:r>
        <w:rPr>
          <w:rFonts w:ascii="Times New Roman" w:cs="Times New Roman" w:eastAsia="Times New Roman" w:hAnsi="Times New Roman"/>
        </w:rPr>
        <w:t xml:space="preserve">ᵃ ≥ 0.55; with </w:t>
      </w:r>
      <w:r>
        <w:rPr>
          <w:rFonts w:ascii="Times New Roman" w:cs="Times New Roman" w:eastAsia="Times New Roman" w:hAnsi="Times New Roman"/>
          <w:i/>
        </w:rPr>
        <w:t>β</w:t>
      </w:r>
      <w:r>
        <w:rPr>
          <w:rFonts w:ascii="Times New Roman" w:cs="Times New Roman" w:eastAsia="Times New Roman" w:hAnsi="Times New Roman"/>
        </w:rPr>
        <w:t xml:space="preserve"> = −0.8 (a 55 percent fall among assimilators), </w:t>
      </w:r>
      <w:r>
        <w:rPr>
          <w:rFonts w:ascii="Times New Roman" w:cs="Times New Roman" w:eastAsia="Times New Roman" w:hAnsi="Times New Roman"/>
          <w:i/>
        </w:rPr>
        <w:t>A</w:t>
      </w:r>
      <w:r>
        <w:rPr>
          <w:rFonts w:ascii="Times New Roman" w:cs="Times New Roman" w:eastAsia="Times New Roman" w:hAnsi="Times New Roman"/>
        </w:rPr>
        <w:t xml:space="preserve">ᵃ ≥ 0.34. Table 6 reports the first year in which acquisition would reach these shares if its log-odds rose at the 2023–2025 pace of text-generation AI (about 0.75 per year) or at two-thirds or one-third of that pace. Because </w:t>
      </w:r>
      <w:r>
        <w:rPr>
          <w:rFonts w:ascii="Times New Roman" w:cs="Times New Roman" w:eastAsia="Times New Roman" w:hAnsi="Times New Roman"/>
          <w:i/>
        </w:rPr>
        <w:t>A</w:t>
      </w:r>
      <w:r>
        <w:rPr>
          <w:rFonts w:ascii="Times New Roman" w:cs="Times New Roman" w:eastAsia="Times New Roman" w:hAnsi="Times New Roman"/>
        </w:rPr>
        <w:t xml:space="preserve">ᵃ ≤ </w:t>
      </w:r>
      <w:r>
        <w:rPr>
          <w:rFonts w:ascii="Times New Roman" w:cs="Times New Roman" w:eastAsia="Times New Roman" w:hAnsi="Times New Roman"/>
          <w:i/>
        </w:rPr>
        <w:t>A</w:t>
      </w:r>
      <w:r>
        <w:rPr>
          <w:rFonts w:ascii="Times New Roman" w:cs="Times New Roman" w:eastAsia="Times New Roman" w:hAnsi="Times New Roman"/>
        </w:rPr>
        <w:t>ᵘ, these are the earliest possible detection dates; any persistent assimilation gap pushes them later. The standard error will change as post-2022 years accumulate, so the dates are conditional on the precision of the current design.</w:t>
      </w:r>
    </w:p>
    <w:p>
      <w:pPr>
        <w:keepNext/>
        <w:spacing w:after="80" w:before="200"/>
      </w:pPr>
      <w:r>
        <w:rPr>
          <w:rFonts w:ascii="Times New Roman" w:cs="Times New Roman" w:eastAsia="Times New Roman" w:hAnsi="Times New Roman"/>
          <w:bCs/>
          <w:sz w:val="21"/>
          <w:szCs w:val="21"/>
        </w:rPr>
        <w:t>Table 6. Earliest year in which complete assimilation would become detectable, European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20"/>
        <w:gridCol w:w="1820"/>
        <w:gridCol w:w="1820"/>
      </w:tblGrid>
      <w:tr>
        <w:trPr>
          <w:tblHeader/>
        </w:trPr>
        <w:tc>
          <w:tcPr>
            <w:tcW w:type="dxa" w:w="22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β among assimilators</w:t>
            </w:r>
          </w:p>
        </w:tc>
        <w:tc>
          <w:tcPr>
            <w:tcW w:type="dxa" w:w="170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Required Aᵃ</w:t>
            </w:r>
          </w:p>
        </w:tc>
        <w:tc>
          <w:tcPr>
            <w:tcW w:type="dxa" w:w="182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Fast (all / media)</w:t>
            </w:r>
          </w:p>
        </w:tc>
        <w:tc>
          <w:tcPr>
            <w:tcW w:type="dxa" w:w="182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Medium (all / media)</w:t>
            </w:r>
          </w:p>
        </w:tc>
        <w:tc>
          <w:tcPr>
            <w:tcW w:type="dxa" w:w="1820"/>
            <w:tcBorders>
              <w:top w:val="single" w:color="808080" w:sz="4"/>
              <w:left w:val="none" w:color="FFFFFF" w:sz="0"/>
              <w:bottom w:val="single" w:color="808080" w:sz="4"/>
              <w:right w:val="none" w:color="FFFFFF" w:sz="0"/>
            </w:tcBorders>
            <w:shd w:fill="EDEDED" w:color="auto" w:val="clear"/>
            <w:tcMar>
              <w:top w:type="dxa" w:w="60"/>
              <w:left w:type="dxa" w:w="90"/>
              <w:bottom w:type="dxa" w:w="60"/>
              <w:right w:type="dxa" w:w="90"/>
            </w:tcMar>
          </w:tcPr>
          <w:p>
            <w:pPr>
              <w:spacing w:line="240" w:lineRule="auto"/>
              <w:jc w:val="left"/>
            </w:pPr>
            <w:r>
              <w:rPr>
                <w:rFonts w:ascii="Times New Roman" w:cs="Times New Roman" w:eastAsia="Times New Roman" w:hAnsi="Times New Roman"/>
                <w:b/>
                <w:bCs/>
                <w:sz w:val="19"/>
                <w:szCs w:val="19"/>
              </w:rPr>
              <w:t xml:space="preserve">Slow (all / media)</w:t>
            </w:r>
          </w:p>
        </w:tc>
      </w:tr>
      <w:tr>
        <w:trPr>
          <w:tblHeader w:val="false"/>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−0.19 (−17%)</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above 100%</w:t>
            </w:r>
          </w:p>
        </w:tc>
        <w:tc>
          <w:tcPr>
            <w:tcW w:type="dxa" w:w="182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never</w:t>
            </w:r>
          </w:p>
        </w:tc>
        <w:tc>
          <w:tcPr>
            <w:tcW w:type="dxa" w:w="182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never</w:t>
            </w:r>
          </w:p>
        </w:tc>
        <w:tc>
          <w:tcPr>
            <w:tcW w:type="dxa" w:w="182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never</w:t>
            </w:r>
          </w:p>
        </w:tc>
      </w:tr>
      <w:tr>
        <w:trPr>
          <w:tblHeader w:val="false"/>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−0.50 (−39%)</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72%</w:t>
            </w:r>
          </w:p>
        </w:tc>
        <w:tc>
          <w:tcPr>
            <w:tcW w:type="dxa" w:w="182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2029 / 2027</w:t>
            </w:r>
          </w:p>
        </w:tc>
        <w:tc>
          <w:tcPr>
            <w:tcW w:type="dxa" w:w="182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2031 / 2028</w:t>
            </w:r>
          </w:p>
        </w:tc>
        <w:tc>
          <w:tcPr>
            <w:tcW w:type="dxa" w:w="1820"/>
            <w:tcBorders>
              <w:top w:val="none" w:color="FFFFFF" w:sz="0"/>
              <w:left w:val="none" w:color="FFFFFF" w:sz="0"/>
              <w:bottom w:val="none" w:color="FFFFFF" w:sz="0"/>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2037 / 2031</w:t>
            </w:r>
          </w:p>
        </w:tc>
      </w:tr>
      <w:tr>
        <w:trPr>
          <w:tblHeader w:val="false"/>
        </w:trPr>
        <w:tc>
          <w:tcPr>
            <w:tcW w:type="dxa" w:w="220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−0.80 (−55%)</w:t>
            </w:r>
          </w:p>
        </w:tc>
        <w:tc>
          <w:tcPr>
            <w:tcW w:type="dxa" w:w="170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45%</w:t>
            </w:r>
          </w:p>
        </w:tc>
        <w:tc>
          <w:tcPr>
            <w:tcW w:type="dxa" w:w="182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2027 / 2025</w:t>
            </w:r>
          </w:p>
        </w:tc>
        <w:tc>
          <w:tcPr>
            <w:tcW w:type="dxa" w:w="182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2029 / 2025</w:t>
            </w:r>
          </w:p>
        </w:tc>
        <w:tc>
          <w:tcPr>
            <w:tcW w:type="dxa" w:w="1820"/>
            <w:tcBorders>
              <w:top w:val="none" w:color="FFFFFF" w:sz="0"/>
              <w:left w:val="none" w:color="FFFFFF" w:sz="0"/>
              <w:bottom w:val="single" w:color="808080" w:sz="4"/>
              <w:right w:val="none" w:color="FFFFFF" w:sz="0"/>
            </w:tcBorders>
            <w:tcMar>
              <w:top w:type="dxa" w:w="60"/>
              <w:left w:type="dxa" w:w="90"/>
              <w:bottom w:type="dxa" w:w="60"/>
              <w:right w:type="dxa" w:w="90"/>
            </w:tcMar>
          </w:tcPr>
          <w:p>
            <w:pPr>
              <w:spacing w:line="240" w:lineRule="auto"/>
              <w:jc w:val="left"/>
            </w:pPr>
            <w:r>
              <w:rPr>
                <w:rFonts w:ascii="Times New Roman" w:cs="Times New Roman" w:eastAsia="Times New Roman" w:hAnsi="Times New Roman"/>
                <w:b w:val="false"/>
                <w:bCs w:val="false"/>
                <w:sz w:val="19"/>
                <w:szCs w:val="19"/>
              </w:rPr>
              <w:t xml:space="preserve">2033 / 2026</w:t>
            </w:r>
          </w:p>
        </w:tc>
      </w:tr>
    </w:tbl>
    <w:p>
      <w:pPr>
        <w:spacing w:after="200" w:before="60"/>
      </w:pPr>
      <w:r>
        <w:rPr>
          <w:rFonts w:ascii="Times New Roman" w:cs="Times New Roman" w:eastAsia="Times New Roman" w:hAnsi="Times New Roman"/>
          <w:iCs/>
          <w:sz w:val="19"/>
          <w:szCs w:val="19"/>
        </w:rPr>
        <w:t>Notes. Paths start in 2025 at 9.6 percent (all firms) or 36.2 percent (publishing, film, and broadcasting) with log-odds slopes of 0.75 (fast), 0.50 (medium), and 0.25 (slow) per year. Detection threshold: 2.8 × the 2024 standard error (0.017) × k = 5.7 ≈ 0.28. Each entry is the year in which the required share is first reached. Dates assume Aᵃ = Aᵘ and are lower bounds.</w:t>
      </w:r>
    </w:p>
    <w:p>
      <w:pPr>
        <w:spacing w:after="160" w:line="480" w:lineRule="auto"/>
        <w:jc w:val="left"/>
      </w:pPr>
      <w:r>
        <w:rPr>
          <w:rFonts w:ascii="Times New Roman" w:cs="Times New Roman" w:eastAsia="Times New Roman" w:hAnsi="Times New Roman"/>
        </w:rPr>
        <w:t>The table is not a forecast of displacement. Its purpose is to show that, for substitution effects of the size observed on platforms, aggregate occupational data will remain uninformative for the foreseeable future, and that even large effects require assimilation to reach most employers before they can be seen. The media entries for β = −0.8 are already within reach in 2025, because that sector’s acquisition rate exceeds the required share. They show that only very large effects concentrated in high-acquisition sectors could already be detectable, and even these assume that every acquiring employer has assimilated the tool. Questions about generative-AI assimilation in standing occupations will have to be answered with firm-level data.</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9 A FIRM-LEVEL DESIGN THAT WOULD DISCRIMINATE</w:t>
      </w:r>
    </w:p>
    <w:p>
      <w:pPr>
        <w:spacing w:after="160" w:line="480" w:lineRule="auto"/>
        <w:jc w:val="left"/>
      </w:pPr>
      <w:r>
        <w:rPr>
          <w:rFonts w:ascii="Times New Roman" w:cs="Times New Roman" w:eastAsia="Times New Roman" w:hAnsi="Times New Roman"/>
        </w:rPr>
        <w:t>The accounts in Table 1 differ in what they predict for firms that report use. A design that discriminates among them needs four linked measures at the firm level: reported use of visual generators, the stock of complementary assets, task reassignment for visual production, and hiring for visual occupations. Several data sources could provide them. Eurostat ICT-usage microdata can be linked to employer-employee registers in some member states through national statistical offices; online job advertisements carrying employer identifiers can record both hiring for visual occupations and requests for generative-AI skills; and a purpose-built survey of acquiring firms can measure the three assets and the share of visual tasks reassigned.</w:t>
      </w:r>
    </w:p>
    <w:p>
      <w:pPr>
        <w:spacing w:after="160" w:line="480" w:lineRule="auto"/>
        <w:jc w:val="left"/>
      </w:pPr>
      <w:r>
        <w:rPr>
          <w:rFonts w:ascii="Times New Roman" w:cs="Times New Roman" w:eastAsia="Times New Roman" w:hAnsi="Times New Roman"/>
        </w:rPr>
        <w:t xml:space="preserve">The predictions are specific. Under the assimilation gap, task reassignment among users is low on average and rises with expertise, review capacity, and compliance procedures, and hiring for visual occupations falls, if at all, only among users with high asset stocks. Under complete assimilation with net substitution, users cut visual hiring relative to non-users regardless of asset stocks. Under offsetting scale effects, users reassign tasks but their visual hiring does not fall, and their job adverts shift toward direction, selection, and review. Under capability failure, users do not reassign tasks even when assets are present. Each prediction can be falsified by a single well-measured comparison, and the asset measures make the test one of mechanism rather than of association between use and hiring.</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10 DISCUSSION</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10.1 Contributions to Information Systems Research</w:t>
      </w:r>
    </w:p>
    <w:p>
      <w:pPr>
        <w:spacing w:after="160" w:line="480" w:lineRule="auto"/>
        <w:jc w:val="left"/>
      </w:pPr>
      <w:r>
        <w:rPr>
          <w:rFonts w:ascii="Times New Roman" w:cs="Times New Roman" w:eastAsia="Times New Roman" w:hAnsi="Times New Roman"/>
        </w:rPr>
        <w:t xml:space="preserve">Assimilation research was built on technologies whose acquisition was costly. Generative AI reverses that condition. When acquisition is nearly free, the decision to acquire carries little information about the decision to reorganize work, and the gap between the two can widen as adoption statistics rise. The complementary-asset account developed here gives that gap a precise location: review cost, which depends on expertise, review capacity, and compliance procedures rather than on the model. This adds a mechanism to IT-complementarity research for a class of technologies in which the bottleneck is judging output rather than producing it.</w:t>
      </w:r>
    </w:p>
    <w:p>
      <w:pPr>
        <w:spacing w:after="160" w:line="480" w:lineRule="auto"/>
        <w:jc w:val="left"/>
      </w:pPr>
      <w:r>
        <w:rPr>
          <w:rFonts w:ascii="Times New Roman" w:cs="Times New Roman" w:eastAsia="Times New Roman" w:hAnsi="Times New Roman"/>
        </w:rPr>
        <w:t>The paper also offers a methodological caution for a fast-growing literature. Exposure-based hiring designs are widely used to study generative AI, and their estimates are often read as early effects of the technology. The detectability bound shows that, for standing occupations and at current acquisition rates, these designs cannot detect plausible assimilation effects, and that gradients they do detect can be no larger than a trend that preceded the technology. The bound is simple enough to be reported alongside any such estimate, and doing so would prevent both false alarms and false reassurance.</w:t>
      </w:r>
    </w:p>
    <w:p>
      <w:pPr>
        <w:spacing w:after="160" w:line="480" w:lineRule="auto"/>
        <w:jc w:val="left"/>
      </w:pPr>
      <w:r>
        <w:rPr>
          <w:rFonts w:ascii="Times New Roman" w:cs="Times New Roman" w:eastAsia="Times New Roman" w:hAnsi="Times New Roman"/>
        </w:rPr>
        <w:t>A related reading is that falling demand for visual-production occupations reflects structural change in industries, such as shifts in how marketing and media content is produced and bought, and that generative AI accelerates change already under way rather than starting it. Our evidence is compatible with this reading. The European gradient was already moving in the same direction before 2022 (−0.007 per year, not statistically significant), and the estimates depend on the language-exposure control. In the model, acceleration enters through the acceptance threshold: the technology lowers the cost of review and generation for tasks in industries that were already reducing their demand for them, so assimilation is most likely where structural pressure exists. Country-year fixed effects absorb economy-wide shocks but not industry-specific restructuring, and the industry employment series in Section 7.3 show no contraction in the creative industries. Public data cannot show what happened to visual-production occupations within those industries, so the within-industry reading is a hypothesis rather than a finding. Separating the two requires firm-level data that observe an employer’s industry, its use of the tool, and its hiring together.</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10.2 A Macroeconomic Reading</w:t>
      </w:r>
    </w:p>
    <w:p>
      <w:pPr>
        <w:spacing w:after="160" w:line="480" w:lineRule="auto"/>
        <w:jc w:val="left"/>
      </w:pPr>
      <w:r>
        <w:rPr>
          <w:rFonts w:ascii="Times New Roman" w:cs="Times New Roman" w:eastAsia="Times New Roman" w:hAnsi="Times New Roman"/>
        </w:rPr>
        <w:t>The results fit a standard macroeconomic account of technology shocks. General-purpose technologies take effect only after complementary investments in organization and skills, so adoption can run ahead of measured effects (Bresnahan &amp; Trajtenberg, 1995; Brynjolfsson et al., 2021; David, 1990). The task-based framework (Acemoglu &amp; Restrepo, 2018, 2019) splits the labor-market effect of a technology into displacement, reinstatement, and productivity components, and equation (3) shows that the net effect on an occupation depends on how much review labor remains and on how elastic demand for visual output is. Because review is a bottleneck task (Baumol, 1967), better generation alone does not remove the labor that review requires, and the complements that govern assimilation also govern how much labor assimilation saves. If generative AI is a general-purpose technology, (Eloundou et al., 2023), the experience of earlier general-purpose technologies suggests that its labor-market effects appear after complementary investments accumulate. Our results are consistent with this reading but do not test it.</w:t>
      </w:r>
    </w:p>
    <w:p>
      <w:pPr>
        <w:spacing w:after="160" w:line="480" w:lineRule="auto"/>
        <w:jc w:val="left"/>
      </w:pPr>
      <w:r>
        <w:rPr>
          <w:rFonts w:ascii="Times New Roman" w:cs="Times New Roman" w:eastAsia="Times New Roman" w:hAnsi="Times New Roman"/>
        </w:rPr>
        <w:t>Two features of labor adjustment shape what data can show. Employers reduce workforces mainly through attrition, so hiring falls first and employment follows at the pace of separations (Proposition 3). Employment series can therefore show no contraction for years after assimilation begins, and an observed fall does not by itself identify the technology. Technology also often accelerates change already under way, such as the movement of labor out of industries in structural decline, which enters the model as an earlier and lower target employment. The usual macroeconomic expectation is that technology shocks appear as reallocation across tasks, occupations, and industries before they appear in aggregate employment. We study occupations and sectors, not aggregates, and say nothing about unemployment or aggregate productivity.</w:t>
      </w:r>
    </w:p>
    <w:p>
      <w:pPr>
        <w:spacing w:after="160" w:line="480" w:lineRule="auto"/>
        <w:jc w:val="left"/>
      </w:pPr>
      <w:r>
        <w:rPr>
          <w:rFonts w:ascii="Times New Roman" w:cs="Times New Roman" w:eastAsia="Times New Roman" w:hAnsi="Times New Roman"/>
        </w:rPr>
        <w:t>On timing, the evidence supports neither a prediction that effects will take decades nor the view that the future cannot be known. Table 6 gives earliest detection dates that range from 2025 for very large effects in high-acquisition sectors to 2035 for moderate effects under slow diffusion in the average firm, and never, in this design, for platform-sized effects. What the data cannot say is whether assimilation is occurring now. Answering that requires firm-level data that link use, complementary assets, task reassignment, and hiring.</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10.3 Implications</w:t>
      </w:r>
    </w:p>
    <w:p>
      <w:pPr>
        <w:spacing w:after="160" w:line="480" w:lineRule="auto"/>
        <w:jc w:val="left"/>
      </w:pPr>
      <w:r>
        <w:rPr>
          <w:rFonts w:ascii="Times New Roman" w:cs="Times New Roman" w:eastAsia="Times New Roman" w:hAnsi="Times New Roman"/>
        </w:rPr>
        <w:t xml:space="preserve">For researchers, the implication is to report the acquisition rate and reference effect size that an exposure estimate would require, and to treat estimates that exceed that requirement, or that predate the technology, as evidence about something else. For managers, the barrier evidence suggests that the constraints on using generative visual tools are organizational: review capacity and policies for copyright and personal data are complements to the tool, and waiting for better models will not build them. For statistical agencies and policymakers, a rising use indicator should not be read as rising task reassignment, and a small hiring response should not be read as evidence that the response will remain small. Adding questions on task reassignment and on review and compliance practices to enterprise surveys would make the gap directly measurable.</w:t>
      </w:r>
    </w:p>
    <w:p>
      <w:pPr>
        <w:pStyle w:val="Heading2"/>
        <w:keepNext/>
        <w:spacing w:after="120" w:before="240" w:line="240" w:lineRule="auto"/>
        <w:jc w:val="center"/>
      </w:pPr>
      <w:r>
        <w:rPr>
          <w:rFonts w:ascii="Times New Roman" w:cs="Times New Roman" w:eastAsia="Times New Roman" w:hAnsi="Times New Roman"/>
          <w:b/>
          <w:bCs/>
          <w:i w:val="0"/>
          <w:color w:val="000000"/>
          <w:sz w:val="24"/>
          <w:szCs w:val="24"/>
        </w:rPr>
        <w:t>10.4 Limitations</w:t>
      </w:r>
    </w:p>
    <w:p>
      <w:pPr>
        <w:spacing w:after="160" w:line="480" w:lineRule="auto"/>
        <w:jc w:val="left"/>
      </w:pPr>
      <w:r>
        <w:rPr>
          <w:rFonts w:ascii="Times New Roman" w:cs="Times New Roman" w:eastAsia="Times New Roman" w:hAnsi="Times New Roman"/>
        </w:rPr>
        <w:t>We do not observe assimilation. The barrier items refer to AI in general and to firms that considered it, so they speak to the acquisition margin only. The hiring series are experimental, measure adverts or vacancies rather than employment, and would miss substitution through hours, outsourcing, or freelancing. Exposure is measured with low reliability. Acquisition rates are sector averages and do not identify the employers of particular occupations. We study occupations and sectors, not aggregate employment or productivity, and the macroeconomic reading in Section 10.2 interprets the results through the model rather than testing it. The detectability bound rests on a linear mapping from exposure to the visual share of work and on reference effect sizes from platforms, and both could be refined; however, plausible changes alter the numbers in Tables 5 and 6 without changing the conclusion that current designs lack the power to detect complete assimilation at platform-sized effects.</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11 CONCLUSION</w:t>
      </w:r>
    </w:p>
    <w:p>
      <w:pPr>
        <w:spacing w:after="160" w:line="480" w:lineRule="auto"/>
        <w:jc w:val="left"/>
      </w:pPr>
      <w:r>
        <w:rPr>
          <w:rFonts w:ascii="Times New Roman" w:cs="Times New Roman" w:eastAsia="Times New Roman" w:hAnsi="Times New Roman"/>
        </w:rPr>
        <w:t>Generative visual AI has been widely acquired: about one in ten European firms used it in 2025, and about one in three in publishing, film, and broadcasting. Firms that considered AI and did not adopt it point to missing expertise, legal uncertainty, and data protection rather than to a tool that is not useful. The theory developed here explains why such complements govern assimilation and why near-free acquisition can let adoption statistics run ahead of any change in work. In macroeconomic terms, general-purpose technologies, task-based labor demand, bottleneck tasks, and attrition-based adjustment together imply that effects reach hiring and employment with a lag and unevenly across occupations. The empirical lesson is equally important. So far, occupation-level hiring data show no detectable labor-market effect of generative visual AI: the exposure gradients are small, imprecise, and no larger than the trend that preceded the technology. That is not evidence of no effect, because these designs could not have detected complete assimilation at platform-sized effects and cannot tell whether acquisition has been assimilated. Answering the question requires linking firms’ use, their complementary assets, and their hiring, and this paper specifies what that evidence would have to show.</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DATA, CODE, AND USE OF GENERATIVE AI</w:t>
      </w:r>
    </w:p>
    <w:p>
      <w:pPr>
        <w:spacing w:after="160" w:line="480" w:lineRule="auto"/>
        <w:jc w:val="left"/>
      </w:pPr>
      <w:r>
        <w:rPr>
          <w:rFonts w:ascii="Times New Roman" w:cs="Times New Roman" w:eastAsia="Times New Roman" w:hAnsi="Times New Roman"/>
        </w:rPr>
        <w:t>All data are public (Eurostat, Statistics Canada, U.S. Census Bureau, O*NET, Indeed Hiring Lab). Code, prompts, task scores, and human coding files required to reproduce the tables are available in an anonymized replication repository. Large language models were used as measurement instruments to code task statements. A generative AI assistant was used to help write analysis code and to draft and edit the manuscript. The authors reviewed all results, text, and code and take responsibility for the content.</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APPENDIX A. RUBRICS</w:t>
      </w:r>
    </w:p>
    <w:p>
      <w:pPr>
        <w:spacing w:after="160" w:line="480" w:lineRule="auto"/>
        <w:jc w:val="left"/>
      </w:pPr>
      <w:r>
        <w:rPr>
          <w:rFonts w:ascii="Times New Roman" w:cs="Times New Roman" w:eastAsia="Times New Roman" w:hAnsi="Times New Roman"/>
          <w:b/>
          <w:bCs/>
        </w:rPr>
        <w:t xml:space="preserve">Visual content creation (primary).</w:t>
      </w:r>
      <w:r>
        <w:rPr>
          <w:rFonts w:ascii="Times New Roman" w:cs="Times New Roman" w:eastAsia="Times New Roman" w:hAnsi="Times New Roman"/>
        </w:rPr>
        <w:t xml:space="preserve"> Score 2 if producing or editing visual content is central to the task; 1 if visual content is a partial or supporting product; 0 otherwise. Reading, inspecting, writing, and audio production do not count. Technical drawings count only when the task is about producing them as drawings or graphics.</w:t>
      </w:r>
    </w:p>
    <w:p>
      <w:pPr>
        <w:spacing w:after="160" w:line="480" w:lineRule="auto"/>
        <w:jc w:val="left"/>
      </w:pPr>
      <w:r>
        <w:rPr>
          <w:rFonts w:ascii="Times New Roman" w:cs="Times New Roman" w:eastAsia="Times New Roman" w:hAnsi="Times New Roman"/>
          <w:b/>
          <w:bCs/>
        </w:rPr>
        <w:t xml:space="preserve">Broad visual materials (exploratory).</w:t>
      </w:r>
      <w:r>
        <w:rPr>
          <w:rFonts w:ascii="Times New Roman" w:cs="Times New Roman" w:eastAsia="Times New Roman" w:hAnsi="Times New Roman"/>
        </w:rPr>
        <w:t xml:space="preserve"> Score 2 if producing, designing, or editing visual or aesthetic output is the core of the task; 1 if the task works with visual materials without that core; 0 otherwise. Tasks are not scored merely because the worker must see to do them. This rubric was written after inspecting one coder’s scores on a first half-sample and is reported only as exploratory.</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APPENDIX B. DERIVATION OF THE DETECTABILITY BOUND</w:t>
      </w:r>
    </w:p>
    <w:p>
      <w:pPr>
        <w:spacing w:after="160" w:line="480" w:lineRule="auto"/>
        <w:jc w:val="left"/>
      </w:pPr>
      <w:r>
        <w:rPr>
          <w:rFonts w:ascii="Times New Roman" w:cs="Times New Roman" w:eastAsia="Times New Roman" w:hAnsi="Times New Roman"/>
        </w:rPr>
        <w:t xml:space="preserve">Let exposure </w:t>
      </w:r>
      <w:r>
        <w:rPr>
          <w:rFonts w:ascii="Times New Roman" w:cs="Times New Roman" w:eastAsia="Times New Roman" w:hAnsi="Times New Roman"/>
          <w:i/>
        </w:rPr>
        <w:t>e</w:t>
      </w:r>
      <w:r>
        <w:rPr>
          <w:rFonts w:ascii="Times New Roman" w:cs="Times New Roman" w:eastAsia="Times New Roman" w:hAnsi="Times New Roman"/>
        </w:rPr>
        <w:t xml:space="preserve">ⱼ be proportional to the visual share of work, </w:t>
      </w:r>
      <w:r>
        <w:rPr>
          <w:rFonts w:ascii="Times New Roman" w:cs="Times New Roman" w:eastAsia="Times New Roman" w:hAnsi="Times New Roman"/>
          <w:i/>
        </w:rPr>
        <w:t>e</w:t>
      </w:r>
      <w:r>
        <w:rPr>
          <w:rFonts w:ascii="Times New Roman" w:cs="Times New Roman" w:eastAsia="Times New Roman" w:hAnsi="Times New Roman"/>
        </w:rPr>
        <w:t xml:space="preserve">ⱼ = </w:t>
      </w:r>
      <w:r>
        <w:rPr>
          <w:rFonts w:ascii="Times New Roman" w:cs="Times New Roman" w:eastAsia="Times New Roman" w:hAnsi="Times New Roman"/>
          <w:i/>
        </w:rPr>
        <w:t>λs</w:t>
      </w:r>
      <w:r>
        <w:rPr>
          <w:rFonts w:ascii="Times New Roman" w:cs="Times New Roman" w:eastAsia="Times New Roman" w:hAnsi="Times New Roman"/>
        </w:rPr>
        <w:t xml:space="preserve">ⱼ, and let standardized exposure be </w:t>
      </w:r>
      <w:r>
        <w:rPr>
          <w:rFonts w:ascii="Times New Roman" w:cs="Times New Roman" w:eastAsia="Times New Roman" w:hAnsi="Times New Roman"/>
          <w:i/>
        </w:rPr>
        <w:t>z</w:t>
      </w:r>
      <w:r>
        <w:rPr>
          <w:rFonts w:ascii="Times New Roman" w:cs="Times New Roman" w:eastAsia="Times New Roman" w:hAnsi="Times New Roman"/>
        </w:rPr>
        <w:t>ⱼ = (</w:t>
      </w:r>
      <w:r>
        <w:rPr>
          <w:rFonts w:ascii="Times New Roman" w:cs="Times New Roman" w:eastAsia="Times New Roman" w:hAnsi="Times New Roman"/>
          <w:i/>
        </w:rPr>
        <w:t>e</w:t>
      </w:r>
      <w:r>
        <w:rPr>
          <w:rFonts w:ascii="Times New Roman" w:cs="Times New Roman" w:eastAsia="Times New Roman" w:hAnsi="Times New Roman"/>
        </w:rPr>
        <w:t xml:space="preserve">ⱼ − ē)/σₑ. If the most exposed occupation has </w:t>
      </w:r>
      <w:r>
        <w:rPr>
          <w:rFonts w:ascii="Times New Roman" w:cs="Times New Roman" w:eastAsia="Times New Roman" w:hAnsi="Times New Roman"/>
          <w:i/>
        </w:rPr>
        <w:t>s</w:t>
      </w:r>
      <w:r>
        <w:rPr>
          <w:rFonts w:ascii="Times New Roman" w:cs="Times New Roman" w:eastAsia="Times New Roman" w:hAnsi="Times New Roman"/>
        </w:rPr>
        <w:t xml:space="preserve">ⱼ ≈ 1 and </w:t>
      </w:r>
      <w:r>
        <w:rPr>
          <w:rFonts w:ascii="Times New Roman" w:cs="Times New Roman" w:eastAsia="Times New Roman" w:hAnsi="Times New Roman"/>
          <w:i/>
        </w:rPr>
        <w:t>z</w:t>
      </w:r>
      <w:r>
        <w:rPr>
          <w:rFonts w:ascii="Times New Roman" w:cs="Times New Roman" w:eastAsia="Times New Roman" w:hAnsi="Times New Roman"/>
        </w:rPr>
        <w:t xml:space="preserve">ⱼ = </w:t>
      </w:r>
      <w:r>
        <w:rPr>
          <w:rFonts w:ascii="Times New Roman" w:cs="Times New Roman" w:eastAsia="Times New Roman" w:hAnsi="Times New Roman"/>
          <w:i/>
        </w:rPr>
        <w:t>k</w:t>
      </w:r>
      <w:r>
        <w:rPr>
          <w:rFonts w:ascii="Times New Roman" w:cs="Times New Roman" w:eastAsia="Times New Roman" w:hAnsi="Times New Roman"/>
        </w:rPr>
        <w:t xml:space="preserve">, and if exposure near the mean is small relative to its maximum, then </w:t>
      </w:r>
      <w:r>
        <w:rPr>
          <w:rFonts w:ascii="Times New Roman" w:cs="Times New Roman" w:eastAsia="Times New Roman" w:hAnsi="Times New Roman"/>
          <w:i/>
        </w:rPr>
        <w:t>s</w:t>
      </w:r>
      <w:r>
        <w:rPr>
          <w:rFonts w:ascii="Times New Roman" w:cs="Times New Roman" w:eastAsia="Times New Roman" w:hAnsi="Times New Roman"/>
        </w:rPr>
        <w:t xml:space="preserve">ⱼ ≈ </w:t>
      </w:r>
      <w:r>
        <w:rPr>
          <w:rFonts w:ascii="Times New Roman" w:cs="Times New Roman" w:eastAsia="Times New Roman" w:hAnsi="Times New Roman"/>
          <w:i/>
        </w:rPr>
        <w:t>z</w:t>
      </w:r>
      <w:r>
        <w:rPr>
          <w:rFonts w:ascii="Times New Roman" w:cs="Times New Roman" w:eastAsia="Times New Roman" w:hAnsi="Times New Roman"/>
        </w:rPr>
        <w:t>ⱼ/</w:t>
      </w:r>
      <w:r>
        <w:rPr>
          <w:rFonts w:ascii="Times New Roman" w:cs="Times New Roman" w:eastAsia="Times New Roman" w:hAnsi="Times New Roman"/>
          <w:i/>
        </w:rPr>
        <w:t>k</w:t>
      </w:r>
      <w:r>
        <w:rPr>
          <w:rFonts w:ascii="Times New Roman" w:cs="Times New Roman" w:eastAsia="Times New Roman" w:hAnsi="Times New Roman"/>
        </w:rPr>
        <w:t xml:space="preserve"> over the relevant range. Substituting into equation (2) with </w:t>
      </w:r>
      <w:r>
        <w:rPr>
          <w:rFonts w:ascii="Times New Roman" w:cs="Times New Roman" w:eastAsia="Times New Roman" w:hAnsi="Times New Roman"/>
          <w:i/>
        </w:rPr>
        <w:t>A</w:t>
      </w:r>
      <w:r>
        <w:rPr>
          <w:rFonts w:ascii="Times New Roman" w:cs="Times New Roman" w:eastAsia="Times New Roman" w:hAnsi="Times New Roman"/>
        </w:rPr>
        <w:t xml:space="preserve">ᵃ = </w:t>
      </w:r>
      <w:r>
        <w:rPr>
          <w:rFonts w:ascii="Times New Roman" w:cs="Times New Roman" w:eastAsia="Times New Roman" w:hAnsi="Times New Roman"/>
          <w:i/>
        </w:rPr>
        <w:t>A</w:t>
      </w:r>
      <w:r>
        <w:rPr>
          <w:rFonts w:ascii="Times New Roman" w:cs="Times New Roman" w:eastAsia="Times New Roman" w:hAnsi="Times New Roman"/>
        </w:rPr>
        <w:t xml:space="preserve">ᵘ gives Δ ln </w:t>
      </w:r>
      <w:r>
        <w:rPr>
          <w:rFonts w:ascii="Times New Roman" w:cs="Times New Roman" w:eastAsia="Times New Roman" w:hAnsi="Times New Roman"/>
          <w:i/>
        </w:rPr>
        <w:t>N</w:t>
      </w:r>
      <w:r>
        <w:rPr>
          <w:rFonts w:ascii="Times New Roman" w:cs="Times New Roman" w:eastAsia="Times New Roman" w:hAnsi="Times New Roman"/>
        </w:rPr>
        <w:t>ⱼ ≈ (</w:t>
      </w:r>
      <w:r>
        <w:rPr>
          <w:rFonts w:ascii="Times New Roman" w:cs="Times New Roman" w:eastAsia="Times New Roman" w:hAnsi="Times New Roman"/>
          <w:i/>
        </w:rPr>
        <w:t>A</w:t>
      </w:r>
      <w:r>
        <w:rPr>
          <w:rFonts w:ascii="Times New Roman" w:cs="Times New Roman" w:eastAsia="Times New Roman" w:hAnsi="Times New Roman"/>
        </w:rPr>
        <w:t>ᵘ</w:t>
      </w:r>
      <w:r>
        <w:rPr>
          <w:rFonts w:ascii="Times New Roman" w:cs="Times New Roman" w:eastAsia="Times New Roman" w:hAnsi="Times New Roman"/>
          <w:i/>
        </w:rPr>
        <w:t>β</w:t>
      </w:r>
      <w:r>
        <w:rPr>
          <w:rFonts w:ascii="Times New Roman" w:cs="Times New Roman" w:eastAsia="Times New Roman" w:hAnsi="Times New Roman"/>
        </w:rPr>
        <w:t>/</w:t>
      </w:r>
      <w:r>
        <w:rPr>
          <w:rFonts w:ascii="Times New Roman" w:cs="Times New Roman" w:eastAsia="Times New Roman" w:hAnsi="Times New Roman"/>
          <w:i/>
        </w:rPr>
        <w:t>k</w:t>
      </w:r>
      <w:r>
        <w:rPr>
          <w:rFonts w:ascii="Times New Roman" w:cs="Times New Roman" w:eastAsia="Times New Roman" w:hAnsi="Times New Roman"/>
        </w:rPr>
        <w:t>)·</w:t>
      </w:r>
      <w:r>
        <w:rPr>
          <w:rFonts w:ascii="Times New Roman" w:cs="Times New Roman" w:eastAsia="Times New Roman" w:hAnsi="Times New Roman"/>
          <w:i/>
        </w:rPr>
        <w:t>z</w:t>
      </w:r>
      <w:r>
        <w:rPr>
          <w:rFonts w:ascii="Times New Roman" w:cs="Times New Roman" w:eastAsia="Times New Roman" w:hAnsi="Times New Roman"/>
        </w:rPr>
        <w:t xml:space="preserve">ⱼ, so the regression coefficient on </w:t>
      </w:r>
      <w:r>
        <w:rPr>
          <w:rFonts w:ascii="Times New Roman" w:cs="Times New Roman" w:eastAsia="Times New Roman" w:hAnsi="Times New Roman"/>
          <w:i/>
        </w:rPr>
        <w:t>z</w:t>
      </w:r>
      <w:r>
        <w:rPr>
          <w:rFonts w:ascii="Times New Roman" w:cs="Times New Roman" w:eastAsia="Times New Roman" w:hAnsi="Times New Roman"/>
        </w:rPr>
        <w:t xml:space="preserve">ⱼ under complete assimilation is </w:t>
      </w:r>
      <w:r>
        <w:rPr>
          <w:rFonts w:ascii="Times New Roman" w:cs="Times New Roman" w:eastAsia="Times New Roman" w:hAnsi="Times New Roman"/>
          <w:i/>
        </w:rPr>
        <w:t>γ</w:t>
      </w:r>
      <w:r>
        <w:rPr>
          <w:rFonts w:ascii="Times New Roman" w:cs="Times New Roman" w:eastAsia="Times New Roman" w:hAnsi="Times New Roman"/>
        </w:rPr>
        <w:t xml:space="preserve"> = </w:t>
      </w:r>
      <w:r>
        <w:rPr>
          <w:rFonts w:ascii="Times New Roman" w:cs="Times New Roman" w:eastAsia="Times New Roman" w:hAnsi="Times New Roman"/>
          <w:i/>
        </w:rPr>
        <w:t>A</w:t>
      </w:r>
      <w:r>
        <w:rPr>
          <w:rFonts w:ascii="Times New Roman" w:cs="Times New Roman" w:eastAsia="Times New Roman" w:hAnsi="Times New Roman"/>
        </w:rPr>
        <w:t>ᵘ</w:t>
      </w:r>
      <w:r>
        <w:rPr>
          <w:rFonts w:ascii="Times New Roman" w:cs="Times New Roman" w:eastAsia="Times New Roman" w:hAnsi="Times New Roman"/>
          <w:i/>
        </w:rPr>
        <w:t>β</w:t>
      </w:r>
      <w:r>
        <w:rPr>
          <w:rFonts w:ascii="Times New Roman" w:cs="Times New Roman" w:eastAsia="Times New Roman" w:hAnsi="Times New Roman"/>
        </w:rPr>
        <w:t>/</w:t>
      </w:r>
      <w:r>
        <w:rPr>
          <w:rFonts w:ascii="Times New Roman" w:cs="Times New Roman" w:eastAsia="Times New Roman" w:hAnsi="Times New Roman"/>
          <w:i/>
        </w:rPr>
        <w:t>k</w:t>
      </w:r>
      <w:r>
        <w:rPr>
          <w:rFonts w:ascii="Times New Roman" w:cs="Times New Roman" w:eastAsia="Times New Roman" w:hAnsi="Times New Roman"/>
        </w:rPr>
        <w:t>. The minimum detectable effect for a two-sided test of size 0.05 with power 0.8 is (1.96 + 0.84)·SE ≈ 2.8·SE. Detection for the most exposed occupation requires |</w:t>
      </w:r>
      <w:r>
        <w:rPr>
          <w:rFonts w:ascii="Times New Roman" w:cs="Times New Roman" w:eastAsia="Times New Roman" w:hAnsi="Times New Roman"/>
          <w:i/>
        </w:rPr>
        <w:t>A</w:t>
      </w:r>
      <w:r>
        <w:rPr>
          <w:rFonts w:ascii="Times New Roman" w:cs="Times New Roman" w:eastAsia="Times New Roman" w:hAnsi="Times New Roman"/>
        </w:rPr>
        <w:t>ᵃ</w:t>
      </w:r>
      <w:r>
        <w:rPr>
          <w:rFonts w:ascii="Times New Roman" w:cs="Times New Roman" w:eastAsia="Times New Roman" w:hAnsi="Times New Roman"/>
          <w:i/>
        </w:rPr>
        <w:t>β</w:t>
      </w:r>
      <w:r>
        <w:rPr>
          <w:rFonts w:ascii="Times New Roman" w:cs="Times New Roman" w:eastAsia="Times New Roman" w:hAnsi="Times New Roman"/>
        </w:rPr>
        <w:t>| ≥ 2.8·SE·</w:t>
      </w:r>
      <w:r>
        <w:rPr>
          <w:rFonts w:ascii="Times New Roman" w:cs="Times New Roman" w:eastAsia="Times New Roman" w:hAnsi="Times New Roman"/>
          <w:i/>
        </w:rPr>
        <w:t>k</w:t>
      </w:r>
      <w:r>
        <w:rPr>
          <w:rFonts w:ascii="Times New Roman" w:cs="Times New Roman" w:eastAsia="Times New Roman" w:hAnsi="Times New Roman"/>
        </w:rPr>
        <w:t xml:space="preserve">. With SE = 0.017 (Europe, 2024) and </w:t>
      </w:r>
      <w:r>
        <w:rPr>
          <w:rFonts w:ascii="Times New Roman" w:cs="Times New Roman" w:eastAsia="Times New Roman" w:hAnsi="Times New Roman"/>
          <w:i/>
        </w:rPr>
        <w:t>k</w:t>
      </w:r>
      <w:r>
        <w:rPr>
          <w:rFonts w:ascii="Times New Roman" w:cs="Times New Roman" w:eastAsia="Times New Roman" w:hAnsi="Times New Roman"/>
        </w:rPr>
        <w:t xml:space="preserve"> = 5.7 the threshold is 0.28. If mean exposure is not small relative to its maximum, </w:t>
      </w:r>
      <w:r>
        <w:rPr>
          <w:rFonts w:ascii="Times New Roman" w:cs="Times New Roman" w:eastAsia="Times New Roman" w:hAnsi="Times New Roman"/>
          <w:i/>
        </w:rPr>
        <w:t>k</w:t>
      </w:r>
      <w:r>
        <w:rPr>
          <w:rFonts w:ascii="Times New Roman" w:cs="Times New Roman" w:eastAsia="Times New Roman" w:hAnsi="Times New Roman"/>
        </w:rPr>
        <w:t xml:space="preserve"> overstates the effective spread and the implied </w:t>
      </w:r>
      <w:r>
        <w:rPr>
          <w:rFonts w:ascii="Times New Roman" w:cs="Times New Roman" w:eastAsia="Times New Roman" w:hAnsi="Times New Roman"/>
          <w:i/>
        </w:rPr>
        <w:t>γ</w:t>
      </w:r>
      <w:r>
        <w:rPr>
          <w:rFonts w:ascii="Times New Roman" w:cs="Times New Roman" w:eastAsia="Times New Roman" w:hAnsi="Times New Roman"/>
        </w:rPr>
        <w:t xml:space="preserve">* is somewhat larger, but for the values in Table 5 to cross the detection threshold the effective </w:t>
      </w:r>
      <w:r>
        <w:rPr>
          <w:rFonts w:ascii="Times New Roman" w:cs="Times New Roman" w:eastAsia="Times New Roman" w:hAnsi="Times New Roman"/>
          <w:i/>
        </w:rPr>
        <w:t>k</w:t>
      </w:r>
      <w:r>
        <w:rPr>
          <w:rFonts w:ascii="Times New Roman" w:cs="Times New Roman" w:eastAsia="Times New Roman" w:hAnsi="Times New Roman"/>
        </w:rPr>
        <w:t>* would need to fall below about 4 under the most aggressive scenario.</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APPENDIX C. DERIVATIONS FOR SECTION 3</w:t>
      </w:r>
    </w:p>
    <w:p>
      <w:pPr>
        <w:spacing w:after="160" w:line="480" w:lineRule="auto"/>
        <w:jc w:val="left"/>
      </w:pPr>
      <w:r>
        <w:rPr>
          <w:rFonts w:ascii="Times New Roman" w:cs="Times New Roman" w:eastAsia="Times New Roman" w:hAnsi="Times New Roman"/>
          <w:b/>
        </w:rPr>
        <w:t>Labor and cost ratios.</w:t>
      </w:r>
      <w:r>
        <w:rPr>
          <w:rFonts w:ascii="Times New Roman" w:cs="Times New Roman" w:eastAsia="Times New Roman" w:hAnsi="Times New Roman"/>
        </w:rPr>
        <w:t xml:space="preserve"> Human production of a unit takes </w:t>
      </w:r>
      <w:r>
        <w:rPr>
          <w:rFonts w:ascii="Times New Roman" w:cs="Times New Roman" w:eastAsia="Times New Roman" w:hAnsi="Times New Roman"/>
          <w:i/>
        </w:rPr>
        <w:t>h</w:t>
      </w:r>
      <w:r>
        <w:rPr>
          <w:rFonts w:ascii="Times New Roman" w:cs="Times New Roman" w:eastAsia="Times New Roman" w:hAnsi="Times New Roman"/>
        </w:rPr>
        <w:t xml:space="preserve"> hours. With the generator, a unit requires </w:t>
      </w:r>
      <w:r>
        <w:rPr>
          <w:rFonts w:ascii="Times New Roman" w:cs="Times New Roman" w:eastAsia="Times New Roman" w:hAnsi="Times New Roman"/>
          <w:i/>
        </w:rPr>
        <w:t>u</w:t>
      </w:r>
      <w:r>
        <w:rPr>
          <w:rFonts w:ascii="Times New Roman" w:cs="Times New Roman" w:eastAsia="Times New Roman" w:hAnsi="Times New Roman"/>
        </w:rPr>
        <w:t xml:space="preserve"> hours of review and, with probability 1 − </w:t>
      </w:r>
      <w:r>
        <w:rPr>
          <w:rFonts w:ascii="Times New Roman" w:cs="Times New Roman" w:eastAsia="Times New Roman" w:hAnsi="Times New Roman"/>
          <w:i/>
        </w:rPr>
        <w:t>a</w:t>
      </w:r>
      <w:r>
        <w:rPr>
          <w:rFonts w:ascii="Times New Roman" w:cs="Times New Roman" w:eastAsia="Times New Roman" w:hAnsi="Times New Roman"/>
        </w:rPr>
        <w:t xml:space="preserve">, </w:t>
      </w:r>
      <w:r>
        <w:rPr>
          <w:rFonts w:ascii="Times New Roman" w:cs="Times New Roman" w:eastAsia="Times New Roman" w:hAnsi="Times New Roman"/>
          <w:i/>
        </w:rPr>
        <w:t>h</w:t>
      </w:r>
      <w:r>
        <w:rPr>
          <w:rFonts w:ascii="Times New Roman" w:cs="Times New Roman" w:eastAsia="Times New Roman" w:hAnsi="Times New Roman"/>
        </w:rPr>
        <w:t xml:space="preserve"> hours of human production, so expected labor per unit is </w:t>
      </w:r>
      <w:r>
        <w:rPr>
          <w:rFonts w:ascii="Times New Roman" w:cs="Times New Roman" w:eastAsia="Times New Roman" w:hAnsi="Times New Roman"/>
          <w:i/>
        </w:rPr>
        <w:t>u</w:t>
      </w:r>
      <w:r>
        <w:rPr>
          <w:rFonts w:ascii="Times New Roman" w:cs="Times New Roman" w:eastAsia="Times New Roman" w:hAnsi="Times New Roman"/>
        </w:rPr>
        <w:t xml:space="preserve"> + (1 − </w:t>
      </w:r>
      <w:r>
        <w:rPr>
          <w:rFonts w:ascii="Times New Roman" w:cs="Times New Roman" w:eastAsia="Times New Roman" w:hAnsi="Times New Roman"/>
          <w:i/>
        </w:rPr>
        <w:t>a</w:t>
      </w:r>
      <w:r>
        <w:rPr>
          <w:rFonts w:ascii="Times New Roman" w:cs="Times New Roman" w:eastAsia="Times New Roman" w:hAnsi="Times New Roman"/>
        </w:rPr>
        <w:t>)</w:t>
      </w:r>
      <w:r>
        <w:rPr>
          <w:rFonts w:ascii="Times New Roman" w:cs="Times New Roman" w:eastAsia="Times New Roman" w:hAnsi="Times New Roman"/>
          <w:i/>
        </w:rPr>
        <w:t>h</w:t>
      </w:r>
      <w:r>
        <w:rPr>
          <w:rFonts w:ascii="Times New Roman" w:cs="Times New Roman" w:eastAsia="Times New Roman" w:hAnsi="Times New Roman"/>
        </w:rPr>
        <w:t xml:space="preserve"> = </w:t>
      </w:r>
      <w:r>
        <w:rPr>
          <w:rFonts w:ascii="Times New Roman" w:cs="Times New Roman" w:eastAsia="Times New Roman" w:hAnsi="Times New Roman"/>
          <w:i/>
        </w:rPr>
        <w:t>h</w:t>
      </w:r>
      <w:r>
        <w:rPr>
          <w:rFonts w:ascii="Times New Roman" w:cs="Times New Roman" w:eastAsia="Times New Roman" w:hAnsi="Times New Roman"/>
        </w:rPr>
        <w:t>(</w:t>
      </w:r>
      <w:r>
        <w:rPr>
          <w:rFonts w:ascii="Times New Roman" w:cs="Times New Roman" w:eastAsia="Times New Roman" w:hAnsi="Times New Roman"/>
          <w:i/>
        </w:rPr>
        <w:t>ρ</w:t>
      </w:r>
      <w:r>
        <w:rPr>
          <w:rFonts w:ascii="Times New Roman" w:cs="Times New Roman" w:eastAsia="Times New Roman" w:hAnsi="Times New Roman"/>
        </w:rPr>
        <w:t xml:space="preserve"> + 1 − </w:t>
      </w:r>
      <w:r>
        <w:rPr>
          <w:rFonts w:ascii="Times New Roman" w:cs="Times New Roman" w:eastAsia="Times New Roman" w:hAnsi="Times New Roman"/>
          <w:i/>
        </w:rPr>
        <w:t>a</w:t>
      </w:r>
      <w:r>
        <w:rPr>
          <w:rFonts w:ascii="Times New Roman" w:cs="Times New Roman" w:eastAsia="Times New Roman" w:hAnsi="Times New Roman"/>
        </w:rPr>
        <w:t xml:space="preserve">) with </w:t>
      </w:r>
      <w:r>
        <w:rPr>
          <w:rFonts w:ascii="Times New Roman" w:cs="Times New Roman" w:eastAsia="Times New Roman" w:hAnsi="Times New Roman"/>
          <w:i/>
        </w:rPr>
        <w:t>ρ</w:t>
      </w:r>
      <w:r>
        <w:rPr>
          <w:rFonts w:ascii="Times New Roman" w:cs="Times New Roman" w:eastAsia="Times New Roman" w:hAnsi="Times New Roman"/>
        </w:rPr>
        <w:t xml:space="preserve"> = </w:t>
      </w:r>
      <w:r>
        <w:rPr>
          <w:rFonts w:ascii="Times New Roman" w:cs="Times New Roman" w:eastAsia="Times New Roman" w:hAnsi="Times New Roman"/>
          <w:i/>
        </w:rPr>
        <w:t>u</w:t>
      </w:r>
      <w:r>
        <w:rPr>
          <w:rFonts w:ascii="Times New Roman" w:cs="Times New Roman" w:eastAsia="Times New Roman" w:hAnsi="Times New Roman"/>
        </w:rPr>
        <w:t>/</w:t>
      </w:r>
      <w:r>
        <w:rPr>
          <w:rFonts w:ascii="Times New Roman" w:cs="Times New Roman" w:eastAsia="Times New Roman" w:hAnsi="Times New Roman"/>
          <w:i/>
        </w:rPr>
        <w:t>h</w:t>
      </w:r>
      <w:r>
        <w:rPr>
          <w:rFonts w:ascii="Times New Roman" w:cs="Times New Roman" w:eastAsia="Times New Roman" w:hAnsi="Times New Roman"/>
        </w:rPr>
        <w:t xml:space="preserve"> = </w:t>
      </w:r>
      <w:r>
        <w:rPr>
          <w:rFonts w:ascii="Times New Roman" w:cs="Times New Roman" w:eastAsia="Times New Roman" w:hAnsi="Times New Roman"/>
          <w:i/>
        </w:rPr>
        <w:t>r</w:t>
      </w:r>
      <w:r>
        <w:rPr>
          <w:rFonts w:ascii="Times New Roman" w:cs="Times New Roman" w:eastAsia="Times New Roman" w:hAnsi="Times New Roman"/>
        </w:rPr>
        <w:t>/</w:t>
      </w:r>
      <w:r>
        <w:rPr>
          <w:rFonts w:ascii="Times New Roman" w:cs="Times New Roman" w:eastAsia="Times New Roman" w:hAnsi="Times New Roman"/>
          <w:i/>
        </w:rPr>
        <w:t>θ</w:t>
      </w:r>
      <w:r>
        <w:rPr>
          <w:rFonts w:ascii="Times New Roman" w:cs="Times New Roman" w:eastAsia="Times New Roman" w:hAnsi="Times New Roman"/>
        </w:rPr>
        <w:t xml:space="preserve"> at equal wages. Expected cost per unit is </w:t>
      </w:r>
      <w:r>
        <w:rPr>
          <w:rFonts w:ascii="Times New Roman" w:cs="Times New Roman" w:eastAsia="Times New Roman" w:hAnsi="Times New Roman"/>
          <w:i/>
        </w:rPr>
        <w:t>c</w:t>
      </w:r>
      <w:r>
        <w:rPr>
          <w:rFonts w:ascii="Times New Roman" w:cs="Times New Roman" w:eastAsia="Times New Roman" w:hAnsi="Times New Roman"/>
        </w:rPr>
        <w:t xml:space="preserve"> + </w:t>
      </w:r>
      <w:r>
        <w:rPr>
          <w:rFonts w:ascii="Times New Roman" w:cs="Times New Roman" w:eastAsia="Times New Roman" w:hAnsi="Times New Roman"/>
          <w:i/>
        </w:rPr>
        <w:t>r</w:t>
      </w:r>
      <w:r>
        <w:rPr>
          <w:rFonts w:ascii="Times New Roman" w:cs="Times New Roman" w:eastAsia="Times New Roman" w:hAnsi="Times New Roman"/>
        </w:rPr>
        <w:t xml:space="preserve"> + (1 − </w:t>
      </w:r>
      <w:r>
        <w:rPr>
          <w:rFonts w:ascii="Times New Roman" w:cs="Times New Roman" w:eastAsia="Times New Roman" w:hAnsi="Times New Roman"/>
          <w:i/>
        </w:rPr>
        <w:t>a</w:t>
      </w:r>
      <w:r>
        <w:rPr>
          <w:rFonts w:ascii="Times New Roman" w:cs="Times New Roman" w:eastAsia="Times New Roman" w:hAnsi="Times New Roman"/>
        </w:rPr>
        <w:t>)</w:t>
      </w:r>
      <w:r>
        <w:rPr>
          <w:rFonts w:ascii="Times New Roman" w:cs="Times New Roman" w:eastAsia="Times New Roman" w:hAnsi="Times New Roman"/>
          <w:i/>
        </w:rPr>
        <w:t>θ</w:t>
      </w:r>
      <w:r>
        <w:rPr>
          <w:rFonts w:ascii="Times New Roman" w:cs="Times New Roman" w:eastAsia="Times New Roman" w:hAnsi="Times New Roman"/>
        </w:rPr>
        <w:t xml:space="preserve"> = </w:t>
      </w:r>
      <w:r>
        <w:rPr>
          <w:rFonts w:ascii="Times New Roman" w:cs="Times New Roman" w:eastAsia="Times New Roman" w:hAnsi="Times New Roman"/>
          <w:i/>
        </w:rPr>
        <w:t>θκ</w:t>
      </w:r>
      <w:r>
        <w:rPr>
          <w:rFonts w:ascii="Times New Roman" w:cs="Times New Roman" w:eastAsia="Times New Roman" w:hAnsi="Times New Roman"/>
        </w:rPr>
        <w:t xml:space="preserve">. Output scales by </w:t>
      </w:r>
      <w:r>
        <w:rPr>
          <w:rFonts w:ascii="Times New Roman" w:cs="Times New Roman" w:eastAsia="Times New Roman" w:hAnsi="Times New Roman"/>
          <w:i/>
        </w:rPr>
        <w:t>κ</w:t>
      </w:r>
      <w:r>
        <w:rPr>
          <w:rFonts w:ascii="Times New Roman" w:cs="Times New Roman" w:eastAsia="Times New Roman" w:hAnsi="Times New Roman"/>
        </w:rPr>
        <w:t>^(−</w:t>
      </w:r>
      <w:r>
        <w:rPr>
          <w:rFonts w:ascii="Times New Roman" w:cs="Times New Roman" w:eastAsia="Times New Roman" w:hAnsi="Times New Roman"/>
          <w:i/>
        </w:rPr>
        <w:t>ε</w:t>
      </w:r>
      <w:r>
        <w:rPr>
          <w:rFonts w:ascii="Times New Roman" w:cs="Times New Roman" w:eastAsia="Times New Roman" w:hAnsi="Times New Roman"/>
        </w:rPr>
        <w:t xml:space="preserve">) under constant elasticity </w:t>
      </w:r>
      <w:r>
        <w:rPr>
          <w:rFonts w:ascii="Times New Roman" w:cs="Times New Roman" w:eastAsia="Times New Roman" w:hAnsi="Times New Roman"/>
          <w:i/>
        </w:rPr>
        <w:t>ε</w:t>
      </w:r>
      <w:r>
        <w:rPr>
          <w:rFonts w:ascii="Times New Roman" w:cs="Times New Roman" w:eastAsia="Times New Roman" w:hAnsi="Times New Roman"/>
        </w:rPr>
        <w:t xml:space="preserve">, so labor demand scales by (1 −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w:t>
      </w:r>
      <w:r>
        <w:rPr>
          <w:rFonts w:ascii="Times New Roman" w:cs="Times New Roman" w:eastAsia="Times New Roman" w:hAnsi="Times New Roman"/>
          <w:i/>
        </w:rPr>
        <w:t>κ</w:t>
      </w:r>
      <w:r>
        <w:rPr>
          <w:rFonts w:ascii="Times New Roman" w:cs="Times New Roman" w:eastAsia="Times New Roman" w:hAnsi="Times New Roman"/>
        </w:rPr>
        <w:t>^(−</w:t>
      </w:r>
      <w:r>
        <w:rPr>
          <w:rFonts w:ascii="Times New Roman" w:cs="Times New Roman" w:eastAsia="Times New Roman" w:hAnsi="Times New Roman"/>
          <w:i/>
        </w:rPr>
        <w:t>ε</w:t>
      </w:r>
      <w:r>
        <w:rPr>
          <w:rFonts w:ascii="Times New Roman" w:cs="Times New Roman" w:eastAsia="Times New Roman" w:hAnsi="Times New Roman"/>
        </w:rPr>
        <w:t>), which gives equation (3) after taking logarithms.</w:t>
      </w:r>
    </w:p>
    <w:p>
      <w:pPr>
        <w:spacing w:after="160" w:line="480" w:lineRule="auto"/>
        <w:jc w:val="left"/>
      </w:pPr>
      <w:r>
        <w:rPr>
          <w:rFonts w:ascii="Times New Roman" w:cs="Times New Roman" w:eastAsia="Times New Roman" w:hAnsi="Times New Roman"/>
          <w:b/>
        </w:rPr>
        <w:t>Proposition 2.</w:t>
      </w:r>
      <w:r>
        <w:rPr>
          <w:rFonts w:ascii="Times New Roman" w:cs="Times New Roman" w:eastAsia="Times New Roman" w:hAnsi="Times New Roman"/>
        </w:rPr>
        <w:t xml:space="preserve"> </w:t>
      </w:r>
      <w:r>
        <w:rPr>
          <w:rFonts w:ascii="Times New Roman" w:cs="Times New Roman" w:eastAsia="Times New Roman" w:hAnsi="Times New Roman"/>
          <w:i/>
        </w:rPr>
        <w:t>β</w:t>
      </w:r>
      <w:r>
        <w:rPr>
          <w:rFonts w:ascii="Times New Roman" w:cs="Times New Roman" w:eastAsia="Times New Roman" w:hAnsi="Times New Roman"/>
        </w:rPr>
        <w:t xml:space="preserve"> &lt; 0 if and only if ln(1 −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&lt; </w:t>
      </w:r>
      <w:r>
        <w:rPr>
          <w:rFonts w:ascii="Times New Roman" w:cs="Times New Roman" w:eastAsia="Times New Roman" w:hAnsi="Times New Roman"/>
          <w:i/>
        </w:rPr>
        <w:t>ε</w:t>
      </w:r>
      <w:r>
        <w:rPr>
          <w:rFonts w:ascii="Times New Roman" w:cs="Times New Roman" w:eastAsia="Times New Roman" w:hAnsi="Times New Roman"/>
        </w:rPr>
        <w:t xml:space="preserve"> ln </w:t>
      </w:r>
      <w:r>
        <w:rPr>
          <w:rFonts w:ascii="Times New Roman" w:cs="Times New Roman" w:eastAsia="Times New Roman" w:hAnsi="Times New Roman"/>
          <w:i/>
        </w:rPr>
        <w:t>κ</w:t>
      </w:r>
      <w:r>
        <w:rPr>
          <w:rFonts w:ascii="Times New Roman" w:cs="Times New Roman" w:eastAsia="Times New Roman" w:hAnsi="Times New Roman"/>
        </w:rPr>
        <w:t xml:space="preserve">. When </w:t>
      </w:r>
      <w:r>
        <w:rPr>
          <w:rFonts w:ascii="Times New Roman" w:cs="Times New Roman" w:eastAsia="Times New Roman" w:hAnsi="Times New Roman"/>
          <w:i/>
        </w:rPr>
        <w:t>γ</w:t>
      </w:r>
      <w:r>
        <w:rPr>
          <w:rFonts w:ascii="Times New Roman" w:cs="Times New Roman" w:eastAsia="Times New Roman" w:hAnsi="Times New Roman"/>
        </w:rPr>
        <w:t xml:space="preserve"> &gt; 0 and </w:t>
      </w:r>
      <w:r>
        <w:rPr>
          <w:rFonts w:ascii="Times New Roman" w:cs="Times New Roman" w:eastAsia="Times New Roman" w:hAnsi="Times New Roman"/>
          <w:i/>
        </w:rPr>
        <w:t>a</w:t>
      </w:r>
      <w:r>
        <w:rPr>
          <w:rFonts w:ascii="Times New Roman" w:cs="Times New Roman" w:eastAsia="Times New Roman" w:hAnsi="Times New Roman"/>
        </w:rPr>
        <w:t xml:space="preserve"> &gt; </w:t>
      </w:r>
      <w:r>
        <w:rPr>
          <w:rFonts w:ascii="Times New Roman" w:cs="Times New Roman" w:eastAsia="Times New Roman" w:hAnsi="Times New Roman"/>
          <w:i/>
        </w:rPr>
        <w:t>a</w:t>
      </w:r>
      <w:r>
        <w:rPr>
          <w:rFonts w:ascii="Times New Roman" w:cs="Times New Roman" w:eastAsia="Times New Roman" w:hAnsi="Times New Roman"/>
        </w:rPr>
        <w:t xml:space="preserve">*, 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&lt; </w:t>
      </w:r>
      <w:r>
        <w:rPr>
          <w:rFonts w:ascii="Times New Roman" w:cs="Times New Roman" w:eastAsia="Times New Roman" w:hAnsi="Times New Roman"/>
          <w:i/>
        </w:rPr>
        <w:t>κ</w:t>
      </w:r>
      <w:r>
        <w:rPr>
          <w:rFonts w:ascii="Times New Roman" w:cs="Times New Roman" w:eastAsia="Times New Roman" w:hAnsi="Times New Roman"/>
        </w:rPr>
        <w:t xml:space="preserve"> &lt; 1, so both logarithms are negative and |ln(1 −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&gt; |ln </w:t>
      </w:r>
      <w:r>
        <w:rPr>
          <w:rFonts w:ascii="Times New Roman" w:cs="Times New Roman" w:eastAsia="Times New Roman" w:hAnsi="Times New Roman"/>
          <w:i/>
        </w:rPr>
        <w:t>κ</w:t>
      </w:r>
      <w:r>
        <w:rPr>
          <w:rFonts w:ascii="Times New Roman" w:cs="Times New Roman" w:eastAsia="Times New Roman" w:hAnsi="Times New Roman"/>
        </w:rPr>
        <w:t xml:space="preserve">|. Dividing by ln </w:t>
      </w:r>
      <w:r>
        <w:rPr>
          <w:rFonts w:ascii="Times New Roman" w:cs="Times New Roman" w:eastAsia="Times New Roman" w:hAnsi="Times New Roman"/>
          <w:i/>
        </w:rPr>
        <w:t>κ</w:t>
      </w:r>
      <w:r>
        <w:rPr>
          <w:rFonts w:ascii="Times New Roman" w:cs="Times New Roman" w:eastAsia="Times New Roman" w:hAnsi="Times New Roman"/>
        </w:rPr>
        <w:t xml:space="preserve"> reverses the inequality: </w:t>
      </w:r>
      <w:r>
        <w:rPr>
          <w:rFonts w:ascii="Times New Roman" w:cs="Times New Roman" w:eastAsia="Times New Roman" w:hAnsi="Times New Roman"/>
          <w:i/>
        </w:rPr>
        <w:t>β</w:t>
      </w:r>
      <w:r>
        <w:rPr>
          <w:rFonts w:ascii="Times New Roman" w:cs="Times New Roman" w:eastAsia="Times New Roman" w:hAnsi="Times New Roman"/>
        </w:rPr>
        <w:t xml:space="preserve"> &lt; 0 if and only if </w:t>
      </w:r>
      <w:r>
        <w:rPr>
          <w:rFonts w:ascii="Times New Roman" w:cs="Times New Roman" w:eastAsia="Times New Roman" w:hAnsi="Times New Roman"/>
          <w:i/>
        </w:rPr>
        <w:t>ε</w:t>
      </w:r>
      <w:r>
        <w:rPr>
          <w:rFonts w:ascii="Times New Roman" w:cs="Times New Roman" w:eastAsia="Times New Roman" w:hAnsi="Times New Roman"/>
        </w:rPr>
        <w:t xml:space="preserve"> &lt; </w:t>
      </w:r>
      <w:r>
        <w:rPr>
          <w:rFonts w:ascii="Times New Roman" w:cs="Times New Roman" w:eastAsia="Times New Roman" w:hAnsi="Times New Roman"/>
          <w:i/>
        </w:rPr>
        <w:t>ε</w:t>
      </w:r>
      <w:r>
        <w:rPr>
          <w:rFonts w:ascii="Times New Roman" w:cs="Times New Roman" w:eastAsia="Times New Roman" w:hAnsi="Times New Roman"/>
        </w:rPr>
        <w:t xml:space="preserve">* = ln(1 −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 ln </w:t>
      </w:r>
      <w:r>
        <w:rPr>
          <w:rFonts w:ascii="Times New Roman" w:cs="Times New Roman" w:eastAsia="Times New Roman" w:hAnsi="Times New Roman"/>
          <w:i/>
        </w:rPr>
        <w:t>κ</w:t>
      </w:r>
      <w:r>
        <w:rPr>
          <w:rFonts w:ascii="Times New Roman" w:cs="Times New Roman" w:eastAsia="Times New Roman" w:hAnsi="Times New Roman"/>
        </w:rPr>
        <w:t xml:space="preserve">, and </w:t>
      </w:r>
      <w:r>
        <w:rPr>
          <w:rFonts w:ascii="Times New Roman" w:cs="Times New Roman" w:eastAsia="Times New Roman" w:hAnsi="Times New Roman"/>
          <w:i/>
        </w:rPr>
        <w:t>ε</w:t>
      </w:r>
      <w:r>
        <w:rPr>
          <w:rFonts w:ascii="Times New Roman" w:cs="Times New Roman" w:eastAsia="Times New Roman" w:hAnsi="Times New Roman"/>
        </w:rPr>
        <w:t xml:space="preserve">* &gt; 1. As </w:t>
      </w:r>
      <w:r>
        <w:rPr>
          <w:rFonts w:ascii="Times New Roman" w:cs="Times New Roman" w:eastAsia="Times New Roman" w:hAnsi="Times New Roman"/>
          <w:i/>
        </w:rPr>
        <w:t>γ</w:t>
      </w:r>
      <w:r>
        <w:rPr>
          <w:rFonts w:ascii="Times New Roman" w:cs="Times New Roman" w:eastAsia="Times New Roman" w:hAnsi="Times New Roman"/>
        </w:rPr>
        <w:t xml:space="preserve"> → 0, </w:t>
      </w:r>
      <w:r>
        <w:rPr>
          <w:rFonts w:ascii="Times New Roman" w:cs="Times New Roman" w:eastAsia="Times New Roman" w:hAnsi="Times New Roman"/>
          <w:i/>
        </w:rPr>
        <w:t>κ</w:t>
      </w:r>
      <w:r>
        <w:rPr>
          <w:rFonts w:ascii="Times New Roman" w:cs="Times New Roman" w:eastAsia="Times New Roman" w:hAnsi="Times New Roman"/>
        </w:rPr>
        <w:t xml:space="preserve"> → 1 − </w:t>
      </w:r>
      <w:r>
        <w:rPr>
          <w:rFonts w:ascii="Times New Roman" w:cs="Times New Roman" w:eastAsia="Times New Roman" w:hAnsi="Times New Roman"/>
          <w:i/>
        </w:rPr>
        <w:t>a</w:t>
      </w:r>
      <w:r>
        <w:rPr>
          <w:rFonts w:ascii="Times New Roman" w:cs="Times New Roman" w:eastAsia="Times New Roman" w:hAnsi="Times New Roman"/>
        </w:rPr>
        <w:t xml:space="preserve"> + </w:t>
      </w:r>
      <w:r>
        <w:rPr>
          <w:rFonts w:ascii="Times New Roman" w:cs="Times New Roman" w:eastAsia="Times New Roman" w:hAnsi="Times New Roman"/>
          <w:i/>
        </w:rPr>
        <w:t>ρ</w:t>
      </w:r>
      <w:r>
        <w:rPr>
          <w:rFonts w:ascii="Times New Roman" w:cs="Times New Roman" w:eastAsia="Times New Roman" w:hAnsi="Times New Roman"/>
        </w:rPr>
        <w:t xml:space="preserve"> and </w:t>
      </w:r>
      <w:r>
        <w:rPr>
          <w:rFonts w:ascii="Times New Roman" w:cs="Times New Roman" w:eastAsia="Times New Roman" w:hAnsi="Times New Roman"/>
          <w:i/>
        </w:rPr>
        <w:t>ε</w:t>
      </w:r>
      <w:r>
        <w:rPr>
          <w:rFonts w:ascii="Times New Roman" w:cs="Times New Roman" w:eastAsia="Times New Roman" w:hAnsi="Times New Roman"/>
        </w:rPr>
        <w:t>* → 1.</w:t>
      </w:r>
    </w:p>
    <w:p>
      <w:pPr>
        <w:spacing w:after="160" w:line="480" w:lineRule="auto"/>
        <w:jc w:val="left"/>
      </w:pPr>
      <w:r>
        <w:rPr>
          <w:rFonts w:ascii="Times New Roman" w:cs="Times New Roman" w:eastAsia="Times New Roman" w:hAnsi="Times New Roman"/>
          <w:b/>
        </w:rPr>
        <w:t>Proposition 3.</w:t>
      </w:r>
      <w:r>
        <w:rPr>
          <w:rFonts w:ascii="Times New Roman" w:cs="Times New Roman" w:eastAsia="Times New Roman" w:hAnsi="Times New Roman"/>
        </w:rPr>
        <w:t xml:space="preserve"> Substituting equation (4) into the employment equation gives </w:t>
      </w:r>
      <w:r>
        <w:rPr>
          <w:rFonts w:ascii="Times New Roman" w:cs="Times New Roman" w:eastAsia="Times New Roman" w:hAnsi="Times New Roman"/>
          <w:i/>
        </w:rPr>
        <w:t>L</w:t>
      </w:r>
      <w:r>
        <w:rPr>
          <w:rFonts w:ascii="Times New Roman" w:cs="Times New Roman" w:eastAsia="Times New Roman" w:hAnsi="Times New Roman"/>
        </w:rPr>
        <w:t xml:space="preserve">(t + 1) − </w:t>
      </w:r>
      <w:r>
        <w:rPr>
          <w:rFonts w:ascii="Times New Roman" w:cs="Times New Roman" w:eastAsia="Times New Roman" w:hAnsi="Times New Roman"/>
          <w:i/>
        </w:rPr>
        <w:t>L</w:t>
      </w:r>
      <w:r>
        <w:rPr>
          <w:rFonts w:ascii="Times New Roman" w:cs="Times New Roman" w:eastAsia="Times New Roman" w:hAnsi="Times New Roman"/>
        </w:rPr>
        <w:t xml:space="preserve">* = (1 − </w:t>
      </w:r>
      <w:r>
        <w:rPr>
          <w:rFonts w:ascii="Times New Roman" w:cs="Times New Roman" w:eastAsia="Times New Roman" w:hAnsi="Times New Roman"/>
          <w:i/>
        </w:rPr>
        <w:t>λ</w:t>
      </w:r>
      <w:r>
        <w:rPr>
          <w:rFonts w:ascii="Times New Roman" w:cs="Times New Roman" w:eastAsia="Times New Roman" w:hAnsi="Times New Roman"/>
        </w:rPr>
        <w:t>)(</w:t>
      </w:r>
      <w:r>
        <w:rPr>
          <w:rFonts w:ascii="Times New Roman" w:cs="Times New Roman" w:eastAsia="Times New Roman" w:hAnsi="Times New Roman"/>
          <w:i/>
        </w:rPr>
        <w:t>L</w:t>
      </w:r>
      <w:r>
        <w:rPr>
          <w:rFonts w:ascii="Times New Roman" w:cs="Times New Roman" w:eastAsia="Times New Roman" w:hAnsi="Times New Roman"/>
        </w:rPr>
        <w:t xml:space="preserve">(t) − </w:t>
      </w:r>
      <w:r>
        <w:rPr>
          <w:rFonts w:ascii="Times New Roman" w:cs="Times New Roman" w:eastAsia="Times New Roman" w:hAnsi="Times New Roman"/>
          <w:i/>
        </w:rPr>
        <w:t>L</w:t>
      </w:r>
      <w:r>
        <w:rPr>
          <w:rFonts w:ascii="Times New Roman" w:cs="Times New Roman" w:eastAsia="Times New Roman" w:hAnsi="Times New Roman"/>
        </w:rPr>
        <w:t xml:space="preserve">*), so </w:t>
      </w:r>
      <w:r>
        <w:rPr>
          <w:rFonts w:ascii="Times New Roman" w:cs="Times New Roman" w:eastAsia="Times New Roman" w:hAnsi="Times New Roman"/>
          <w:i/>
        </w:rPr>
        <w:t>L</w:t>
      </w:r>
      <w:r>
        <w:rPr>
          <w:rFonts w:ascii="Times New Roman" w:cs="Times New Roman" w:eastAsia="Times New Roman" w:hAnsi="Times New Roman"/>
        </w:rPr>
        <w:t xml:space="preserve">(t) − </w:t>
      </w:r>
      <w:r>
        <w:rPr>
          <w:rFonts w:ascii="Times New Roman" w:cs="Times New Roman" w:eastAsia="Times New Roman" w:hAnsi="Times New Roman"/>
          <w:i/>
        </w:rPr>
        <w:t>L</w:t>
      </w:r>
      <w:r>
        <w:rPr>
          <w:rFonts w:ascii="Times New Roman" w:cs="Times New Roman" w:eastAsia="Times New Roman" w:hAnsi="Times New Roman"/>
        </w:rPr>
        <w:t xml:space="preserve">* = (1 − </w:t>
      </w:r>
      <w:r>
        <w:rPr>
          <w:rFonts w:ascii="Times New Roman" w:cs="Times New Roman" w:eastAsia="Times New Roman" w:hAnsi="Times New Roman"/>
          <w:i/>
        </w:rPr>
        <w:t>λ</w:t>
      </w:r>
      <w:r>
        <w:rPr>
          <w:rFonts w:ascii="Times New Roman" w:cs="Times New Roman" w:eastAsia="Times New Roman" w:hAnsi="Times New Roman"/>
        </w:rPr>
        <w:t>)^</w:t>
      </w:r>
      <w:r>
        <w:rPr>
          <w:rFonts w:ascii="Times New Roman" w:cs="Times New Roman" w:eastAsia="Times New Roman" w:hAnsi="Times New Roman"/>
          <w:i/>
        </w:rPr>
        <w:t>t</w:t>
      </w:r>
      <w:r>
        <w:rPr>
          <w:rFonts w:ascii="Times New Roman" w:cs="Times New Roman" w:eastAsia="Times New Roman" w:hAnsi="Times New Roman"/>
        </w:rPr>
        <w:t xml:space="preserve"> (</w:t>
      </w:r>
      <w:r>
        <w:rPr>
          <w:rFonts w:ascii="Times New Roman" w:cs="Times New Roman" w:eastAsia="Times New Roman" w:hAnsi="Times New Roman"/>
          <w:i/>
        </w:rPr>
        <w:t>L</w:t>
      </w:r>
      <w:r>
        <w:rPr>
          <w:rFonts w:ascii="Times New Roman" w:cs="Times New Roman" w:eastAsia="Times New Roman" w:hAnsi="Times New Roman"/>
        </w:rPr>
        <w:t xml:space="preserve">₀ − </w:t>
      </w:r>
      <w:r>
        <w:rPr>
          <w:rFonts w:ascii="Times New Roman" w:cs="Times New Roman" w:eastAsia="Times New Roman" w:hAnsi="Times New Roman"/>
          <w:i/>
        </w:rPr>
        <w:t>L</w:t>
      </w:r>
      <w:r>
        <w:rPr>
          <w:rFonts w:ascii="Times New Roman" w:cs="Times New Roman" w:eastAsia="Times New Roman" w:hAnsi="Times New Roman"/>
        </w:rPr>
        <w:t xml:space="preserve">*) and the share of the gap closed after </w:t>
      </w:r>
      <w:r>
        <w:rPr>
          <w:rFonts w:ascii="Times New Roman" w:cs="Times New Roman" w:eastAsia="Times New Roman" w:hAnsi="Times New Roman"/>
          <w:i/>
        </w:rPr>
        <w:t>T</w:t>
      </w:r>
      <w:r>
        <w:rPr>
          <w:rFonts w:ascii="Times New Roman" w:cs="Times New Roman" w:eastAsia="Times New Roman" w:hAnsi="Times New Roman"/>
        </w:rPr>
        <w:t xml:space="preserve"> periods is 1 − (1 − </w:t>
      </w:r>
      <w:r>
        <w:rPr>
          <w:rFonts w:ascii="Times New Roman" w:cs="Times New Roman" w:eastAsia="Times New Roman" w:hAnsi="Times New Roman"/>
          <w:i/>
        </w:rPr>
        <w:t>λ</w:t>
      </w:r>
      <w:r>
        <w:rPr>
          <w:rFonts w:ascii="Times New Roman" w:cs="Times New Roman" w:eastAsia="Times New Roman" w:hAnsi="Times New Roman"/>
        </w:rPr>
        <w:t>)^</w:t>
      </w:r>
      <w:r>
        <w:rPr>
          <w:rFonts w:ascii="Times New Roman" w:cs="Times New Roman" w:eastAsia="Times New Roman" w:hAnsi="Times New Roman"/>
          <w:i/>
        </w:rPr>
        <w:t>T</w:t>
      </w:r>
      <w:r>
        <w:rPr>
          <w:rFonts w:ascii="Times New Roman" w:cs="Times New Roman" w:eastAsia="Times New Roman" w:hAnsi="Times New Roman"/>
        </w:rPr>
        <w:t xml:space="preserve">. Hires in the first period are </w:t>
      </w:r>
      <w:r>
        <w:rPr>
          <w:rFonts w:ascii="Times New Roman" w:cs="Times New Roman" w:eastAsia="Times New Roman" w:hAnsi="Times New Roman"/>
          <w:i/>
        </w:rPr>
        <w:t>H</w:t>
      </w:r>
      <w:r>
        <w:rPr>
          <w:rFonts w:ascii="Times New Roman" w:cs="Times New Roman" w:eastAsia="Times New Roman" w:hAnsi="Times New Roman"/>
        </w:rPr>
        <w:t xml:space="preserve">(0) = </w:t>
      </w:r>
      <w:r>
        <w:rPr>
          <w:rFonts w:ascii="Times New Roman" w:cs="Times New Roman" w:eastAsia="Times New Roman" w:hAnsi="Times New Roman"/>
          <w:i/>
        </w:rPr>
        <w:t>δL</w:t>
      </w:r>
      <w:r>
        <w:rPr>
          <w:rFonts w:ascii="Times New Roman" w:cs="Times New Roman" w:eastAsia="Times New Roman" w:hAnsi="Times New Roman"/>
        </w:rPr>
        <w:t xml:space="preserve">₀ − </w:t>
      </w:r>
      <w:r>
        <w:rPr>
          <w:rFonts w:ascii="Times New Roman" w:cs="Times New Roman" w:eastAsia="Times New Roman" w:hAnsi="Times New Roman"/>
          <w:i/>
        </w:rPr>
        <w:t>λfL</w:t>
      </w:r>
      <w:r>
        <w:rPr>
          <w:rFonts w:ascii="Times New Roman" w:cs="Times New Roman" w:eastAsia="Times New Roman" w:hAnsi="Times New Roman"/>
        </w:rPr>
        <w:t xml:space="preserve">₀, so </w:t>
      </w:r>
      <w:r>
        <w:rPr>
          <w:rFonts w:ascii="Times New Roman" w:cs="Times New Roman" w:eastAsia="Times New Roman" w:hAnsi="Times New Roman"/>
          <w:i/>
        </w:rPr>
        <w:t>H</w:t>
      </w:r>
      <w:r>
        <w:rPr>
          <w:rFonts w:ascii="Times New Roman" w:cs="Times New Roman" w:eastAsia="Times New Roman" w:hAnsi="Times New Roman"/>
        </w:rPr>
        <w:t>(0)/(</w:t>
      </w:r>
      <w:r>
        <w:rPr>
          <w:rFonts w:ascii="Times New Roman" w:cs="Times New Roman" w:eastAsia="Times New Roman" w:hAnsi="Times New Roman"/>
          <w:i/>
        </w:rPr>
        <w:t>δL</w:t>
      </w:r>
      <w:r>
        <w:rPr>
          <w:rFonts w:ascii="Times New Roman" w:cs="Times New Roman" w:eastAsia="Times New Roman" w:hAnsi="Times New Roman"/>
        </w:rPr>
        <w:t>₀) = 1 − (</w:t>
      </w:r>
      <w:r>
        <w:rPr>
          <w:rFonts w:ascii="Times New Roman" w:cs="Times New Roman" w:eastAsia="Times New Roman" w:hAnsi="Times New Roman"/>
          <w:i/>
        </w:rPr>
        <w:t>λ</w:t>
      </w:r>
      <w:r>
        <w:rPr>
          <w:rFonts w:ascii="Times New Roman" w:cs="Times New Roman" w:eastAsia="Times New Roman" w:hAnsi="Times New Roman"/>
        </w:rPr>
        <w:t>/</w:t>
      </w:r>
      <w:r>
        <w:rPr>
          <w:rFonts w:ascii="Times New Roman" w:cs="Times New Roman" w:eastAsia="Times New Roman" w:hAnsi="Times New Roman"/>
          <w:i/>
        </w:rPr>
        <w:t>δ</w:t>
      </w:r>
      <w:r>
        <w:rPr>
          <w:rFonts w:ascii="Times New Roman" w:cs="Times New Roman" w:eastAsia="Times New Roman" w:hAnsi="Times New Roman"/>
        </w:rPr>
        <w:t>)</w:t>
      </w:r>
      <w:r>
        <w:rPr>
          <w:rFonts w:ascii="Times New Roman" w:cs="Times New Roman" w:eastAsia="Times New Roman" w:hAnsi="Times New Roman"/>
          <w:i/>
        </w:rPr>
        <w:t>f</w:t>
      </w:r>
      <w:r>
        <w:rPr>
          <w:rFonts w:ascii="Times New Roman" w:cs="Times New Roman" w:eastAsia="Times New Roman" w:hAnsi="Times New Roman"/>
        </w:rPr>
        <w:t xml:space="preserve">. As </w:t>
      </w:r>
      <w:r>
        <w:rPr>
          <w:rFonts w:ascii="Times New Roman" w:cs="Times New Roman" w:eastAsia="Times New Roman" w:hAnsi="Times New Roman"/>
          <w:i/>
        </w:rPr>
        <w:t>t</w:t>
      </w:r>
      <w:r>
        <w:rPr>
          <w:rFonts w:ascii="Times New Roman" w:cs="Times New Roman" w:eastAsia="Times New Roman" w:hAnsi="Times New Roman"/>
        </w:rPr>
        <w:t xml:space="preserve"> → ∞, </w:t>
      </w:r>
      <w:r>
        <w:rPr>
          <w:rFonts w:ascii="Times New Roman" w:cs="Times New Roman" w:eastAsia="Times New Roman" w:hAnsi="Times New Roman"/>
          <w:i/>
        </w:rPr>
        <w:t>L</w:t>
      </w:r>
      <w:r>
        <w:rPr>
          <w:rFonts w:ascii="Times New Roman" w:cs="Times New Roman" w:eastAsia="Times New Roman" w:hAnsi="Times New Roman"/>
        </w:rPr>
        <w:t xml:space="preserve">(t) → </w:t>
      </w:r>
      <w:r>
        <w:rPr>
          <w:rFonts w:ascii="Times New Roman" w:cs="Times New Roman" w:eastAsia="Times New Roman" w:hAnsi="Times New Roman"/>
          <w:i/>
        </w:rPr>
        <w:t>L</w:t>
      </w:r>
      <w:r>
        <w:rPr>
          <w:rFonts w:ascii="Times New Roman" w:cs="Times New Roman" w:eastAsia="Times New Roman" w:hAnsi="Times New Roman"/>
        </w:rPr>
        <w:t xml:space="preserve">* and </w:t>
      </w:r>
      <w:r>
        <w:rPr>
          <w:rFonts w:ascii="Times New Roman" w:cs="Times New Roman" w:eastAsia="Times New Roman" w:hAnsi="Times New Roman"/>
          <w:i/>
        </w:rPr>
        <w:t>H</w:t>
      </w:r>
      <w:r>
        <w:rPr>
          <w:rFonts w:ascii="Times New Roman" w:cs="Times New Roman" w:eastAsia="Times New Roman" w:hAnsi="Times New Roman"/>
        </w:rPr>
        <w:t xml:space="preserve">(t) → </w:t>
      </w:r>
      <w:r>
        <w:rPr>
          <w:rFonts w:ascii="Times New Roman" w:cs="Times New Roman" w:eastAsia="Times New Roman" w:hAnsi="Times New Roman"/>
          <w:i/>
        </w:rPr>
        <w:t>δL</w:t>
      </w:r>
      <w:r>
        <w:rPr>
          <w:rFonts w:ascii="Times New Roman" w:cs="Times New Roman" w:eastAsia="Times New Roman" w:hAnsi="Times New Roman"/>
        </w:rPr>
        <w:t xml:space="preserve">*, so </w:t>
      </w:r>
      <w:r>
        <w:rPr>
          <w:rFonts w:ascii="Times New Roman" w:cs="Times New Roman" w:eastAsia="Times New Roman" w:hAnsi="Times New Roman"/>
          <w:i/>
        </w:rPr>
        <w:t>H</w:t>
      </w:r>
      <w:r>
        <w:rPr>
          <w:rFonts w:ascii="Times New Roman" w:cs="Times New Roman" w:eastAsia="Times New Roman" w:hAnsi="Times New Roman"/>
        </w:rPr>
        <w:t>(t)/(</w:t>
      </w:r>
      <w:r>
        <w:rPr>
          <w:rFonts w:ascii="Times New Roman" w:cs="Times New Roman" w:eastAsia="Times New Roman" w:hAnsi="Times New Roman"/>
          <w:i/>
        </w:rPr>
        <w:t>δL</w:t>
      </w:r>
      <w:r>
        <w:rPr>
          <w:rFonts w:ascii="Times New Roman" w:cs="Times New Roman" w:eastAsia="Times New Roman" w:hAnsi="Times New Roman"/>
        </w:rPr>
        <w:t xml:space="preserve">₀) → 1 − </w:t>
      </w:r>
      <w:r>
        <w:rPr>
          <w:rFonts w:ascii="Times New Roman" w:cs="Times New Roman" w:eastAsia="Times New Roman" w:hAnsi="Times New Roman"/>
          <w:i/>
        </w:rPr>
        <w:t>f</w:t>
      </w:r>
      <w:r>
        <w:rPr>
          <w:rFonts w:ascii="Times New Roman" w:cs="Times New Roman" w:eastAsia="Times New Roman" w:hAnsi="Times New Roman"/>
        </w:rPr>
        <w:t xml:space="preserve">. Hires are non-negative in every period when </w:t>
      </w:r>
      <w:r>
        <w:rPr>
          <w:rFonts w:ascii="Times New Roman" w:cs="Times New Roman" w:eastAsia="Times New Roman" w:hAnsi="Times New Roman"/>
          <w:i/>
        </w:rPr>
        <w:t>λ</w:t>
      </w:r>
      <w:r>
        <w:rPr>
          <w:rFonts w:ascii="Times New Roman" w:cs="Times New Roman" w:eastAsia="Times New Roman" w:hAnsi="Times New Roman"/>
        </w:rPr>
        <w:t xml:space="preserve"> ≤ </w:t>
      </w:r>
      <w:r>
        <w:rPr>
          <w:rFonts w:ascii="Times New Roman" w:cs="Times New Roman" w:eastAsia="Times New Roman" w:hAnsi="Times New Roman"/>
          <w:i/>
        </w:rPr>
        <w:t>δ</w:t>
      </w:r>
      <w:r>
        <w:rPr>
          <w:rFonts w:ascii="Times New Roman" w:cs="Times New Roman" w:eastAsia="Times New Roman" w:hAnsi="Times New Roman"/>
        </w:rPr>
        <w:t xml:space="preserve">, because </w:t>
      </w:r>
      <w:r>
        <w:rPr>
          <w:rFonts w:ascii="Times New Roman" w:cs="Times New Roman" w:eastAsia="Times New Roman" w:hAnsi="Times New Roman"/>
          <w:i/>
        </w:rPr>
        <w:t>λf</w:t>
      </w:r>
      <w:r>
        <w:rPr>
          <w:rFonts w:ascii="Times New Roman" w:cs="Times New Roman" w:eastAsia="Times New Roman" w:hAnsi="Times New Roman"/>
        </w:rPr>
        <w:t xml:space="preserve"> ≤ </w:t>
      </w:r>
      <w:r>
        <w:rPr>
          <w:rFonts w:ascii="Times New Roman" w:cs="Times New Roman" w:eastAsia="Times New Roman" w:hAnsi="Times New Roman"/>
          <w:i/>
        </w:rPr>
        <w:t>δ</w:t>
      </w:r>
      <w:r>
        <w:rPr>
          <w:rFonts w:ascii="Times New Roman" w:cs="Times New Roman" w:eastAsia="Times New Roman" w:hAnsi="Times New Roman"/>
        </w:rPr>
        <w:t xml:space="preserve"> for </w:t>
      </w:r>
      <w:r>
        <w:rPr>
          <w:rFonts w:ascii="Times New Roman" w:cs="Times New Roman" w:eastAsia="Times New Roman" w:hAnsi="Times New Roman"/>
          <w:i/>
        </w:rPr>
        <w:t>f</w:t>
      </w:r>
      <w:r>
        <w:rPr>
          <w:rFonts w:ascii="Times New Roman" w:cs="Times New Roman" w:eastAsia="Times New Roman" w:hAnsi="Times New Roman"/>
        </w:rPr>
        <w:t xml:space="preserve"> ≤ 1. The upper bound in part (i) holds when hiring is adjusted smoothly as in equation (4); a temporary hiring freeze could produce a larger transitory fall in adverts.</w:t>
      </w:r>
    </w:p>
    <w:p>
      <w:pPr>
        <w:pStyle w:val="Heading1"/>
        <w:keepNext/>
        <w:spacing w:after="120" w:before="240" w:line="240" w:lineRule="auto"/>
        <w:jc w:val="center"/>
      </w:pPr>
      <w:r>
        <w:rPr>
          <w:rFonts w:ascii="Times New Roman" w:cs="Times New Roman" w:eastAsia="Times New Roman" w:hAnsi="Times New Roman"/>
          <w:b/>
          <w:bCs/>
          <w:i w:val="0"/>
          <w:color w:val="000000"/>
          <w:sz w:val="24"/>
          <w:szCs w:val="26"/>
        </w:rPr>
        <w:t>REFERENCES</w:t>
      </w:r>
    </w:p>
    <w:p>
      <w:pPr>
        <w:spacing w:after="120" w:line="240" w:lineRule="auto"/>
        <w:ind w:left="720" w:hanging="720"/>
        <w:jc w:val="left"/>
      </w:pPr>
      <w:r>
        <w:rPr>
          <w:rFonts w:ascii="Times New Roman" w:cs="Times New Roman" w:eastAsia="Times New Roman" w:hAnsi="Times New Roman"/>
          <w:sz w:val="24"/>
          <w:szCs w:val="21"/>
        </w:rPr>
        <w:t xml:space="preserve">Acemoglu, D., Autor, D., Hazell, J., &amp; Restrepo, P. (2022). Artificial intelligence and jobs: Evidence from online vacancies. </w:t>
      </w:r>
      <w:r>
        <w:rPr>
          <w:rFonts w:ascii="Times New Roman" w:cs="Times New Roman" w:eastAsia="Times New Roman" w:hAnsi="Times New Roman"/>
          <w:i/>
          <w:sz w:val="24"/>
          <w:szCs w:val="21"/>
        </w:rPr>
        <w:t>Journal of Labor Economics</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40</w:t>
      </w:r>
      <w:r>
        <w:rPr>
          <w:rFonts w:ascii="Times New Roman" w:cs="Times New Roman" w:eastAsia="Times New Roman" w:hAnsi="Times New Roman"/>
          <w:sz w:val="24"/>
          <w:szCs w:val="21"/>
        </w:rPr>
        <w:t>(S1), S293–S340.</w:t>
      </w:r>
    </w:p>
    <w:p>
      <w:pPr>
        <w:spacing w:after="120" w:line="240" w:lineRule="auto"/>
        <w:ind w:left="720" w:hanging="720"/>
        <w:jc w:val="left"/>
      </w:pPr>
      <w:r>
        <w:rPr>
          <w:rFonts w:ascii="Times New Roman" w:cs="Times New Roman" w:eastAsia="Times New Roman" w:hAnsi="Times New Roman"/>
          <w:sz w:val="24"/>
          <w:szCs w:val="21"/>
        </w:rPr>
        <w:t xml:space="preserve">Acemoglu, D., &amp; Restrepo, P. (2018). The race between man and machine: Implications of technology for growth, factor shares, and employment. </w:t>
      </w:r>
      <w:r>
        <w:rPr>
          <w:rFonts w:ascii="Times New Roman" w:cs="Times New Roman" w:eastAsia="Times New Roman" w:hAnsi="Times New Roman"/>
          <w:i/>
          <w:sz w:val="24"/>
          <w:szCs w:val="21"/>
        </w:rPr>
        <w:t>American Economic Review</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108</w:t>
      </w:r>
      <w:r>
        <w:rPr>
          <w:rFonts w:ascii="Times New Roman" w:cs="Times New Roman" w:eastAsia="Times New Roman" w:hAnsi="Times New Roman"/>
          <w:sz w:val="24"/>
          <w:szCs w:val="21"/>
        </w:rPr>
        <w:t>(6), 1488–1542.</w:t>
      </w:r>
    </w:p>
    <w:p>
      <w:pPr>
        <w:spacing w:after="120" w:line="240" w:lineRule="auto"/>
        <w:ind w:left="720" w:hanging="720"/>
        <w:jc w:val="left"/>
      </w:pPr>
      <w:r>
        <w:rPr>
          <w:rFonts w:ascii="Times New Roman" w:cs="Times New Roman" w:eastAsia="Times New Roman" w:hAnsi="Times New Roman"/>
          <w:sz w:val="24"/>
          <w:szCs w:val="21"/>
        </w:rPr>
        <w:t xml:space="preserve">Acemoglu, D., &amp; Restrepo, P. (2019). Automation and new tasks: How technology displaces and reinstates labor. </w:t>
      </w:r>
      <w:r>
        <w:rPr>
          <w:rFonts w:ascii="Times New Roman" w:cs="Times New Roman" w:eastAsia="Times New Roman" w:hAnsi="Times New Roman"/>
          <w:i/>
          <w:sz w:val="24"/>
          <w:szCs w:val="21"/>
        </w:rPr>
        <w:t>Journal of Economic Perspectives</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33</w:t>
      </w:r>
      <w:r>
        <w:rPr>
          <w:rFonts w:ascii="Times New Roman" w:cs="Times New Roman" w:eastAsia="Times New Roman" w:hAnsi="Times New Roman"/>
          <w:sz w:val="24"/>
          <w:szCs w:val="21"/>
        </w:rPr>
        <w:t>(2), 3–30.</w:t>
      </w:r>
    </w:p>
    <w:p>
      <w:pPr>
        <w:spacing w:after="120" w:line="240" w:lineRule="auto"/>
        <w:ind w:left="720" w:hanging="720"/>
        <w:jc w:val="left"/>
      </w:pPr>
      <w:r>
        <w:rPr>
          <w:rFonts w:ascii="Times New Roman" w:cs="Times New Roman" w:eastAsia="Times New Roman" w:hAnsi="Times New Roman"/>
          <w:sz w:val="24"/>
          <w:szCs w:val="21"/>
        </w:rPr>
        <w:t xml:space="preserve">Aghion, P., Jones, B. F., &amp; Jones, C. I. (2019). Artificial intelligence and economic growth. In A. Agrawal, J. Gans, &amp; A. Goldfarb (Eds.), </w:t>
      </w:r>
      <w:r>
        <w:rPr>
          <w:rFonts w:ascii="Times New Roman" w:cs="Times New Roman" w:eastAsia="Times New Roman" w:hAnsi="Times New Roman"/>
          <w:i/>
          <w:sz w:val="24"/>
          <w:szCs w:val="21"/>
        </w:rPr>
        <w:t>The economics of artificial intelligence: An agenda</w:t>
      </w:r>
      <w:r>
        <w:rPr>
          <w:rFonts w:ascii="Times New Roman" w:cs="Times New Roman" w:eastAsia="Times New Roman" w:hAnsi="Times New Roman"/>
          <w:sz w:val="24"/>
          <w:szCs w:val="21"/>
        </w:rPr>
        <w:t>. University of Chicago Press.</w:t>
      </w:r>
    </w:p>
    <w:p>
      <w:pPr>
        <w:spacing w:after="120" w:line="240" w:lineRule="auto"/>
        <w:ind w:left="720" w:hanging="720"/>
        <w:jc w:val="left"/>
      </w:pPr>
      <w:r>
        <w:rPr>
          <w:rFonts w:ascii="Times New Roman" w:cs="Times New Roman" w:eastAsia="Times New Roman" w:hAnsi="Times New Roman"/>
          <w:sz w:val="24"/>
          <w:szCs w:val="21"/>
        </w:rPr>
        <w:t xml:space="preserve">Agrawal, A., Gans, J., &amp; Goldfarb, A. (2018). </w:t>
      </w:r>
      <w:r>
        <w:rPr>
          <w:rFonts w:ascii="Times New Roman" w:cs="Times New Roman" w:eastAsia="Times New Roman" w:hAnsi="Times New Roman"/>
          <w:i/>
          <w:sz w:val="24"/>
          <w:szCs w:val="21"/>
        </w:rPr>
        <w:t>Prediction machines: The simple economics of artificial intelligence</w:t>
      </w:r>
      <w:r>
        <w:rPr>
          <w:rFonts w:ascii="Times New Roman" w:cs="Times New Roman" w:eastAsia="Times New Roman" w:hAnsi="Times New Roman"/>
          <w:sz w:val="24"/>
          <w:szCs w:val="21"/>
        </w:rPr>
        <w:t>. Harvard Business Review Press.</w:t>
      </w:r>
    </w:p>
    <w:p>
      <w:pPr>
        <w:spacing w:after="120" w:line="240" w:lineRule="auto"/>
        <w:ind w:left="720" w:hanging="720"/>
        <w:jc w:val="left"/>
      </w:pPr>
      <w:r>
        <w:rPr>
          <w:rFonts w:ascii="Times New Roman" w:cs="Times New Roman" w:eastAsia="Times New Roman" w:hAnsi="Times New Roman"/>
          <w:sz w:val="24"/>
          <w:szCs w:val="21"/>
        </w:rPr>
        <w:t xml:space="preserve">Aral, S., &amp; Weill, P. (2007). IT assets, organizational capabilities, and firm performance: How resource allocations and organizational differences explain performance variation. </w:t>
      </w:r>
      <w:r>
        <w:rPr>
          <w:rFonts w:ascii="Times New Roman" w:cs="Times New Roman" w:eastAsia="Times New Roman" w:hAnsi="Times New Roman"/>
          <w:i/>
          <w:sz w:val="24"/>
          <w:szCs w:val="21"/>
        </w:rPr>
        <w:t>Organization Science</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18</w:t>
      </w:r>
      <w:r>
        <w:rPr>
          <w:rFonts w:ascii="Times New Roman" w:cs="Times New Roman" w:eastAsia="Times New Roman" w:hAnsi="Times New Roman"/>
          <w:sz w:val="24"/>
          <w:szCs w:val="21"/>
        </w:rPr>
        <w:t>(5), 763–780.</w:t>
      </w:r>
    </w:p>
    <w:p>
      <w:pPr>
        <w:spacing w:after="120" w:line="240" w:lineRule="auto"/>
        <w:ind w:left="720" w:hanging="720"/>
        <w:jc w:val="left"/>
      </w:pPr>
      <w:r>
        <w:rPr>
          <w:rFonts w:ascii="Times New Roman" w:cs="Times New Roman" w:eastAsia="Times New Roman" w:hAnsi="Times New Roman"/>
          <w:sz w:val="24"/>
          <w:szCs w:val="21"/>
        </w:rPr>
        <w:t xml:space="preserve">Attewell, P. (1992). Technology diffusion and organizational learning: The case of business computing. </w:t>
      </w:r>
      <w:r>
        <w:rPr>
          <w:rFonts w:ascii="Times New Roman" w:cs="Times New Roman" w:eastAsia="Times New Roman" w:hAnsi="Times New Roman"/>
          <w:i/>
          <w:sz w:val="24"/>
          <w:szCs w:val="21"/>
        </w:rPr>
        <w:t>Organization Science</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3</w:t>
      </w:r>
      <w:r>
        <w:rPr>
          <w:rFonts w:ascii="Times New Roman" w:cs="Times New Roman" w:eastAsia="Times New Roman" w:hAnsi="Times New Roman"/>
          <w:sz w:val="24"/>
          <w:szCs w:val="21"/>
        </w:rPr>
        <w:t>(1), 1–19.</w:t>
      </w:r>
    </w:p>
    <w:p>
      <w:pPr>
        <w:spacing w:after="120" w:line="240" w:lineRule="auto"/>
        <w:ind w:left="720" w:hanging="720"/>
        <w:jc w:val="left"/>
      </w:pPr>
      <w:r>
        <w:rPr>
          <w:rFonts w:ascii="Times New Roman" w:cs="Times New Roman" w:eastAsia="Times New Roman" w:hAnsi="Times New Roman"/>
          <w:sz w:val="24"/>
          <w:szCs w:val="21"/>
        </w:rPr>
        <w:t xml:space="preserve">Baumol, W. J. (1967). Macroeconomics of unbalanced growth: The anatomy of urban crisis. </w:t>
      </w:r>
      <w:r>
        <w:rPr>
          <w:rFonts w:ascii="Times New Roman" w:cs="Times New Roman" w:eastAsia="Times New Roman" w:hAnsi="Times New Roman"/>
          <w:i/>
          <w:sz w:val="24"/>
          <w:szCs w:val="21"/>
        </w:rPr>
        <w:t>American Economic Review</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57</w:t>
      </w:r>
      <w:r>
        <w:rPr>
          <w:rFonts w:ascii="Times New Roman" w:cs="Times New Roman" w:eastAsia="Times New Roman" w:hAnsi="Times New Roman"/>
          <w:sz w:val="24"/>
          <w:szCs w:val="21"/>
        </w:rPr>
        <w:t>(3), 415–426.</w:t>
      </w:r>
    </w:p>
    <w:p>
      <w:pPr>
        <w:spacing w:after="120" w:line="240" w:lineRule="auto"/>
        <w:ind w:left="720" w:hanging="720"/>
        <w:jc w:val="left"/>
      </w:pPr>
      <w:r>
        <w:rPr>
          <w:rFonts w:ascii="Times New Roman" w:cs="Times New Roman" w:eastAsia="Times New Roman" w:hAnsi="Times New Roman"/>
          <w:sz w:val="24"/>
          <w:szCs w:val="21"/>
        </w:rPr>
        <w:t xml:space="preserve">Bresnahan, T. F., &amp; Trajtenberg, M. (1995). General purpose technologies: “Engines of growth”? </w:t>
      </w:r>
      <w:r>
        <w:rPr>
          <w:rFonts w:ascii="Times New Roman" w:cs="Times New Roman" w:eastAsia="Times New Roman" w:hAnsi="Times New Roman"/>
          <w:i/>
          <w:sz w:val="24"/>
          <w:szCs w:val="21"/>
        </w:rPr>
        <w:t>Journal of Econometrics</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65</w:t>
      </w:r>
      <w:r>
        <w:rPr>
          <w:rFonts w:ascii="Times New Roman" w:cs="Times New Roman" w:eastAsia="Times New Roman" w:hAnsi="Times New Roman"/>
          <w:sz w:val="24"/>
          <w:szCs w:val="21"/>
        </w:rPr>
        <w:t>(1), 83–108.</w:t>
      </w:r>
    </w:p>
    <w:p>
      <w:pPr>
        <w:spacing w:after="120" w:line="240" w:lineRule="auto"/>
        <w:ind w:left="720" w:hanging="720"/>
        <w:jc w:val="left"/>
      </w:pPr>
      <w:r>
        <w:rPr>
          <w:rFonts w:ascii="Times New Roman" w:cs="Times New Roman" w:eastAsia="Times New Roman" w:hAnsi="Times New Roman"/>
          <w:sz w:val="24"/>
          <w:szCs w:val="21"/>
        </w:rPr>
        <w:t xml:space="preserve">Brynjolfsson, E., &amp; Hitt, L. M. (2000). Beyond computation: Information technology, organizational transformation and business performance. </w:t>
      </w:r>
      <w:r>
        <w:rPr>
          <w:rFonts w:ascii="Times New Roman" w:cs="Times New Roman" w:eastAsia="Times New Roman" w:hAnsi="Times New Roman"/>
          <w:i/>
          <w:sz w:val="24"/>
          <w:szCs w:val="21"/>
        </w:rPr>
        <w:t>Journal of Economic Perspectives</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14</w:t>
      </w:r>
      <w:r>
        <w:rPr>
          <w:rFonts w:ascii="Times New Roman" w:cs="Times New Roman" w:eastAsia="Times New Roman" w:hAnsi="Times New Roman"/>
          <w:sz w:val="24"/>
          <w:szCs w:val="21"/>
        </w:rPr>
        <w:t>(4), 23–48.</w:t>
      </w:r>
    </w:p>
    <w:p>
      <w:pPr>
        <w:spacing w:after="120" w:line="240" w:lineRule="auto"/>
        <w:ind w:left="720" w:hanging="720"/>
        <w:jc w:val="left"/>
      </w:pPr>
      <w:r>
        <w:rPr>
          <w:rFonts w:ascii="Times New Roman" w:cs="Times New Roman" w:eastAsia="Times New Roman" w:hAnsi="Times New Roman"/>
          <w:sz w:val="24"/>
          <w:szCs w:val="21"/>
        </w:rPr>
        <w:t xml:space="preserve">Brynjolfsson, E., Li, D., &amp; Raymond, L. (2025). Generative AI at work. </w:t>
      </w:r>
      <w:r>
        <w:rPr>
          <w:rFonts w:ascii="Times New Roman" w:cs="Times New Roman" w:eastAsia="Times New Roman" w:hAnsi="Times New Roman"/>
          <w:i/>
          <w:sz w:val="24"/>
          <w:szCs w:val="21"/>
        </w:rPr>
        <w:t>The Quarterly Journal of Economics</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140</w:t>
      </w:r>
      <w:r>
        <w:rPr>
          <w:rFonts w:ascii="Times New Roman" w:cs="Times New Roman" w:eastAsia="Times New Roman" w:hAnsi="Times New Roman"/>
          <w:sz w:val="24"/>
          <w:szCs w:val="21"/>
        </w:rPr>
        <w:t>(2), 889–942.</w:t>
      </w:r>
    </w:p>
    <w:p>
      <w:pPr>
        <w:spacing w:after="120" w:line="240" w:lineRule="auto"/>
        <w:ind w:left="720" w:hanging="720"/>
        <w:jc w:val="left"/>
      </w:pPr>
      <w:r>
        <w:rPr>
          <w:rFonts w:ascii="Times New Roman" w:cs="Times New Roman" w:eastAsia="Times New Roman" w:hAnsi="Times New Roman"/>
          <w:sz w:val="24"/>
          <w:szCs w:val="21"/>
        </w:rPr>
        <w:t xml:space="preserve">Brynjolfsson, E., Rock, D., &amp; Syverson, C. (2021). The productivity J-curve: How intangibles complement general purpose technologies. </w:t>
      </w:r>
      <w:r>
        <w:rPr>
          <w:rFonts w:ascii="Times New Roman" w:cs="Times New Roman" w:eastAsia="Times New Roman" w:hAnsi="Times New Roman"/>
          <w:i/>
          <w:sz w:val="24"/>
          <w:szCs w:val="21"/>
        </w:rPr>
        <w:t>American Economic Journal: Macroeconomics</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13</w:t>
      </w:r>
      <w:r>
        <w:rPr>
          <w:rFonts w:ascii="Times New Roman" w:cs="Times New Roman" w:eastAsia="Times New Roman" w:hAnsi="Times New Roman"/>
          <w:sz w:val="24"/>
          <w:szCs w:val="21"/>
        </w:rPr>
        <w:t>(1), 333–372.</w:t>
      </w:r>
    </w:p>
    <w:p>
      <w:pPr>
        <w:spacing w:after="120" w:line="240" w:lineRule="auto"/>
        <w:ind w:left="720" w:hanging="720"/>
        <w:jc w:val="left"/>
      </w:pPr>
      <w:r>
        <w:rPr>
          <w:rFonts w:ascii="Times New Roman" w:cs="Times New Roman" w:eastAsia="Times New Roman" w:hAnsi="Times New Roman"/>
          <w:sz w:val="24"/>
          <w:szCs w:val="21"/>
        </w:rPr>
        <w:t xml:space="preserve">Cooper, R. B., &amp; Zmud, R. W. (1990). Information technology implementation research: A technological diffusion approach. </w:t>
      </w:r>
      <w:r>
        <w:rPr>
          <w:rFonts w:ascii="Times New Roman" w:cs="Times New Roman" w:eastAsia="Times New Roman" w:hAnsi="Times New Roman"/>
          <w:i/>
          <w:sz w:val="24"/>
          <w:szCs w:val="21"/>
        </w:rPr>
        <w:t>Management Science</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36</w:t>
      </w:r>
      <w:r>
        <w:rPr>
          <w:rFonts w:ascii="Times New Roman" w:cs="Times New Roman" w:eastAsia="Times New Roman" w:hAnsi="Times New Roman"/>
          <w:sz w:val="24"/>
          <w:szCs w:val="21"/>
        </w:rPr>
        <w:t>(2), 123–139.</w:t>
      </w:r>
    </w:p>
    <w:p>
      <w:pPr>
        <w:spacing w:after="120" w:line="240" w:lineRule="auto"/>
        <w:ind w:left="720" w:hanging="720"/>
        <w:jc w:val="left"/>
      </w:pPr>
      <w:r>
        <w:rPr>
          <w:rFonts w:ascii="Times New Roman" w:cs="Times New Roman" w:eastAsia="Times New Roman" w:hAnsi="Times New Roman"/>
          <w:sz w:val="24"/>
          <w:szCs w:val="21"/>
        </w:rPr>
        <w:t xml:space="preserve">David, P. A. (1990). The dynamo and the computer: An historical perspective on the modern productivity paradox. </w:t>
      </w:r>
      <w:r>
        <w:rPr>
          <w:rFonts w:ascii="Times New Roman" w:cs="Times New Roman" w:eastAsia="Times New Roman" w:hAnsi="Times New Roman"/>
          <w:i/>
          <w:sz w:val="24"/>
          <w:szCs w:val="21"/>
        </w:rPr>
        <w:t>American Economic Review</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80</w:t>
      </w:r>
      <w:r>
        <w:rPr>
          <w:rFonts w:ascii="Times New Roman" w:cs="Times New Roman" w:eastAsia="Times New Roman" w:hAnsi="Times New Roman"/>
          <w:sz w:val="24"/>
          <w:szCs w:val="21"/>
        </w:rPr>
        <w:t>(2), 355–361.</w:t>
      </w:r>
    </w:p>
    <w:p>
      <w:pPr>
        <w:spacing w:after="120" w:line="240" w:lineRule="auto"/>
        <w:ind w:left="720" w:hanging="720"/>
        <w:jc w:val="left"/>
      </w:pPr>
      <w:r>
        <w:rPr>
          <w:rFonts w:ascii="Times New Roman" w:cs="Times New Roman" w:eastAsia="Times New Roman" w:hAnsi="Times New Roman"/>
          <w:sz w:val="24"/>
          <w:szCs w:val="21"/>
        </w:rPr>
        <w:t xml:space="preserve">Demirci, O., Hannane, J., &amp; Zhu, X. (2025). Who is AI replacing? The impact of generative AI on online freelancing platforms. </w:t>
      </w:r>
      <w:r>
        <w:rPr>
          <w:rFonts w:ascii="Times New Roman" w:cs="Times New Roman" w:eastAsia="Times New Roman" w:hAnsi="Times New Roman"/>
          <w:i/>
          <w:sz w:val="24"/>
          <w:szCs w:val="21"/>
        </w:rPr>
        <w:t>Management Science</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71</w:t>
      </w:r>
      <w:r>
        <w:rPr>
          <w:rFonts w:ascii="Times New Roman" w:cs="Times New Roman" w:eastAsia="Times New Roman" w:hAnsi="Times New Roman"/>
          <w:sz w:val="24"/>
          <w:szCs w:val="21"/>
        </w:rPr>
        <w:t>(10), 8097–8108.</w:t>
      </w:r>
    </w:p>
    <w:p>
      <w:pPr>
        <w:spacing w:after="120" w:line="240" w:lineRule="auto"/>
        <w:ind w:left="720" w:hanging="720"/>
        <w:jc w:val="left"/>
      </w:pPr>
      <w:r>
        <w:rPr>
          <w:rFonts w:ascii="Times New Roman" w:cs="Times New Roman" w:eastAsia="Times New Roman" w:hAnsi="Times New Roman"/>
          <w:sz w:val="24"/>
          <w:szCs w:val="21"/>
        </w:rPr>
        <w:t xml:space="preserve">Eloundou, T., Manning, S., Mishkin, P., &amp; Rock, D. (2023). </w:t>
      </w:r>
      <w:r>
        <w:rPr>
          <w:rFonts w:ascii="Times New Roman" w:cs="Times New Roman" w:eastAsia="Times New Roman" w:hAnsi="Times New Roman"/>
          <w:i/>
          <w:sz w:val="24"/>
          <w:szCs w:val="21"/>
        </w:rPr>
        <w:t>GPTs are GPTs: An early look at the labor market impact potential of large language models</w:t>
      </w:r>
      <w:r>
        <w:rPr>
          <w:rFonts w:ascii="Times New Roman" w:cs="Times New Roman" w:eastAsia="Times New Roman" w:hAnsi="Times New Roman"/>
          <w:sz w:val="24"/>
          <w:szCs w:val="21"/>
        </w:rPr>
        <w:t xml:space="preserve"> (arXiv:2303.10130). arXiv.</w:t>
      </w:r>
    </w:p>
    <w:p>
      <w:pPr>
        <w:spacing w:after="120" w:line="240" w:lineRule="auto"/>
        <w:ind w:left="720" w:hanging="720"/>
        <w:jc w:val="left"/>
      </w:pPr>
      <w:r>
        <w:rPr>
          <w:rFonts w:ascii="Times New Roman" w:cs="Times New Roman" w:eastAsia="Times New Roman" w:hAnsi="Times New Roman"/>
          <w:sz w:val="24"/>
          <w:szCs w:val="21"/>
        </w:rPr>
        <w:t xml:space="preserve">Eurostat. (2026). </w:t>
      </w:r>
      <w:r>
        <w:rPr>
          <w:rFonts w:ascii="Times New Roman" w:cs="Times New Roman" w:eastAsia="Times New Roman" w:hAnsi="Times New Roman"/>
          <w:i/>
          <w:sz w:val="24"/>
          <w:szCs w:val="21"/>
        </w:rPr>
        <w:t>ICT usage in enterprises; online job advertisements by occupation (experimental); Labour force survey</w:t>
      </w:r>
      <w:r>
        <w:rPr>
          <w:rFonts w:ascii="Times New Roman" w:cs="Times New Roman" w:eastAsia="Times New Roman" w:hAnsi="Times New Roman"/>
          <w:sz w:val="24"/>
          <w:szCs w:val="21"/>
        </w:rPr>
        <w:t xml:space="preserve"> [Data sets]. Retrieved October 4, 2026, from the Eurostat dissemination database.</w:t>
      </w:r>
    </w:p>
    <w:p>
      <w:pPr>
        <w:spacing w:after="120" w:line="240" w:lineRule="auto"/>
        <w:ind w:left="720" w:hanging="720"/>
        <w:jc w:val="left"/>
      </w:pPr>
      <w:r>
        <w:rPr>
          <w:rFonts w:ascii="Times New Roman" w:cs="Times New Roman" w:eastAsia="Times New Roman" w:hAnsi="Times New Roman"/>
          <w:sz w:val="24"/>
          <w:szCs w:val="21"/>
        </w:rPr>
        <w:t xml:space="preserve">Felten, E., Raj, M., &amp; Seamans, R. (2021). Occupational, industry, and geographic exposure to artificial intelligence. </w:t>
      </w:r>
      <w:r>
        <w:rPr>
          <w:rFonts w:ascii="Times New Roman" w:cs="Times New Roman" w:eastAsia="Times New Roman" w:hAnsi="Times New Roman"/>
          <w:i/>
          <w:sz w:val="24"/>
          <w:szCs w:val="21"/>
        </w:rPr>
        <w:t>Strategic Management Journal</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42</w:t>
      </w:r>
      <w:r>
        <w:rPr>
          <w:rFonts w:ascii="Times New Roman" w:cs="Times New Roman" w:eastAsia="Times New Roman" w:hAnsi="Times New Roman"/>
          <w:sz w:val="24"/>
          <w:szCs w:val="21"/>
        </w:rPr>
        <w:t>(12), 2195–2217.</w:t>
      </w:r>
    </w:p>
    <w:p>
      <w:pPr>
        <w:spacing w:after="120" w:line="240" w:lineRule="auto"/>
        <w:ind w:left="720" w:hanging="720"/>
        <w:jc w:val="left"/>
      </w:pPr>
      <w:r>
        <w:rPr>
          <w:rFonts w:ascii="Times New Roman" w:cs="Times New Roman" w:eastAsia="Times New Roman" w:hAnsi="Times New Roman"/>
          <w:sz w:val="24"/>
          <w:szCs w:val="21"/>
        </w:rPr>
        <w:t xml:space="preserve">Fichman, R. G., &amp; Kemerer, C. F. (1999). The illusory diffusion of innovation: An examination of assimilation gaps. </w:t>
      </w:r>
      <w:r>
        <w:rPr>
          <w:rFonts w:ascii="Times New Roman" w:cs="Times New Roman" w:eastAsia="Times New Roman" w:hAnsi="Times New Roman"/>
          <w:i/>
          <w:sz w:val="24"/>
          <w:szCs w:val="21"/>
        </w:rPr>
        <w:t>Information Systems Research</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10</w:t>
      </w:r>
      <w:r>
        <w:rPr>
          <w:rFonts w:ascii="Times New Roman" w:cs="Times New Roman" w:eastAsia="Times New Roman" w:hAnsi="Times New Roman"/>
          <w:sz w:val="24"/>
          <w:szCs w:val="21"/>
        </w:rPr>
        <w:t>(3), 255–275.</w:t>
      </w:r>
    </w:p>
    <w:p>
      <w:pPr>
        <w:spacing w:after="120" w:line="240" w:lineRule="auto"/>
        <w:ind w:left="720" w:hanging="720"/>
        <w:jc w:val="left"/>
      </w:pPr>
      <w:r>
        <w:rPr>
          <w:rFonts w:ascii="Times New Roman" w:cs="Times New Roman" w:eastAsia="Times New Roman" w:hAnsi="Times New Roman"/>
          <w:sz w:val="24"/>
          <w:szCs w:val="21"/>
        </w:rPr>
        <w:t xml:space="preserve">Hui, X., Reshef, O., &amp; Zhou, L. (2024). The short-term effects of generative artificial intelligence on employment: Evidence from an online labor market. </w:t>
      </w:r>
      <w:r>
        <w:rPr>
          <w:rFonts w:ascii="Times New Roman" w:cs="Times New Roman" w:eastAsia="Times New Roman" w:hAnsi="Times New Roman"/>
          <w:i/>
          <w:sz w:val="24"/>
          <w:szCs w:val="21"/>
        </w:rPr>
        <w:t>Organization Science</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35</w:t>
      </w:r>
      <w:r>
        <w:rPr>
          <w:rFonts w:ascii="Times New Roman" w:cs="Times New Roman" w:eastAsia="Times New Roman" w:hAnsi="Times New Roman"/>
          <w:sz w:val="24"/>
          <w:szCs w:val="21"/>
        </w:rPr>
        <w:t>(6), 1977–1989.</w:t>
      </w:r>
    </w:p>
    <w:p>
      <w:pPr>
        <w:spacing w:after="120" w:line="240" w:lineRule="auto"/>
        <w:ind w:left="720" w:hanging="720"/>
        <w:jc w:val="left"/>
      </w:pPr>
      <w:r>
        <w:rPr>
          <w:rFonts w:ascii="Times New Roman" w:cs="Times New Roman" w:eastAsia="Times New Roman" w:hAnsi="Times New Roman"/>
          <w:sz w:val="24"/>
          <w:szCs w:val="21"/>
        </w:rPr>
        <w:t xml:space="preserve">Indeed Hiring Lab. (2026). </w:t>
      </w:r>
      <w:r>
        <w:rPr>
          <w:rFonts w:ascii="Times New Roman" w:cs="Times New Roman" w:eastAsia="Times New Roman" w:hAnsi="Times New Roman"/>
          <w:i/>
          <w:sz w:val="24"/>
          <w:szCs w:val="21"/>
        </w:rPr>
        <w:t>Job postings index, by sector, United States</w:t>
      </w:r>
      <w:r>
        <w:rPr>
          <w:rFonts w:ascii="Times New Roman" w:cs="Times New Roman" w:eastAsia="Times New Roman" w:hAnsi="Times New Roman"/>
          <w:sz w:val="24"/>
          <w:szCs w:val="21"/>
        </w:rPr>
        <w:t xml:space="preserve"> [Data set]. Retrieved October 4, 2026. Creative Commons Attribution 4.0.</w:t>
      </w:r>
    </w:p>
    <w:p>
      <w:pPr>
        <w:spacing w:after="120" w:line="240" w:lineRule="auto"/>
        <w:ind w:left="720" w:hanging="720"/>
        <w:jc w:val="left"/>
      </w:pPr>
      <w:r>
        <w:rPr>
          <w:rFonts w:ascii="Times New Roman" w:cs="Times New Roman" w:eastAsia="Times New Roman" w:hAnsi="Times New Roman"/>
          <w:sz w:val="24"/>
          <w:szCs w:val="21"/>
        </w:rPr>
        <w:t xml:space="preserve">Kim, S., Jin, G. Z., &amp; Lee, E. (2026). </w:t>
      </w:r>
      <w:r>
        <w:rPr>
          <w:rFonts w:ascii="Times New Roman" w:cs="Times New Roman" w:eastAsia="Times New Roman" w:hAnsi="Times New Roman"/>
          <w:i/>
          <w:sz w:val="24"/>
          <w:szCs w:val="21"/>
        </w:rPr>
        <w:t>Does generative AI crowd out human creators? Evidence from Pixiv</w:t>
      </w:r>
      <w:r>
        <w:rPr>
          <w:rFonts w:ascii="Times New Roman" w:cs="Times New Roman" w:eastAsia="Times New Roman" w:hAnsi="Times New Roman"/>
          <w:sz w:val="24"/>
          <w:szCs w:val="21"/>
        </w:rPr>
        <w:t xml:space="preserve"> (NBER Working Paper No. 34733). National Bureau of Economic Research.</w:t>
      </w:r>
    </w:p>
    <w:p>
      <w:pPr>
        <w:spacing w:after="120" w:line="240" w:lineRule="auto"/>
        <w:ind w:left="720" w:hanging="720"/>
        <w:jc w:val="left"/>
      </w:pPr>
      <w:r>
        <w:rPr>
          <w:rFonts w:ascii="Times New Roman" w:cs="Times New Roman" w:eastAsia="Times New Roman" w:hAnsi="Times New Roman"/>
          <w:sz w:val="24"/>
          <w:szCs w:val="21"/>
        </w:rPr>
        <w:t xml:space="preserve">Melville, N., Kraemer, K., &amp; Gurbaxani, V. (2004). Information technology and organizational performance: An integrative model of IT business value. </w:t>
      </w:r>
      <w:r>
        <w:rPr>
          <w:rFonts w:ascii="Times New Roman" w:cs="Times New Roman" w:eastAsia="Times New Roman" w:hAnsi="Times New Roman"/>
          <w:i/>
          <w:sz w:val="24"/>
          <w:szCs w:val="21"/>
        </w:rPr>
        <w:t>MIS Quarterly</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28</w:t>
      </w:r>
      <w:r>
        <w:rPr>
          <w:rFonts w:ascii="Times New Roman" w:cs="Times New Roman" w:eastAsia="Times New Roman" w:hAnsi="Times New Roman"/>
          <w:sz w:val="24"/>
          <w:szCs w:val="21"/>
        </w:rPr>
        <w:t>(2), 283–322.</w:t>
      </w:r>
    </w:p>
    <w:p>
      <w:pPr>
        <w:spacing w:after="120" w:line="240" w:lineRule="auto"/>
        <w:ind w:left="720" w:hanging="720"/>
        <w:jc w:val="left"/>
      </w:pPr>
      <w:r>
        <w:rPr>
          <w:rFonts w:ascii="Times New Roman" w:cs="Times New Roman" w:eastAsia="Times New Roman" w:hAnsi="Times New Roman"/>
          <w:sz w:val="24"/>
          <w:szCs w:val="21"/>
        </w:rPr>
        <w:t xml:space="preserve">National Center for O*NET Development. (2026). </w:t>
      </w:r>
      <w:r>
        <w:rPr>
          <w:rFonts w:ascii="Times New Roman" w:cs="Times New Roman" w:eastAsia="Times New Roman" w:hAnsi="Times New Roman"/>
          <w:i/>
          <w:sz w:val="24"/>
          <w:szCs w:val="21"/>
        </w:rPr>
        <w:t>O*NET database</w:t>
      </w:r>
      <w:r>
        <w:rPr>
          <w:rFonts w:ascii="Times New Roman" w:cs="Times New Roman" w:eastAsia="Times New Roman" w:hAnsi="Times New Roman"/>
          <w:sz w:val="24"/>
          <w:szCs w:val="21"/>
        </w:rPr>
        <w:t xml:space="preserve"> (Version 29.1) [Data set]; ESCO crosswalk. Retrieved October 4, 2026. Creative Commons Attribution 4.0.</w:t>
      </w:r>
    </w:p>
    <w:p>
      <w:pPr>
        <w:spacing w:after="120" w:line="240" w:lineRule="auto"/>
        <w:ind w:left="720" w:hanging="720"/>
        <w:jc w:val="left"/>
      </w:pPr>
      <w:r>
        <w:rPr>
          <w:rFonts w:ascii="Times New Roman" w:cs="Times New Roman" w:eastAsia="Times New Roman" w:hAnsi="Times New Roman"/>
          <w:sz w:val="24"/>
          <w:szCs w:val="21"/>
        </w:rPr>
        <w:t xml:space="preserve">Statistics Canada. (2026). </w:t>
      </w:r>
      <w:r>
        <w:rPr>
          <w:rFonts w:ascii="Times New Roman" w:cs="Times New Roman" w:eastAsia="Times New Roman" w:hAnsi="Times New Roman"/>
          <w:i/>
          <w:sz w:val="24"/>
          <w:szCs w:val="21"/>
        </w:rPr>
        <w:t>Job vacancies by occupation</w:t>
      </w:r>
      <w:r>
        <w:rPr>
          <w:rFonts w:ascii="Times New Roman" w:cs="Times New Roman" w:eastAsia="Times New Roman" w:hAnsi="Times New Roman"/>
          <w:sz w:val="24"/>
          <w:szCs w:val="21"/>
        </w:rPr>
        <w:t xml:space="preserve"> (Table 14-10-0444; NOC 2021) [Data set]. Retrieved October 4, 2026. Statistics Canada Open Licence.</w:t>
      </w:r>
    </w:p>
    <w:p>
      <w:pPr>
        <w:spacing w:after="120" w:line="240" w:lineRule="auto"/>
        <w:ind w:left="720" w:hanging="720"/>
        <w:jc w:val="left"/>
      </w:pPr>
      <w:r>
        <w:rPr>
          <w:rFonts w:ascii="Times New Roman" w:cs="Times New Roman" w:eastAsia="Times New Roman" w:hAnsi="Times New Roman"/>
          <w:sz w:val="24"/>
          <w:szCs w:val="21"/>
        </w:rPr>
        <w:t xml:space="preserve">U.S. Census Bureau. (2026). </w:t>
      </w:r>
      <w:r>
        <w:rPr>
          <w:rFonts w:ascii="Times New Roman" w:cs="Times New Roman" w:eastAsia="Times New Roman" w:hAnsi="Times New Roman"/>
          <w:i/>
          <w:sz w:val="24"/>
          <w:szCs w:val="21"/>
        </w:rPr>
        <w:t>Business Trends and Outlook Survey (BTOS), sector estimates</w:t>
      </w:r>
      <w:r>
        <w:rPr>
          <w:rFonts w:ascii="Times New Roman" w:cs="Times New Roman" w:eastAsia="Times New Roman" w:hAnsi="Times New Roman"/>
          <w:sz w:val="24"/>
          <w:szCs w:val="21"/>
        </w:rPr>
        <w:t xml:space="preserve"> [Data set]. Retrieved October 4, 2026.</w:t>
      </w:r>
    </w:p>
    <w:p>
      <w:pPr>
        <w:spacing w:after="120" w:line="240" w:lineRule="auto"/>
        <w:ind w:left="720" w:hanging="720"/>
        <w:jc w:val="left"/>
      </w:pPr>
      <w:r>
        <w:rPr>
          <w:rFonts w:ascii="Times New Roman" w:cs="Times New Roman" w:eastAsia="Times New Roman" w:hAnsi="Times New Roman"/>
          <w:sz w:val="24"/>
          <w:szCs w:val="21"/>
        </w:rPr>
        <w:t xml:space="preserve">Webb, M. (2020). </w:t>
      </w:r>
      <w:r>
        <w:rPr>
          <w:rFonts w:ascii="Times New Roman" w:cs="Times New Roman" w:eastAsia="Times New Roman" w:hAnsi="Times New Roman"/>
          <w:i/>
          <w:sz w:val="24"/>
          <w:szCs w:val="21"/>
        </w:rPr>
        <w:t>The impact of artificial intelligence on the labor market</w:t>
      </w:r>
      <w:r>
        <w:rPr>
          <w:rFonts w:ascii="Times New Roman" w:cs="Times New Roman" w:eastAsia="Times New Roman" w:hAnsi="Times New Roman"/>
          <w:sz w:val="24"/>
          <w:szCs w:val="21"/>
        </w:rPr>
        <w:t xml:space="preserve"> [Working paper]. SSRN. https://ssrn.com/abstract=3482150</w:t>
      </w:r>
    </w:p>
    <w:p>
      <w:pPr>
        <w:spacing w:after="120" w:line="240" w:lineRule="auto"/>
        <w:ind w:left="720" w:hanging="720"/>
        <w:jc w:val="left"/>
      </w:pPr>
      <w:r>
        <w:rPr>
          <w:rFonts w:ascii="Times New Roman" w:cs="Times New Roman" w:eastAsia="Times New Roman" w:hAnsi="Times New Roman"/>
          <w:sz w:val="24"/>
          <w:szCs w:val="21"/>
        </w:rPr>
        <w:t xml:space="preserve">Zhou, E., &amp; Lee, D. (2024). Generative artificial intelligence, human creativity, and art. </w:t>
      </w:r>
      <w:r>
        <w:rPr>
          <w:rFonts w:ascii="Times New Roman" w:cs="Times New Roman" w:eastAsia="Times New Roman" w:hAnsi="Times New Roman"/>
          <w:i/>
          <w:sz w:val="24"/>
          <w:szCs w:val="21"/>
        </w:rPr>
        <w:t>PNAS Nexus</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3</w:t>
      </w:r>
      <w:r>
        <w:rPr>
          <w:rFonts w:ascii="Times New Roman" w:cs="Times New Roman" w:eastAsia="Times New Roman" w:hAnsi="Times New Roman"/>
          <w:sz w:val="24"/>
          <w:szCs w:val="21"/>
        </w:rPr>
        <w:t>(3), Article pgae052.</w:t>
      </w:r>
    </w:p>
    <w:p>
      <w:pPr>
        <w:spacing w:after="120" w:line="240" w:lineRule="auto"/>
        <w:ind w:left="720" w:hanging="720"/>
        <w:jc w:val="left"/>
      </w:pPr>
      <w:r>
        <w:rPr>
          <w:rFonts w:ascii="Times New Roman" w:cs="Times New Roman" w:eastAsia="Times New Roman" w:hAnsi="Times New Roman"/>
          <w:sz w:val="24"/>
          <w:szCs w:val="21"/>
        </w:rPr>
        <w:t xml:space="preserve">Zhu, K., &amp; Kraemer, K. L. (2005). Post-adoption variations in usage and value of e-business by organizations: Cross-country evidence from the retail industry. </w:t>
      </w:r>
      <w:r>
        <w:rPr>
          <w:rFonts w:ascii="Times New Roman" w:cs="Times New Roman" w:eastAsia="Times New Roman" w:hAnsi="Times New Roman"/>
          <w:i/>
          <w:sz w:val="24"/>
          <w:szCs w:val="21"/>
        </w:rPr>
        <w:t>Information Systems Research</w:t>
      </w:r>
      <w:r>
        <w:rPr>
          <w:rFonts w:ascii="Times New Roman" w:cs="Times New Roman" w:eastAsia="Times New Roman" w:hAnsi="Times New Roman"/>
          <w:sz w:val="24"/>
          <w:szCs w:val="21"/>
        </w:rPr>
        <w:t xml:space="preserve">, </w:t>
      </w:r>
      <w:r>
        <w:rPr>
          <w:rFonts w:ascii="Times New Roman" w:cs="Times New Roman" w:eastAsia="Times New Roman" w:hAnsi="Times New Roman"/>
          <w:i/>
          <w:sz w:val="24"/>
          <w:szCs w:val="21"/>
        </w:rPr>
        <w:t>16</w:t>
      </w:r>
      <w:r>
        <w:rPr>
          <w:rFonts w:ascii="Times New Roman" w:cs="Times New Roman" w:eastAsia="Times New Roman" w:hAnsi="Times New Roman"/>
          <w:sz w:val="24"/>
          <w:szCs w:val="21"/>
        </w:rPr>
        <w:t>(1), 61–84.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2026-10-04T12:32:29.742Z</dcterms:created>
  <dcterms:modified xsi:type="dcterms:W3CDTF">2026-10-04T12:32:29.746Z</dcterms:modified>
</cp:coreProperties>
</file>

<file path=docProps/custom.xml><?xml version="1.0" encoding="utf-8"?>
<Properties xmlns="http://schemas.openxmlformats.org/officeDocument/2006/custom-properties" xmlns:vt="http://schemas.openxmlformats.org/officeDocument/2006/docPropsVTypes"/>
</file>