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 w:val="0"/>
          <w:i w:val="0"/>
        </w:rPr>
        <w:t>Ook Lee</w:t>
      </w:r>
    </w:p>
    <w:p>
      <w:pPr>
        <w:spacing w:after="0" w:before="0"/>
      </w:pPr>
      <w:r>
        <w:rPr>
          <w:b w:val="0"/>
          <w:i w:val="0"/>
        </w:rPr>
        <w:t>Hanyang University, Seoul, Republic of Korea</w:t>
      </w:r>
    </w:p>
    <w:p>
      <w:pPr>
        <w:spacing w:after="200" w:before="0"/>
      </w:pPr>
      <w:r>
        <w:rPr>
          <w:b w:val="0"/>
          <w:i w:val="0"/>
        </w:rPr>
        <w:t>ooklee@hanyang.ac.kr</w:t>
      </w:r>
    </w:p>
    <w:p>
      <w:pPr>
        <w:spacing w:after="200" w:before="0"/>
      </w:pPr>
      <w:r>
        <w:rPr>
          <w:b w:val="0"/>
          <w:i w:val="0"/>
        </w:rPr>
        <w:t>[Date]</w:t>
      </w:r>
    </w:p>
    <w:p>
      <w:pPr>
        <w:spacing w:after="0" w:before="0"/>
      </w:pPr>
      <w:r>
        <w:rPr>
          <w:b w:val="0"/>
          <w:i w:val="0"/>
        </w:rPr>
        <w:t>The Editors</w:t>
      </w:r>
    </w:p>
    <w:p>
      <w:pPr>
        <w:spacing w:after="200" w:before="0"/>
      </w:pPr>
      <w:r>
        <w:rPr>
          <w:b w:val="0"/>
          <w:i/>
        </w:rPr>
        <w:t>Nature Machine Intelligence</w:t>
      </w:r>
    </w:p>
    <w:p>
      <w:pPr>
        <w:spacing w:after="200" w:before="0"/>
      </w:pPr>
      <w:r>
        <w:rPr>
          <w:b/>
          <w:i w:val="0"/>
        </w:rPr>
        <w:t>Manuscript: “Which screens for machine-written scholarly text survive an adaptive author?”</w:t>
      </w:r>
    </w:p>
    <w:p>
      <w:pPr>
        <w:spacing w:after="160" w:before="0"/>
      </w:pPr>
      <w:r>
        <w:rPr>
          <w:b w:val="0"/>
          <w:i w:val="0"/>
        </w:rPr>
        <w:t>Dear Editors,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>I submit the manuscript above as an Article. It has not been published and is not under consideration elsewhere.</w:t>
      </w:r>
    </w:p>
    <w:p>
      <w:pPr>
        <w:keepNext/>
        <w:spacing w:line="276" w:lineRule="auto" w:after="80" w:before="160"/>
      </w:pPr>
      <w:r>
        <w:rPr>
          <w:b/>
          <w:i/>
        </w:rPr>
        <w:t>The question and the findings</w:t>
      </w:r>
    </w:p>
    <w:p>
      <w:pPr>
        <w:spacing w:line="312" w:lineRule="auto" w:after="80" w:before="0"/>
        <w:jc w:val="both"/>
      </w:pPr>
      <w:r>
        <w:rPr>
          <w:b w:val="0"/>
          <w:i w:val="0"/>
        </w:rPr>
        <w:t>Publishers and research-integrity offices screen manuscripts for machine authorship, yet detectors are usually evaluated on text that no author has tried to disguise. I audit nine screens (two transparent count-based screens, six published detectors and a zero-shot language-model judge) on 474 human papers and machine papers from GPT-4o, Claude Sonnet 5.5 and Llama 3.3 70B, under six attacks, including attacks aimed at probability-based detectors. The main findings are:</w:t>
      </w:r>
    </w:p>
    <w:p>
      <w:pPr>
        <w:pStyle w:val="ListBullet"/>
        <w:spacing w:line="276" w:lineRule="auto"/>
      </w:pPr>
      <w:r>
        <w:rPr>
          <w:b w:val="0"/>
          <w:i w:val="0"/>
        </w:rPr>
        <w:t>No detector is robust to every attack. Replacing half of a paper's sentences with human sentences lowers Fast-DetectGPT and a fine-tuned RoBERTa classifier from AUC 0.94 and 0.96 to 0.61 and 0.60 on Claude papers, while both stay above 0.83 on Llama papers.</w:t>
      </w:r>
    </w:p>
    <w:p>
      <w:pPr>
        <w:pStyle w:val="ListBullet"/>
        <w:spacing w:line="276" w:lineRule="auto"/>
      </w:pPr>
      <w:r>
        <w:rPr>
          <w:b w:val="0"/>
          <w:i w:val="0"/>
        </w:rPr>
        <w:t>Probability-based scores invert under perturbation: disguised text is less probable than genuine human text, so log-likelihood drops to AUC 0.05, and a two-sided deviation score restores it to 0.90.</w:t>
      </w:r>
    </w:p>
    <w:p>
      <w:pPr>
        <w:pStyle w:val="ListBullet"/>
        <w:spacing w:line="276" w:lineRule="auto"/>
      </w:pPr>
      <w:r>
        <w:rPr>
          <w:b w:val="0"/>
          <w:i w:val="0"/>
        </w:rPr>
        <w:t>A strong supervised baseline (TF-IDF) depends partly on structural artifacts: on an unseen generator its AUC falls from 0.85 to 0.66 when artifacts are removed and only function words are kept.</w:t>
      </w:r>
    </w:p>
    <w:p>
      <w:pPr>
        <w:pStyle w:val="ListBullet"/>
        <w:spacing w:line="276" w:lineRule="auto"/>
      </w:pPr>
      <w:r>
        <w:rPr>
          <w:b w:val="0"/>
          <w:i w:val="0"/>
        </w:rPr>
        <w:t>The transparent count screen is less accurate than the best published detectors, so its case rests on explanation and cost, not accuracy. A zero-shot judge is robust to the attacks, partly because it notices damaged text.</w:t>
      </w:r>
    </w:p>
    <w:p>
      <w:pPr>
        <w:keepNext/>
        <w:spacing w:line="276" w:lineRule="auto" w:after="80" w:before="160"/>
      </w:pPr>
      <w:r>
        <w:rPr>
          <w:b/>
          <w:i/>
        </w:rPr>
        <w:t>Relevance to the journal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>The paper is a robustness audit of machine-text detection, an evaluation question of consequence for research integrity. It provides a common protocol, a cross-generator and adaptive-attack comparison of methods that are usually reported separately, a control for artifacts in supervised baselines, and a released code and data package.</w:t>
      </w:r>
    </w:p>
    <w:p>
      <w:pPr>
        <w:keepNext/>
        <w:spacing w:line="276" w:lineRule="auto" w:after="80" w:before="160"/>
      </w:pPr>
      <w:r>
        <w:rPr>
          <w:b/>
          <w:i/>
        </w:rPr>
        <w:t>Limitations</w:t>
      </w:r>
    </w:p>
    <w:p>
      <w:pPr>
        <w:pStyle w:val="ListBullet"/>
        <w:spacing w:line="276" w:lineRule="auto"/>
      </w:pPr>
      <w:r>
        <w:rPr>
          <w:b w:val="0"/>
          <w:i w:val="0"/>
        </w:rPr>
        <w:t>Three generators, one genre (English-language scientific papers), 100 attacked papers per generator and cell, and a judge run on a subset of one attack because of a spending cap.</w:t>
      </w:r>
    </w:p>
    <w:p>
      <w:pPr>
        <w:pStyle w:val="ListBullet"/>
        <w:spacing w:line="276" w:lineRule="auto"/>
      </w:pPr>
      <w:r>
        <w:rPr>
          <w:b w:val="0"/>
          <w:i w:val="0"/>
        </w:rPr>
        <w:t>The study is an independent re-implementation: the original data and code of an earlier version of this work were not available, so all corpora, screens and attacks were rebuilt.</w:t>
      </w:r>
    </w:p>
    <w:p>
      <w:pPr>
        <w:pStyle w:val="ListBullet"/>
        <w:spacing w:line="276" w:lineRule="auto"/>
      </w:pPr>
      <w:r>
        <w:rPr>
          <w:b w:val="0"/>
          <w:i w:val="0"/>
        </w:rPr>
        <w:t>Attackers are simple and none optimizes against a detector's gradient; zero-shot detectors used one open model pair.</w:t>
      </w:r>
    </w:p>
    <w:p>
      <w:pPr>
        <w:keepNext/>
        <w:spacing w:line="276" w:lineRule="auto" w:after="80" w:before="160"/>
      </w:pPr>
      <w:r>
        <w:rPr>
          <w:b/>
          <w:i/>
        </w:rPr>
        <w:t>Compliance</w:t>
      </w:r>
    </w:p>
    <w:p>
      <w:pPr>
        <w:spacing w:line="312" w:lineRule="auto" w:after="160" w:before="0"/>
        <w:jc w:val="both"/>
      </w:pPr>
      <w:r>
        <w:rPr>
          <w:b w:val="0"/>
          <w:i w:val="0"/>
        </w:rPr>
        <w:t>No human participants or personal data are involved. Code and derived data are at https://doi.org/10.5281/zenodo.23664508 (MIT licence). I declare no competing interests. Generative AI was used as disclosed in the manuscript (coding assistant for analysis code and drafting; the studied texts and the judge are themselves AI outputs). Suggested reviewers: [to be completed]. I have no reviewers to exclude [to be confirmed].</w:t>
      </w:r>
    </w:p>
    <w:p>
      <w:pPr>
        <w:spacing w:after="480" w:before="0"/>
      </w:pPr>
      <w:r>
        <w:rPr>
          <w:b w:val="0"/>
          <w:i w:val="0"/>
        </w:rPr>
        <w:t>Sincerely,</w:t>
      </w:r>
    </w:p>
    <w:p>
      <w:pPr>
        <w:spacing w:after="0" w:before="0"/>
      </w:pPr>
      <w:r>
        <w:rPr>
          <w:b w:val="0"/>
          <w:i w:val="0"/>
        </w:rPr>
        <w:t>Ook Lee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