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increasingly receive withdrawal requests that they can honor exactly only by retraining. This paper asks how such withdrawals should be priced, and how compliance can be verified, when the developer both performs and measures the removal. Modeling contributors as players in a coalitional game, we show that the Shapley values of the contribution game and the deletion game coincide, so that a single rule governs pricing at acquisition and compensation at withdrawal, although the rule can be gamed by replication. When approximate unlearning supplies the counterfactual utilities, residual knowledge enters the estimated values additively, and the aggregate bias is determined by the performance a model retains after every contributor has nominally been removed. In a regulator–developer model, limited audit capacity rations protection and leaves the data that is hardest to forget least protected; audit power has a ceiling once developers can tune unlearning to a known test; and a declare-and-pay liability rule produces continuous rather than all-or-nothing deterrence. In experiments on fictitious authors, with exact retraining of every coalition and five seeds, the aggregate bias changes sign as unlearning strengthens, individual biases remain large where the aggregate bias is small, and a brief relearning attack restores knowledge far beyond what it recovers in a retrained model.</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rely on data they do not own, including licensed archives, user-generated content, and personal data covered by data-protection law. Article 17 of the GDPR (European Union 2016) establishes a right to erasure, the EU AI Act (European Union 2024) imposes transparency obligations on providers of general-purpose models, and content owners have begun to demand removal or payment. For an organization, the question is therefore no longer only whether a model may be trained on a given dataset. It must also ask what honoring a later withdrawal will cost, who will bear that cost, and how outsiders can tell whether it has been paid. These are questions about the pricing of information and the verification of compliance, themes that information systems research has examined for personal data (Smith et al. 2011) and for the management of AI (Berente et al. 2021), and that economists have studied in the sale of data (Bergemann and Bonatti 2019). The present setting differs in one respect: the product being returned, a trained model, cannot be inspected to establish whether the data is really gone. We therefore ask how withdrawal from a trained model should be priced, and how compliance can be made verifiable, when the developer both performs and measures the removal.</w:t>
      </w:r>
    </w:p>
    <w:p>
      <w:pPr/>
      <w:r>
        <w:t xml:space="preserve">Retraining from scratch is the only method guaranteed to remove data, but it is too expensive to run on demand for large models. Machine unlearning offers cheaper approximate alternatives, although their effect is uncertain, and much of what they forget appears to be recoverable with modest effort. A separate literature asks how much a piece of data is worth to a model. Data Shapley and its descendants treat training examples, or groups of examples, as players in a cooperative game whose payoff is model performance. The two literatures rest on the same object, since valuation asks what happens when data is added and unlearning asks what happens when it is removed. A regulator or court that required both compensation for use and a right to withdraw would want the two calculations to agree.</w:t>
      </w:r>
    </w:p>
    <w:p>
      <w:pPr/>
      <w:r>
        <w:t xml:space="preserve">This paper makes four contributions.</w:t>
      </w:r>
    </w:p>
    <w:p>
      <w:pPr/>
      <w:r>
        <w:t xml:space="preserve">First, we connect pricing and withdrawal. We define a contribution game, in which value arises from including a coalition's data in training, and a deletion game, in which value is destroyed by removing it. The deletion game is the dual of the contribution game, and a classical property of the Shapley value implies that the two games assign every contributor the same value. Shapley-based pricing at acquisition and Shapley-based compensation at deletion are therefore one rule. The rule is not neutral to how data is packaged, however: a contributor who submits a replica of its data as a second player gains exactly when its marginal value is concentrated in small coalitions (Section 3.4).</w:t>
      </w:r>
    </w:p>
    <w:p>
      <w:pPr/>
      <w:r>
        <w:t xml:space="preserve">Second, we study what happens when the counterfactual utilities in these games cannot be computed by retraining and must instead be generated by approximate unlearning. We model the gap between the two as a residual game and show, from the linearity of the Shapley value, that the estimated values equal the true values plus the Shapley value of the residual game. The total bias equals minus the residual at the empty coalition: if an unlearning method leaves some competence intact after every contributor has nominally been removed, the estimated values understate the true total by exactly that amount, while biases in individual values may take either sign. The aggregate identity survives sequential unlearning once the residual is averaged over removal orders, and a measure of path sensitivity bounds how far individual values depart from an order-averaged benchmark (Section 4.3).</w:t>
      </w:r>
    </w:p>
    <w:p>
      <w:pPr/>
      <w:r>
        <w:t xml:space="preserve">Third, and most centrally, we study enforcement. A developer that is liable for the value of the data it retains has an obvious reason to under-unlearn and to over-report. We derive the condition under which truthful reporting is optimal and the regulator's cost-minimizing combination of audit frequency and audit power, and we show that letting the developer estimate the penalty base reduces the residual knowledge that audits can deter (Section 5.2). We then relax the baseline assumptions of a single request, a fixed test, and complete information. When audit capacity is limited, protection is rationed and the data that is hardest to forget is protected least (Section 5.4). When the developer can tune its unlearning to the test, audit power has a ceiling beyond which deterrence is lost (Section 5.5). Investment in unlearnable training follows a threshold in the credibility of enforcement (Section 5.6), the relevant measure of test power is detection net of false positives (Section 5.7), and a declare-and-pay liability rule replaces the cliff of the binary model with continuous deterrence and an optimum that tolerates some residue (Section 5.8).</w:t>
      </w:r>
    </w:p>
    <w:p>
      <w:pPr/>
      <w:r>
        <w:t xml:space="preserve">Fourth, we draw out implications for organizations and regulators (Section 7), including who should compute the values on which enforcement relies, how audit effort should be divided, why tests should be hard to anticipate, and why contributor identity and deduplication belong in the pricing rule.</w:t>
      </w:r>
    </w:p>
    <w:p>
      <w:pPr/>
      <w:r>
        <w:t xml:space="preserve">We complement the theory with experiments on fictitious authors, which define contributors cleanly and allow exact retraining on small models. The design uses four contributor groups and a 0.5B-parameter model, retrains every coalition exactly, and is repeated over five seeds. It includes a relearning attack with a retrained control, a concealment arm, and one run with duplicated training data. Redundant contributors are left for future work.</w:t>
      </w:r>
    </w:p>
    <w:p>
      <w:pPr/>
      <w:r>
        <w:t xml:space="preserve">Section 2 reviews related work. Section 3 presents the model, Section 4 analyzes estimation under approximate unlearning, and Section 5 studies incentives and audit design. Section 6 reports the experiments, Section 7 discusses implications and limitations, and Section 8 concludes.</w:t>
      </w:r>
    </w:p>
    <w:p>
      <w:pPr>
        <w:pStyle w:val="Heading2"/>
      </w:pPr>
      <w:r>
        <w:t>2 Related Work</w:t>
      </w:r>
    </w:p>
    <w:p>
      <w:pPr/>
      <w:r>
        <w:rPr>
          <w:b/>
        </w:rPr>
        <w:t xml:space="preserve">Data valuation.</w:t>
      </w:r>
      <w:r>
        <w:t xml:space="preserve"> Ghorbani and Zou (2019) and, independently, Jia et al. (2019) proposed using the Shapley value (Shapley 1953) to value training data. Subsequent work relaxed the efficiency axiom to obtain semivalues such as Beta Shapley (Kwon and Zou 2022) and Data Banzhaf (Wang and Jia 2023), and approximated marginal contributions with influence estimates (Koh and Liang 2017; Pruthi et al. 2020). We take these estimators as given and ask what changes when the counterfactual they rely on is produced by unlearning rather than retraining. In economics, data has been analyzed as a nonrival input (Jones and Tonetti 2020) and as a source of externalities when one person's data reveals information about others (Acemoglu et al. 2022), and the Shapley value has been characterized axiomatically in several ways (Young 1985; Roth 1988). We are not aware of work that uses the duality between contribution and deletion games to connect data pricing with compensation for withdrawal.</w:t>
      </w:r>
    </w:p>
    <w:p>
      <w:pPr/>
      <w:r>
        <w:rPr>
          <w:b/>
        </w:rPr>
        <w:t xml:space="preserve">Machine unlearning.</w:t>
      </w:r>
      <w:r>
        <w:t xml:space="preserve"> Early formulations asked for a model indistinguishable from one retrained without the forget set (Cao and Yang 2015; Ginart et al. 2019), and exact methods such as SISA (Bourtoule et al. 2021) shard training so that only part of the model needs to be retrained. For language models, most methods are approximate. They include fine-tuning toward generic substitutes (Eldan and Russinovich 2023) and Negative Preference Optimization (Zhang et al. 2024), and they are evaluated on benchmarks such as TOFU (Maini et al. 2024) and MUSE (Shi et al. 2024). Several studies find that unlearned knowledge can be recovered through light fine-tuning or adversarial prompting (Lynch et al. 2024; Łucki et al. 2024). We treat this finding as a premise and ask how it propagates into valuation.</w:t>
      </w:r>
    </w:p>
    <w:p>
      <w:pPr/>
      <w:r>
        <w:rPr>
          <w:b/>
        </w:rPr>
        <w:t xml:space="preserve">Data market design.</w:t>
      </w:r>
      <w:r>
        <w:t xml:space="preserve"> Research in information systems and market design treats data as a traded input whose appropriation is weak. Provenance stands in for quality when buyers cannot inspect legitimacy (Koutroumpis et al. 2020); personal-data markets stall because sellers cannot commit to downstream use (Spiekermann et al. 2015); intermediaries buy data and resell information products (Bergemann and Bonatti 2019; Bergemann et al. 2022); and marketplaces can be designed to elicit data and allocate payment (Agarwal et al. 2019). Gregory et al. (2021) locate the organizational value of data in network effects that accrue only if a platform keeps learning from what users contribute, Krämer and Shekhar (2025) study the regulation of that learning, and Li et al. (2025) show that a right to choose whether to share can raise a firm's profit at the consumer's expense. These designs price a forward transaction. None prices the reverse transaction, a later withdrawal from a model that has already absorbed the data, or ties the price to a counterfactual that the paying party must itself approximate.</w:t>
      </w:r>
    </w:p>
    <w:p>
      <w:pPr/>
      <w:r>
        <w:rPr>
          <w:b/>
        </w:rPr>
        <w:t xml:space="preserve">Compliance and the right to erasure.</w:t>
      </w:r>
      <w:r>
        <w:t xml:space="preserve"> A second literature asks whether firms comply with rules whose violation is hard to observe. Privacy research has reviewed how individuals value and protect their information (Smith et al. 2011; Bélanger and Crossler 2011) and how fairness and regulation shape disclosure (Culnan and Armstrong 1999; Xu et al. 2012). At the firm level, Greenaway et al. (2015) treat privacy orientation as an organizational stance, Wall et al. (2016) model selective violation of privacy and security rules, and Angst et al. (2017) find that security investments deter breaches only once institutional pressure is taken into account. Article 17 of the GDPR and the transparency duties of the AI Act carry this problem over to trained models: erasure is owed, but a model cannot be inspected to see whether the data is gone. Berente et al. (2021) call this obstacle inscrutability, and we read our audit model as a formalization of it.</w:t>
      </w:r>
    </w:p>
    <w:p>
      <w:pPr/>
      <w:r>
        <w:rPr>
          <w:b/>
        </w:rPr>
        <w:t xml:space="preserve">Property rules and liability rules.</w:t>
      </w:r>
      <w:r>
        <w:t xml:space="preserve"> Calabresi and Melamed (1972) distinguish a property rule, under which the holder of an entitlement can refuse a transfer, from a liability rule, under which another party may take the entitlement upon paying damages. Samuelson (2000) and Schwartz (2004) apply the distinction to personal data and caution against a pure property framing, because data are nonrival and consent does not internalize inferences about others (Acemoglu et al. 2022). Information systems research has mostly addressed the individual's decision to disclose rather than the remedy that follows a withdrawal. Section 5.3 uses the distinction directly. Under a property rule the request must be honored, and Proposition 6 gives the condition under which doing so is incentive-compatible for the developer. Under a liability rule the developer may keep the data and pay damages, for which Proposition 1 supplies a measure, the contributor's Shapley value.</w:t>
      </w:r>
    </w:p>
    <w:p>
      <w:pPr/>
      <w:r>
        <w:rPr>
          <w:b/>
        </w:rPr>
        <w:t xml:space="preserve">Manipulation of allocation rules.</w:t>
      </w:r>
      <w:r>
        <w:t xml:space="preserve"> Invariance to merging players is the axiom on which Lehrer (1988) builds the Banzhaf value, and Han et al. (2022) study how payoff allocations respond to replication in submodular games. We add a closed-form characterization of when replication pays under the Shapley value in general games (Section 3.4).</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is fixed and not subject to deletion, together with the data of a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 xml:space="preserve">The Shapley value is the unique allocation that satisfies efficiency, symmetry, the null-player property, and additivity (Shapley 1953). Efficiency here means that the values sum to v(N), the total gain attributable to all contributors' data.</w:t>
      </w:r>
    </w:p>
    <w:p>
      <w:pPr/>
      <w:r>
        <w:t xml:space="preserve">We take contributors, rather than individual examples, as the players, for two reasons. First, deletion requests usually come from an identifiable party, such as an author, a publisher, or a data subject, and concern all of that party's data at once. Second, grouping keeps n small enough that sampling-based estimation remains feasible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 xml:space="preserve">How should the loss from a removal be divided among the members of R, or, more generally, what deletion value should each contributor be assigned? The Shapley value of w is the natural candidate, and the next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 xml:space="preserve">The result is classical as a statement about games, and its interest here lies in its interpretation. A contributor's Shapley share of the value its data created, computed at acquisition, equals its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 xml:space="preserve">The simplest alternative is to compensate contributor i by the leave-one-out loss w({i}) = v(N) − v(N \ {i}), which is what one would naturally measure after retraining or unlearning in response to a single request. This rule has two well-known defects, both sharper in the deletion setting. The first is redundancy. If contributors 1 and 2 hold near-identical data, so that v({1}) ≈ v({2}) ≈ v({1, 2}) = a, each has a leave-one-out loss close to zero even though together they are worth a, whereas the Shapley value assigns each a/2. Language model corpora contain many such near-duplicates, such as syndicated news, mirrored code, and reposted text. The second defect is order dependence. If requests arrive sequentially and each is priced by its leave-one-out loss at the time it arrives, then in the example above the first contributor to leave is owed nothing and the second is owed a, so contributors with substitutable data have an incentive to wait. Shapley values computed on the original game are fixed in advance and sum to the same total regardless of the order in which contributors leave.</w:t>
      </w:r>
    </w:p>
    <w:p>
      <w:pPr/>
      <w:r>
        <w:t xml:space="preserve">We do not claim that Shapley values are the only reasonable rule. Semivalues such as the Banzhaf value drop efficiency and may be preferable for statistical reasons, and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but in practice a contributor chooses how its data is packaged, and a rule that pays by player invites manipulation of that choice. Consider first replication. Suppose contributor i submits a replica of its data under a second identity, so that the player set becomes N′ = (N \ {i}) ∪ {i′, i″}. The replica carries no new information, so the new game v′ satisfies v′(S ∪ A) = v(S ∪ {i}) for every S ⊆ N \ {i} and every nonempty A ⊆ {i′, i″}, and v′(S) = v(S) when A is empty. (Duplicating text can raise a model's exposure to it and so change U itself; this is the duplication factor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of the gain depends on when i's data matters. If its marginal contribution is concentrated in small coalitions, as for data that is valuable but substitutable, replication pays. If its contribution is complementary and appears only once many others are present, replication loses, and in an additive game it is neutral. With two contributors and v({i}) = a, v({j}) = b, and v({i, j}) = c, the replicator's total is (2a + c − b)/3 instead of (a + c − b)/2, a gain of (a + b − c)/6 that is positive exactly when the two datasets are substitutes (c &lt; a + b).</w:t>
      </w:r>
    </w:p>
    <w:p>
      <w:pPr/>
      <w:r>
        <w:t xml:space="preserve">Because the contribution and deletion games have the same Shapley value, the manipulation applies to both, and protection must come from the rules that define players. Pricing on verified distinct content, that is, deduplicating before valuation, removes the replication gain in the idealized case, at the cost of a deduplication step whose reliability for near-duplicates is limited. Merging players can also pay under the Shapley value, which the Banzhaf value is constructed to avoid (Lehrer 1988).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is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walks along a random ordering of N, unlearning one contributor at a time and recording the drop in performance at each step, so that each sampled permutation costs n unlearning operations instead of n training runs.</w:t>
      </w:r>
    </w:p>
    <w:p>
      <w:pPr/>
      <w:r>
        <w:t xml:space="preserve">The difficulty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of removals. This is a real restriction, because sequential unlearning can compound errors, and Section 4.3 relaxes it.</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 xml:space="preserve">The aggregate bias is governed by a single number, ε(∅), which compares a model from which every contributor has been unlearned with a model that never saw the data. If the unlearning method leaves residual knowledge behind and does little collateral damage, the estimated values understate the total contribution of the data; if the method is destructive, they overstate it. In either case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If each removed contributor leaves behind a fixed residue r, so that ε(T) = r · |N \ T|, the residual game is additive and φ</w:t>
      </w:r>
      <w:r>
        <w:rPr>
          <w:vertAlign w:val="subscript"/>
        </w:rPr>
        <w:t xml:space="preserve">i</w:t>
      </w:r>
      <w:r>
        <w:t xml:space="preserve">(ε) = −r for every i: all values shift down by the same amount, and rankings are preserved. If residues are instead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 xml:space="preserve">The second case has an uncomfortable implication. Data tends to be hard to unlearn when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assumption, because each update starts from a model that earlier updates have already perturbed. We now drop it.</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and if even this gap is large relative to v(N), unlearning-based values should not be used for compensation without correction. In Section 6 the set-function estimate is computed by unlearning N \ T in a single pass, which differs from order-averaged sequential removal. The distances reported there therefore combine path sensitivity with the difference between batch and sequential removal and do not estimate the bound in Proposition 5.</w:t>
      </w:r>
    </w:p>
    <w:p>
      <w:pPr>
        <w:pStyle w:val="Heading3"/>
      </w:pPr>
      <w:r>
        <w:t xml:space="preserve">4.4 A Diagnostic</w:t>
      </w:r>
    </w:p>
    <w:p>
      <w:pPr/>
      <w:r>
        <w:t xml:space="preserve">Proposition 3 also suggests a practical check. The aggregate bias does not require computing any Shapley values, only a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as we do in Section 6. A large ε(∅) is a warning that unlearning-based valuations should not be used for compensation without correction. A small or negative ε(∅) is not reassuring, however, because it can coexist with substantial knowledge that a relearning attack recovers (Section 6.4).</w:t>
      </w:r>
    </w:p>
    <w:p>
      <w:pPr>
        <w:pStyle w:val="Heading2"/>
      </w:pPr>
      <w:r>
        <w:t>5 Incentives</w:t>
      </w:r>
    </w:p>
    <w:p>
      <w:pPr>
        <w:pStyle w:val="Heading3"/>
      </w:pPr>
      <w:r>
        <w:t>5.1 Unverifiable Unlearning</w:t>
      </w:r>
    </w:p>
    <w:p>
      <w:pPr/>
      <w:r>
        <w:t xml:space="preserve">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remove the data exactly, at cost C, by retraining (or by retraining only the affected shard if the model was trained in shards), or it can apply an approximate method at a lower cost c &lt; C. Exact removal leaves no residual. Approximate removal leaves a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and which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 xml:space="preserve">The condition is elementary, but three of its features deserve comment. First, audit power enters on a par with audit frequency: a regime that audits often but relies on weak tests is no better than one that audits rarely with strong tests. This gives an economic reason to care about the robustness of unlearning evaluation, and it means that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the penalty proportional to the contributor's value, F</w:t>
      </w:r>
      <w:r>
        <w:rPr>
          <w:vertAlign w:val="subscript"/>
        </w:rPr>
        <w:t xml:space="preserve">i</w:t>
      </w:r>
      <w:r>
        <w:t xml:space="preserve"> = kφ</w:t>
      </w:r>
      <w:r>
        <w:rPr>
          <w:vertAlign w:val="subscript"/>
        </w:rPr>
        <w:t xml:space="preserve">i</w:t>
      </w:r>
      <w:r>
        <w:t xml:space="preserve">. If φ</w:t>
      </w:r>
      <w:r>
        <w:rPr>
          <w:vertAlign w:val="subscript"/>
        </w:rPr>
        <w:t xml:space="preserve">i</w:t>
      </w:r>
      <w:r>
        <w:t xml:space="preserve"> is estimated by the developer using its own approximate unlearning method, however, Proposition 3 implies that the estimate is biased downward whenever residual knowledge dominates collateral damage, and most strongly for the contributors with the largest residue. The developer then gains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a point that Section 5.2 quantifies.</w:t>
      </w:r>
    </w:p>
    <w:p>
      <w:pPr/>
      <w:r>
        <w:t xml:space="preserve">Third, the cost difference C − c depends on decisions made at training time. Sharded or otherwise modular training lowers the cost of exact removal and so relaxes the condition. This amounts to an ex ante investment in unlearnability, whose return depends on how deletion requests will later be enforced; without credible enforcement, developers have little reason to make it. Section 5.6 models this choice.</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a quadratic form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for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the regulator shifts toward power and audits less often; as audits become cheaper, it shifts toward frequency. Both p* and δ* rise with the developer's gain from under-unlearning, C − c + βρ, and fall with the penalty cap. Cheap and strong recovery attacks therefore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a question that Section 5.4 takes up.</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thus deters less residue when the developer sets the base. The tolerable residue shrinks by the factor β/(β + pδk), and the data that is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so far takes for granted that a deletion request must be honored. Following Calabresi and Melamed (1972), one could instead protect contributors with a liability rule, under which the developer may keep the data provided that it pays damages. Proposition 1 suggests a natural measure of damages, namely φ</w:t>
      </w:r>
      <w:r>
        <w:rPr>
          <w:vertAlign w:val="subscript"/>
        </w:rPr>
        <w:t xml:space="preserve">i</w:t>
      </w:r>
      <w:r>
        <w:t xml:space="preserve">, which is consistent with what the contributor would have been paid at acquisition. Under such a rule the developer retains i's data if and only if the cost of losing it exceeds the damages, that is, if w({i}) + C ≥ φ</w:t>
      </w:r>
      <w:r>
        <w:rPr>
          <w:vertAlign w:val="subscript"/>
        </w:rPr>
        <w:t xml:space="preserve">i</w:t>
      </w:r>
      <w:r>
        <w:t xml:space="preserve">, where w({i}) is the leave-one-out loss. If i's data is largely redundant, w({i}) is small relative to φ</w:t>
      </w:r>
      <w:r>
        <w:rPr>
          <w:vertAlign w:val="subscript"/>
        </w:rPr>
        <w:t xml:space="preserve">i</w:t>
      </w:r>
      <w:r>
        <w:t xml:space="preserve"> and the developer will tend to remove the data rather than pay, which costs little socially because others supply the same information. If the data is complementary to the rest, w({i}) can exceed φ</w:t>
      </w:r>
      <w:r>
        <w:rPr>
          <w:vertAlign w:val="subscript"/>
        </w:rPr>
        <w:t xml:space="preserve">i</w:t>
      </w:r>
      <w:r>
        <w:t xml:space="preserve">, and the developer keeps the data and pays. In both cases the outcome tracks the marginal importance of the data. The rule is unattractive, however, when the contributor's interest is not economic, as with personal data or safety-critical knowledge, and in such cases a property rule backed by the audit condition seems more appropriate. Section 5.8 combines the two.</w:t>
      </w:r>
    </w:p>
    <w:p>
      <w:pPr>
        <w:pStyle w:val="Heading3"/>
      </w:pPr>
      <w:r>
        <w:t xml:space="preserve">5.4 Many Requests and Audit Triage</w:t>
      </w:r>
    </w:p>
    <w:p>
      <w:pPr/>
      <w:r>
        <w:t xml:space="preserve">A developer rarely faces a single request. Suppose there are m requests, and that request i carries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The allocation of enforcement effort across offenses is the problem Becker (1968) posed; what is specific here is that the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with a large g</w:t>
      </w:r>
      <w:r>
        <w:rPr>
          <w:vertAlign w:val="subscript"/>
        </w:rPr>
        <w:t xml:space="preserve">i</w:t>
      </w:r>
      <w:r>
        <w:t xml:space="preserve"> and a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The data that is hardest to forget is therefore both the data that the developer is most tempted to under-unlearn and the data that the regulator can least afford to protect. This is a market-level counterpart of the individual-bias result in Section 4.2, and it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suppressing the outputs that a benchmark probes while leaving the underlying knowledge in place. Section 6.4 shows this pattern: a standard score falls to zero, yet a brief relearning attack restores the knowledge. Let the developer choose a concealment level x ∈ [0, 1] that lowers the detection probability to δ(1 − x) at cost κx²/2 with κ &gt; 0, and write z = pδF for the expected penalty absent concealment. The parameter κ measures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therefore help only up to a point. Once concealment is cheap relative to the gain from under-unlearning, additional audit effort is wasted. What matters is not only how strong a test is but how hard it is to anticipate, and raising κ is the only lever, besides lowering g, that restores deterrence when g &gt; κ/2. Wall et al. (2016) describe selective violation of hard-to-monitor rules in the context of privacy and security.</w:t>
      </w:r>
    </w:p>
    <w:p>
      <w:pPr>
        <w:pStyle w:val="Heading3"/>
      </w:pPr>
      <w:r>
        <w:t xml:space="preserve">5.6 Investing in Unlearnability</w:t>
      </w:r>
    </w:p>
    <w:p>
      <w:pPr/>
      <w:r>
        <w:t xml:space="preserve">Section 5.1 noted that the exact-removal cost C depends on training-time choices, and we now model that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This gives the claim that developers have little reason to invest in unlearnability without credible enforcement a formal threshold. It also implies a policy comparison: a regulator can obtain a given level of deterrence either through audits, whose cost increases in θ, or by subsidizing investment, which raises λ²/ι, whichever is cheaper at the margin.</w:t>
      </w:r>
    </w:p>
    <w:p>
      <w:pPr>
        <w:pStyle w:val="Heading3"/>
      </w:pPr>
      <w:r>
        <w:t xml:space="preserve">5.7 Noisy Tests</w:t>
      </w:r>
    </w:p>
    <w:p>
      <w:pPr/>
      <w:r>
        <w:t xml:space="preserve">A real test can return a positive signal even when no residue exists. Let a test have detection probability δ if residue is retained and false-positive probability α &lt; δ if the data was removed exactly, with the penalty F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but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cannot: the residue is private to the developer and visible only through an audit. Consider a liability rule with self-assessment in the sense of Section 5.3. The developer may keep residual knowledge but must declare the amount r̂ that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per unit retained, with h &gt; β, so the planner minimizes χ(u) + (h − β)r(u). The structure is that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the fine multiple must cover the damage rate divided by the detection probability. Third, the declared amount pins down the compensation flow to contributors, and q can be calibrated to the third-party Shapley value of the data (Proposition 1), which ties Section 5 to Section 3. The calibration itself depends on the application.</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an aggregate gap of −ε(∅). (P3) Contributors whose data is harder to forget are undervalued more. (P4) Stronger recovery attacks raise measured residuals and therefore audit power. The experiment speaks to P2 and P4. It addresses P3 only through a single duplication run and P1 only through a sanity check on disjoint groups. Two further predictions are not tested here: (P5) with all 24 removal orders, sequential estimates satisfy the aggregate identity of Proposition 4 exactly, and (P6) the sign of the replication gain is given by the weighted sum in Proposition 2.</w:t>
      </w:r>
    </w:p>
    <w:p>
      <w:pPr/>
      <w:r>
        <w:t xml:space="preserve">The enforcement results add three more predictions. (P7) Under a fixed audit budget, undeterred requests concentrate on those with a high deterrence threshold θ</w:t>
      </w:r>
      <w:r>
        <w:rPr>
          <w:vertAlign w:val="subscript"/>
        </w:rPr>
        <w:t xml:space="preserve">i</w:t>
      </w:r>
      <w:r>
        <w:t xml:space="preserve"> (Proposition 9). (P8) When a developer tunes against a public benchmark, the gap between a held-out audit score and the public score grows with tuning effort and then saturates (Proposition 10). (P9) Developers that expect more requests adopt modular training, but only above an enforcement threshold (Proposition 11). The experiment tests P8 and does not support it; it does not test P7 or P9.</w:t>
      </w:r>
    </w:p>
    <w:p>
      <w:pPr>
        <w:pStyle w:val="Heading3"/>
      </w:pPr>
      <w:r>
        <w:t>6.1 Setting</w:t>
      </w:r>
    </w:p>
    <w:p>
      <w:pPr/>
      <w:r>
        <w:t xml:space="preserve">Testing these predictions requires a setting in which exact retraining is affordable and the content of each contributor's data is known. Fictitious-author benchmarks meet both conditions. In TOFU (Maini et al. 2024), a pretrained model is fine-tuned on question-answer pairs about synthetic authors who do not exist on the web, so a model fine-tuned without a given author has, by construction, no legitimate way to answer questions about that author.</w:t>
      </w:r>
    </w:p>
    <w:p>
      <w:pPr/>
      <w:r>
        <w:t xml:space="preserve">We partition the authors into n = 4 contributor groups of ten authors each, with twenty question-answer pairs per author, and always include a base corpus D</w:t>
      </w:r>
      <w:r>
        <w:rPr>
          <w:vertAlign w:val="subscript"/>
        </w:rPr>
        <w:t xml:space="preserve">0</w:t>
      </w:r>
      <w:r>
        <w:t xml:space="preserve"> of one hundred further authors in training. Because n = 4 yields only 2</w:t>
      </w:r>
      <w:r>
        <w:rPr>
          <w:vertAlign w:val="superscript"/>
        </w:rPr>
        <w:t xml:space="preserve">4</w:t>
      </w:r>
      <w:r>
        <w:t xml:space="preserve"> = 16 coalitions, the contribution game can be computed exactly by fine-tuning one model per coalition. The base model is Qwen2.5-0.5B, fine-tuned in full for five epochs (AdamW, learning rate 2e-5, batch size 32) on D</w:t>
      </w:r>
      <w:r>
        <w:rPr>
          <w:vertAlign w:val="subscript"/>
        </w:rPr>
        <w:t xml:space="preserve">0</w:t>
      </w:r>
      <w:r>
        <w:t xml:space="preserve"> together with the groups in the coalition. We repeat the experiment for five seeds. The seed changes the random assignment of authors to groups as well as the training order, so variation across seeds includes variation in group composition. Seed 0 is analyzed in full, with all strengths and the concealment arms; seeds 1 to 4 were run at s ∈ {8, 20, 28, 32}. Each question appears in one of four prompt formats, drawn at random at each epoch. Format 0 (“Question: … Answer:”) is the public benchmark format and is the one that unlearning always uses; formats 2 and 3 serve as audit formats. Performance U(S) has two components. The author component is the mean, over question-answer pairs, of the exponentiated mean answer-token log-probability, averaged over the four groups. The general component applies the same score to the TOFU real-authors and world-facts sets and captures collateral damage. The two components receive equal weight, so that v = Δ</w:t>
      </w:r>
      <w:r>
        <w:rPr>
          <w:vertAlign w:val="subscript"/>
        </w:rPr>
        <w:t xml:space="preserve">author</w:t>
      </w:r>
      <w:r>
        <w:t xml:space="preserve"> + Δ</w:t>
      </w:r>
      <w:r>
        <w:rPr>
          <w:vertAlign w:val="subscript"/>
        </w:rPr>
        <w:t xml:space="preserve">general</w:t>
      </w:r>
      <w:r>
        <w:t xml:space="preserve">, with Δ measured relative to U(∅). Both are evaluated on the training questions themselves, so U measures memorization rather than generalization.</w:t>
      </w:r>
    </w:p>
    <w:p>
      <w:pPr>
        <w:pStyle w:val="Heading3"/>
      </w:pPr>
      <w:r>
        <w:t>6.2 Manipulations</w:t>
      </w:r>
    </w:p>
    <w:p>
      <w:pPr/>
      <w:r>
        <w:t xml:space="preserve">Two manipulations are planned. To test P1, redundant contributors would be built by giving two groups the same author facts; this manipulation was not run, so P1 remains untested. To test P3, the depth to which a group is learned is varied by duplicating its training examples k times, with k = 1, 2, 4, and 8 for the four groups, as a proxy for the repetition that makes web text hard to unlearn. This manipulation was run once, with the group composition of seed 0 (Section 6.4). The main experiment uses disjoint groups, each trained once.</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applied to questions in the public format. The strength s is the number of gradient-ascent steps per removed group, so that removing |N \ T| groups takes s · |N \ T| steps. We chose the learning rate in an earlier calibration run with a single training format, in which the sign of ε(∅) changed at about 20 steps per group. With four formats the sign changes at about 27 steps, and for seed 0 we therefore report s ∈ {8, 12, 16, 20, 24, 28, 32, 40, 48}, and s ∈ {8, 20, 28, 32} for seeds 1 to 4. Because the calibration relies on the retrained baseline U(∅), that is, on the diagnostic of Section 4.4, we report all strengths rather than a single tuned value.</w:t>
      </w:r>
    </w:p>
    <w:p>
      <w:pPr/>
      <w:r>
        <w:t xml:space="preserve">To test P4, we apply a relearning attack following Łucki et al. (2024). The model from which all four groups have been unlearned is briefly fine-tuned (learning rate 2e-5, batch size 32) on a random 10 percent of the forgotten question-answer pairs and evaluated on the remaining 90 percent. We report author performance at T = ∅ after zero and five relearning steps, and we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We use b ∈ {0, 1, 2, 4, 8} in the format design, b ∈ {0, 1, 2, 4, 8, 16} in the held-out design, and s ∈ {16, 20, 24} in both. In the format design, the developer tunes on all forgotten questions in format 0 and the audit asks the same questions in formats 2 and 3. In the held-out design, the developer's ascent and suppression use one half of the forgotten questions, which serve as the public benchmark, and the audit asks the other half in the public format. In both designs we report the public score, the audit score, and their difference, the concealment gap, and we apply the relearning attack to each resulting model.</w:t>
      </w:r>
    </w:p>
    <w:p>
      <w:pPr>
        <w:pStyle w:val="Heading3"/>
      </w:pPr>
      <w:r>
        <w:t>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and the result of the same attack on the retrained model. The retrained baseline U(∅) has author performance 0.111 in seed 0. Tables 1 and 2 describe seed 0; Table 3 covers all five seeds.</w:t>
      </w:r>
    </w:p>
    <w:p>
      <w:pPr>
        <w:pStyle w:val="Caption"/>
      </w:pPr>
      <w:r>
        <w:rPr>
          <w:b/>
        </w:rPr>
        <w:t>Table 1. Predictions and Observed Results (Seed 0 Unless Noted)</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within a seed the four exact values differ by at most 0.008, and groups change with the seed,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 Across five seeds ε(∅) at s = 28 is 0.042 ± 0.144.</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Weak: ε(∅) at s = 32 rises from −0.107 (no duplication) to +0.487. Per group the bias is smallest for k = 1 and not monotone in k among k = 2, 4, 8.</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 Over five seeds the recovery exceeds the control by 0.600 ± 0.050 at s = 32.</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 (Seed 0)</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essentially unchanged, so that v(N) = 0.8175. The exact Shapley values of the four groups are 0.2055, 0.2077, 0.2003, and 0.2040. The game is close to additive: the leave-one-out values (0.2051 to 0.2089) are within 4.3 percent of the Shapley values, as one would expect when no two groups are redundant. The spread among the groups is small within a seed (0.007 ± 0.001 across seeds), and because the groups change with the seed we cannot tell whether it reflects differences between groups or between training runs. The ranking of contributors is therefore not identified, and rank correlations would be uninformative.</w:t>
      </w:r>
    </w:p>
    <w:p>
      <w:pPr/>
      <w:r>
        <w:t xml:space="preserve">Under exact enumeration of Û, the sum identity in Proposition 3 holds by construction, so the empirical questions are how large ε(∅) is and which sign it takes. Both depend strongly on unlearning strength. At s = 8, ε(∅) is 0.732, almost all of it residual knowledge, and the estimated values sum to 0.086, about 10 percent of the total contribution v(N). The sign changes between s = 24 and s = 28, at roughly 27 steps per group by linear interpolation. At s = 32, ε(∅) is −0.107 and the estimated values overstate the total by about 13 percent; at s = 40 and s = 48 it is −0.121, about 15 percent, because author performance after unlearning has already reached zero and the bias cannot fall further. Collateral damage remains small throughout (|κ(∅)| ≤ 0.010), so ε(∅) is close to ρ(∅) at every strength.</w:t>
      </w:r>
    </w:p>
    <w:p>
      <w:pPr/>
      <w:r>
        <w:t xml:space="preserve">A small aggregate bias does not imply small individual biases. The L1 norm of the Shapley values of the residual game, computed on the author component, falls from 0.730 at s = 8 to 0.076 at s = 28, where the aggregate bias is close to zero, and then rises to 0.104, 0.113, and 0.111 at s = 32, 40, and 48. At s = 28, ρ(∅) is −0.021 while the L1 norm is 0.076, about 9 percent of the author-component v(N) of 0.818. The individual biases must therefore have mixed signs and cannot be a common shift. Away from the sign change, at s = 24 and from s = 32 onward, the L1 norm is close to |ε(∅)|, which indicates that the biases are mostly a common shift in one direction.</w:t>
      </w:r>
    </w:p>
    <w:p>
      <w:pPr/>
      <w:r>
        <w:t xml:space="preserve">At first, the sequential estimate moves away from the set-function estimate as strength increases. The L1 distance between the two is 0.009 at s = 8, 0.081 at s = 16, 0.152 at s = 24, and 0.182 at s = 28, against an author-component v(N) of 0.818, but it does not continue to rise (0.172, 0.159, and 0.288 at s = 32, 40, and 48). The assumption of Section 4.1 thus holds approximately for weak unlearning but breaks down at strengths where the aggregate bias is small. Because the sequential estimate averages over only six of the 24 possible removal orders, part of each distance reflects sampling error.</w:t>
      </w:r>
    </w:p>
    <w:p>
      <w:pPr/>
      <w:r>
        <w:t xml:space="preserve">The relearning attack shows that the aggregate diagnostic can mislead, and the retrained control shows that what the attack recovers is residual knowledge. Before the attack, author performance at ∅ on the held-back 90 percent of forgotten pairs falls from 0.837 at s = 8 to 0.091 at s = 28 and 0.011 at s = 32, and is 0.000 at s = 40 and 48, against 0.114 for the retrained model. After five relearning steps on 10 percent of the forgotten pairs, performance returns to 0.881, 0.866, 0.850, 0.823, 0.814, and 0.804 for s = 8 to 28, to 0.753 at s = 32, and to 0.412 and 0.400 at s = 40 and 48. The same attack raises the retrained model only from 0.114 to 0.151, so the recovery in the unlearned models cannot be attributed to a generic ability to relearn quickly from a few examples. At s = 28, where ε(∅) is slightly negative and the diagnostic would suggest complete forgetting (0.091 is below the retrained 0.114), a brief attack restores performance to 0.804. This is consistent with P4: the measured residual depends on the strength of the attack, and a value of ε(∅) obtained without an attack does not certify removal.</w:t>
      </w:r>
    </w:p>
    <w:p>
      <w:pPr/>
      <w:r>
        <w:rPr>
          <w:i/>
        </w:rPr>
        <w:t xml:space="preserve">Variation across seeds.</w:t>
      </w:r>
      <w:r>
        <w:t xml:space="preserve"> Table 3 repeats the main statistics for five seeds. The total contribution is stable, with v(N) = 0.823 ± 0.007 (mean ± standard deviation; 95 percent interval [0.814, 0.832]), and within a seed the four exact Shapley values differ by 0.005 to 0.008. The aggregate bias, by contrast, is stable only where unlearning is weak: ε(∅) is 0.752 ± 0.015 at s = 8 but 0.325 ± 0.175 at s = 20, 0.042 ± 0.144 at s = 28, and −0.047 ± 0.090 at s = 32. The strength at which ε(∅) changes sign is 25.5, 26.0, 27.1, and 31.7 in the four seeds in which it does so by s = 32 (mean 27.6, standard deviation 2.8); in the fifth seed, ε(∅) is still +0.095 at s = 32, so this mean is biased downward. Near the sign change, a single run of ε(∅) is therefore a poor guide to the size, or even the sign, of the aggregate bias.</w:t>
      </w:r>
    </w:p>
    <w:p>
      <w:pPr>
        <w:pStyle w:val="Caption"/>
      </w:pPr>
      <w:r>
        <w:rPr>
          <w:b/>
        </w:rPr>
        <w:t>Table 3. Five-Seed Summary (Mean ± Standard Deviation, n = 5)</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Strength s</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L1 norm of φ(ε)</w:t>
            </w:r>
          </w:p>
        </w:tc>
        <w:tc>
          <w:tcPr>
            <w:tcW w:w="1872" w:type="dxa"/>
            <w:tcBorders>
              <w:bottom w:val="single" w:sz="6" w:space="0" w:color="auto"/>
            </w:tcBorders>
          </w:tcPr>
          <w:p>
            <w:pPr>
              <w:pStyle w:val="TableText"/>
            </w:pPr>
            <w:r>
              <w:t xml:space="preserve">L1 distance, sequential vs. set-function</w:t>
            </w:r>
          </w:p>
        </w:tc>
        <w:tc>
          <w:tcPr>
            <w:tcW w:w="1872" w:type="dxa"/>
            <w:tcBorders>
              <w:bottom w:val="single" w:sz="6" w:space="0" w:color="auto"/>
            </w:tcBorders>
          </w:tcPr>
          <w:p>
            <w:pPr>
              <w:pStyle w:val="TableText"/>
            </w:pPr>
            <w:r>
              <w:t xml:space="preserve">Excess recovery over retrained control</w:t>
            </w:r>
          </w:p>
        </w:tc>
      </w:tr>
      <w:tr>
        <w:tc>
          <w:tcPr>
            <w:tcW w:w="1872" w:type="dxa"/>
          </w:tcPr>
          <w:p>
            <w:pPr>
              <w:pStyle w:val="TableText"/>
            </w:pPr>
            <w:r>
              <w:t xml:space="preserve">8</w:t>
            </w:r>
          </w:p>
        </w:tc>
        <w:tc>
          <w:tcPr>
            <w:tcW w:w="1872" w:type="dxa"/>
          </w:tcPr>
          <w:p>
            <w:pPr>
              <w:pStyle w:val="TableText"/>
            </w:pPr>
            <w:r>
              <w:t xml:space="preserve">0.752 ± 0.015</w:t>
            </w:r>
          </w:p>
        </w:tc>
        <w:tc>
          <w:tcPr>
            <w:tcW w:w="1872" w:type="dxa"/>
          </w:tcPr>
          <w:p>
            <w:pPr>
              <w:pStyle w:val="TableText"/>
            </w:pPr>
            <w:r>
              <w:t xml:space="preserve">0.749 ± 0.014</w:t>
            </w:r>
          </w:p>
        </w:tc>
        <w:tc>
          <w:tcPr>
            <w:tcW w:w="1872" w:type="dxa"/>
          </w:tcPr>
          <w:p>
            <w:pPr>
              <w:pStyle w:val="TableText"/>
            </w:pPr>
            <w:r>
              <w:t xml:space="preserve">0.027 ± 0.043</w:t>
            </w:r>
          </w:p>
        </w:tc>
        <w:tc>
          <w:tcPr>
            <w:tcW w:w="1872" w:type="dxa"/>
          </w:tcPr>
          <w:p>
            <w:pPr>
              <w:pStyle w:val="TableText"/>
            </w:pPr>
            <w:r>
              <w:t xml:space="preserve">0.729 ± 0.006</w:t>
            </w:r>
          </w:p>
        </w:tc>
      </w:tr>
      <w:tr>
        <w:tc>
          <w:tcPr>
            <w:tcW w:w="1872" w:type="dxa"/>
          </w:tcPr>
          <w:p>
            <w:pPr>
              <w:pStyle w:val="TableText"/>
            </w:pPr>
            <w:r>
              <w:t xml:space="preserve">20</w:t>
            </w:r>
          </w:p>
        </w:tc>
        <w:tc>
          <w:tcPr>
            <w:tcW w:w="1872" w:type="dxa"/>
          </w:tcPr>
          <w:p>
            <w:pPr>
              <w:pStyle w:val="TableText"/>
            </w:pPr>
            <w:r>
              <w:t xml:space="preserve">0.325 ± 0.175</w:t>
            </w:r>
          </w:p>
        </w:tc>
        <w:tc>
          <w:tcPr>
            <w:tcW w:w="1872" w:type="dxa"/>
          </w:tcPr>
          <w:p>
            <w:pPr>
              <w:pStyle w:val="TableText"/>
            </w:pPr>
            <w:r>
              <w:t xml:space="preserve">0.349 ± 0.144</w:t>
            </w:r>
          </w:p>
        </w:tc>
        <w:tc>
          <w:tcPr>
            <w:tcW w:w="1872" w:type="dxa"/>
          </w:tcPr>
          <w:p>
            <w:pPr>
              <w:pStyle w:val="TableText"/>
            </w:pPr>
            <w:r>
              <w:t xml:space="preserve">0.142 ± 0.062</w:t>
            </w:r>
          </w:p>
        </w:tc>
        <w:tc>
          <w:tcPr>
            <w:tcW w:w="1872" w:type="dxa"/>
          </w:tcPr>
          <w:p>
            <w:pPr>
              <w:pStyle w:val="TableText"/>
            </w:pPr>
            <w:r>
              <w:t xml:space="preserve">0.684 ± 0.009</w:t>
            </w:r>
          </w:p>
        </w:tc>
      </w:tr>
      <w:tr>
        <w:tc>
          <w:tcPr>
            <w:tcW w:w="1872" w:type="dxa"/>
          </w:tcPr>
          <w:p>
            <w:pPr>
              <w:pStyle w:val="TableText"/>
            </w:pPr>
            <w:r>
              <w:t xml:space="preserve">28</w:t>
            </w:r>
          </w:p>
        </w:tc>
        <w:tc>
          <w:tcPr>
            <w:tcW w:w="1872" w:type="dxa"/>
          </w:tcPr>
          <w:p>
            <w:pPr>
              <w:pStyle w:val="TableText"/>
            </w:pPr>
            <w:r>
              <w:t xml:space="preserve">0.042 ± 0.144</w:t>
            </w:r>
          </w:p>
        </w:tc>
        <w:tc>
          <w:tcPr>
            <w:tcW w:w="1872" w:type="dxa"/>
          </w:tcPr>
          <w:p>
            <w:pPr>
              <w:pStyle w:val="TableText"/>
            </w:pPr>
            <w:r>
              <w:t xml:space="preserve">0.141 ± 0.069</w:t>
            </w:r>
          </w:p>
        </w:tc>
        <w:tc>
          <w:tcPr>
            <w:tcW w:w="1872" w:type="dxa"/>
          </w:tcPr>
          <w:p>
            <w:pPr>
              <w:pStyle w:val="TableText"/>
            </w:pPr>
            <w:r>
              <w:t xml:space="preserve">0.178 ± 0.081</w:t>
            </w:r>
          </w:p>
        </w:tc>
        <w:tc>
          <w:tcPr>
            <w:tcW w:w="1872" w:type="dxa"/>
          </w:tcPr>
          <w:p>
            <w:pPr>
              <w:pStyle w:val="TableText"/>
            </w:pPr>
            <w:r>
              <w:t xml:space="preserve">0.646 ± 0.016</w:t>
            </w:r>
          </w:p>
        </w:tc>
      </w:tr>
      <w:tr>
        <w:tc>
          <w:tcPr>
            <w:tcW w:w="1872" w:type="dxa"/>
          </w:tcPr>
          <w:p>
            <w:pPr>
              <w:pStyle w:val="TableText"/>
            </w:pPr>
            <w:r>
              <w:t xml:space="preserve">32</w:t>
            </w:r>
          </w:p>
        </w:tc>
        <w:tc>
          <w:tcPr>
            <w:tcW w:w="1872" w:type="dxa"/>
          </w:tcPr>
          <w:p>
            <w:pPr>
              <w:pStyle w:val="TableText"/>
            </w:pPr>
            <w:r>
              <w:t xml:space="preserve">−0.047 ± 0.090</w:t>
            </w:r>
          </w:p>
        </w:tc>
        <w:tc>
          <w:tcPr>
            <w:tcW w:w="1872" w:type="dxa"/>
          </w:tcPr>
          <w:p>
            <w:pPr>
              <w:pStyle w:val="TableText"/>
            </w:pPr>
            <w:r>
              <w:t xml:space="preserve">0.097 ± 0.034</w:t>
            </w:r>
          </w:p>
        </w:tc>
        <w:tc>
          <w:tcPr>
            <w:tcW w:w="1872" w:type="dxa"/>
          </w:tcPr>
          <w:p>
            <w:pPr>
              <w:pStyle w:val="TableText"/>
            </w:pPr>
            <w:r>
              <w:t xml:space="preserve">0.158 ± 0.088</w:t>
            </w:r>
          </w:p>
        </w:tc>
        <w:tc>
          <w:tcPr>
            <w:tcW w:w="1872" w:type="dxa"/>
          </w:tcPr>
          <w:p>
            <w:pPr>
              <w:pStyle w:val="TableText"/>
            </w:pPr>
            <w:r>
              <w:t xml:space="preserve">0.600 ± 0.050</w:t>
            </w:r>
          </w:p>
        </w:tc>
      </w:tr>
    </w:tbl>
    <w:p>
      <w:pPr/>
      <w:r>
        <w:t xml:space="preserve">The result on individual biases also holds seed by seed. At six of the 25 seed–strength pairs, the L1 norm exceeds |ε(∅)| by a factor of 1.4 to 4.7: seed 0 at s = 28, seed 1 at s = 20, 28, and 32, seed 3 at s = 28, and seed 4 at s = 32. At these points |ε(∅)| is at most 0.139 while the L1 norm lies between 0.046 and 0.279, so the individual biases have mixed signs although the aggregate bias is small. At all other pairs the L1 norm is between 0.9 and 1.0 times |ε(∅)|, and the biases are mostly a common shift.</w:t>
      </w:r>
    </w:p>
    <w:p>
      <w:pPr/>
      <w:r>
        <w:t xml:space="preserve">The relearning result is the most stable. Excess recovery over the retrained control is 0.729 ± 0.006 at s = 8, 0.684 ± 0.009 at s = 20, 0.646 ± 0.016 at s = 28, and 0.600 ± 0.050 at s = 32, whereas the controls themselves recover only to between 0.136 and 0.153. At all seven seed–strength pairs with ε(∅) ≤ 0 (seeds 0, 1, and 3 at s = 28 and 32, and seed 4 at s = 32), the unlearned model scores at or below the retrained baseline of its own seed before the attack (0.004 to 0.098, against baselines of 0.097 to 0.120) and recovers to between 0.650 and 0.811 afterward. The distance between the sequential and set-function estimates is 0.027 ± 0.043 at s = 8 and 0.142 ± 0.062, 0.178 ± 0.081, and 0.158 ± 0.088 at s = 20, 28, and 32; it rises from near zero and then levels off, with wide intervals.</w:t>
      </w:r>
    </w:p>
    <w:p>
      <w:pPr/>
      <w:r>
        <w:rPr>
          <w:i/>
        </w:rPr>
        <w:t xml:space="preserve">Concealment (P8).</w:t>
      </w:r>
      <w:r>
        <w:t xml:space="preserve"> The concealment arm does not show the predicted pattern. In the format design, the audit score exceeds the public score by at most 0.006 at every strength and budget, and suppression lowers both scores together (at s = 16, from 0.560 and 0.564 at b = 0 to 0.053 and 0.056 at b = 8). In the held-out design, the gap at b = 0 is positive, at +0.074, +0.054, and +0.012 for s = 16, 20, and 24, because gradient ascent acts most directly on the questions that the developer sees. As the suppression budget grows, the gap shrinks to +0.012, +0.005, and 0.000 at b = 16 while both scores fall toward zero. Suppression therefore generalizes to questions on which the developer did not tune, and we do not observe the widening gap that Proposition 10 describes when concealment is cheap. This is what the proposition implies when concealment is costly (a large κ), but we cannot estimate κ from these data. The arm does show that a standard score near zero certifies little: after b = 16, the benchmark scores are 0.063, 0.033, and 0.013 at s = 16, 20, and 24, all below the retrained baseline of 0.111, yet a five-step relearning attack restores performance to 0.733, 0.711, and 0.689, against 0.151 for the retrained control.</w:t>
      </w:r>
    </w:p>
    <w:p>
      <w:pPr/>
      <w:r>
        <w:rPr>
          <w:i/>
        </w:rPr>
        <w:t xml:space="preserve">Duplication (P3).</w:t>
      </w:r>
      <w:r>
        <w:t xml:space="preserve"> In the additional run, groups 0 to 3 are repeated k = 1, 2, 4, and 8 times in training. Duplication leaves the exact Shapley values nearly unchanged (author component 0.210, 0.220, 0.214, and 0.218; v(N) = 0.857), because performance on the training questions is already close to its ceiling. Residual knowledge, by contrast, rises sharply: ε(∅) is +0.823, +0.742, +0.615, and +0.487 at s = 8, 20, 28, and 32, against +0.732, +0.255, −0.023, and −0.107 without duplication in the same seed, and the L1 norm of the residual game's Shapley values stays within 2 percent of |ε(∅)|, so the biases are a common shift. At s = 32, a five-step relearning attack raises performance at ∅ from 0.596 to 0.847, against 0.151 for the retrained control. The bias by group points in the direction of P3, but only weakly. The unduplicated group is undervalued least (φ</w:t>
      </w:r>
      <w:r>
        <w:rPr>
          <w:vertAlign w:val="subscript"/>
        </w:rPr>
        <w:t xml:space="preserve">i</w:t>
      </w:r>
      <w:r>
        <w:t xml:space="preserve">(ε) = −0.099 at s = 32, or 47 percent of its value, against −0.143, −0.121, and −0.130, or 65, 57, and 60 percent, for k = 2, 4, and 8). However, the bias is not monotone in k among the duplicated groups, the differences are 0.02 to 0.04, and a single run cannot separate them from group composition and training noise. P3 is therefore supported at the aggregate level, since duplicated data leaves more residue while its price barely changes, and only suggestively at the level of individual groups.</w:t>
      </w:r>
    </w:p>
    <w:p>
      <w:pPr/>
      <w:r>
        <w:t xml:space="preserve">Taken together, the results support the claim that the aggregate bias is governed by ε(∅) and can take either sign depending on how aggressively the method unlearns. Across five seeds they also show that individual biases persist where the aggregate bias is small, that the strength at which the aggregate bias changes sign varies from run to run, and that a retrained control confirms the recovered performance to be residual knowledge. One duplication run supports P3 at the aggregate level and only suggestively for individual groups. The results do not support the concealment prediction (P8) in this setting, and they say nothing about redundancy (P1) or about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(Propositions 1, 2, 4, 5, and 7 to 13), including the developer's best response by grid search and exhaustive knapsack solutions for the greedy bound. All checks pass. This shows that the statements are internally correct; it does not show that developers behave as the model assumes.</w:t>
      </w:r>
    </w:p>
    <w:p>
      <w:pPr/>
      <w:r>
        <w:t xml:space="preserve">The concealment arm of Section 6.4 tests P8 and does not support it. The analyses for P7 and P9 have not been done. P7 would use the duplication run to estimate g</w:t>
      </w:r>
      <w:r>
        <w:rPr>
          <w:vertAlign w:val="subscript"/>
        </w:rPr>
        <w:t xml:space="preserve">i</w:t>
      </w:r>
      <w:r>
        <w:t xml:space="preserve"> per group from relearning recovery and to compute K(θ</w:t>
      </w:r>
      <w:r>
        <w:rPr>
          <w:vertAlign w:val="subscript"/>
        </w:rPr>
        <w:t xml:space="preserve">i</w:t>
      </w:r>
      <w:r>
        <w:t xml:space="preserve">); this requires a per-group attack, because the current attack pools the four groups. P9 would estimate λ and ι from measured compute for a sharded variant and for full retraining, and compare the simulated developer's choice with the threshold z ≥ g</w:t>
      </w:r>
      <w:r>
        <w:rPr>
          <w:vertAlign w:val="subscript"/>
        </w:rPr>
        <w:t xml:space="preserve">0</w:t>
      </w:r>
      <w:r>
        <w:t xml:space="preserve"> − Λ. A stronger test of P8 would use a more demanding auditor, such as one based on paraphrases or adversarial prompts, and a stronger concealment method than refusal fine-tuning.</w:t>
      </w:r>
    </w:p>
    <w:p>
      <w:pPr>
        <w:pStyle w:val="Heading2"/>
      </w:pPr>
      <w:r>
        <w:t>7 Discussion and Limitations</w:t>
      </w:r>
    </w:p>
    <w:p>
      <w:pPr/>
      <w:r>
        <w:rPr>
          <w:b/>
        </w:rPr>
        <w:t xml:space="preserve">Implications for practice and policy.</w:t>
      </w:r>
      <w:r>
        <w:t xml:space="preserve"> Taken together with the propositions, the analysis suggests seven design hypotheses for the organizations and regulators involved. They follow from a stylized model and a small experiment and should be read as hypotheses, not findings.</w:t>
      </w:r>
    </w:p>
    <w:p>
      <w:pPr/>
      <w:r>
        <w:rPr>
          <w:i/>
        </w:rPr>
        <w:t xml:space="preserve">Separate valuation from the party being valued.</w:t>
      </w:r>
      <w:r>
        <w:t xml:space="preserve"> Values that the developer computes with its own unlearning method are biased downward where residual knowledge dominates (Proposition 3), and the bias is largest for the contributors whose data is hardest to forget. Used as a penalty base, such values also shrink the residue that audits can deter (Proposition 8). Enforcement should therefore rest on retraining-based valuations on a proxy model computed by a third party, which requires the developer to keep a base checkpoint and the evaluation suite in escrow.</w:t>
      </w:r>
    </w:p>
    <w:p>
      <w:pPr/>
      <w:r>
        <w:rPr>
          <w:i/>
        </w:rPr>
        <w:t xml:space="preserve">Treat evaluation as enforcement infrastructure.</w:t>
      </w:r>
      <w:r>
        <w:t xml:space="preserve"> Because audit frequency and audit power are substitutes in deterrence (Proposition 7), regulators and industry bodies can choose between many weak checks and a few strong ones according to their relative cost. An unlearning claim that has not survived a strong recovery attack of the kind studied in Section 6.4 should not count as compliance.</w:t>
      </w:r>
    </w:p>
    <w:p>
      <w:pPr/>
      <w:r>
        <w:rPr>
          <w:i/>
        </w:rPr>
        <w:t xml:space="preserve">Make tests hard to anticipate.</w:t>
      </w:r>
      <w:r>
        <w:t xml:space="preserve"> Proposition 10 bounds the effectiveness of auditing by the developer's cost of tuning its unlearning to the test. A method optimized against a known benchmark can suppress what the benchmark probes without removing the knowledge. The remedy is less predictable auditing, with undisclosed, rotating, or adaptive tests, together with a measure of test power that nets out false positives (Proposition 12), rather than more audits of the same kind. Statutory caps matter in the same way: the penalty ceiling F̄, for example the turnover-based ceiling in Article 83(5) of the GDPR, enters the deterrence threshold θ and so determines whether the ceiling in Proposition 10 is reached. In our experiment, suppression tuned on benchmark questions generalized to held-out questions rather than hiding knowledge from them (Section 6.4), so we observe no concealment gap. We do observe that a standard score near zero can coexist with knowledge that a relearning attack recovers, far beyond what the same attack recovers in a retrained model.</w:t>
      </w:r>
    </w:p>
    <w:p>
      <w:pPr/>
      <w:r>
        <w:rPr>
          <w:i/>
        </w:rPr>
        <w:t xml:space="preserve">Expect rationed protection.</w:t>
      </w:r>
      <w:r>
        <w:t xml:space="preserve"> With limited audit capacity, regulators cannot protect every request, and Proposition 9 shows who is left out: requests that are costly to deter, which are those on data from which the developer gains most by under-unlearning and for which a developer-set penalty base is smallest.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Proposition 11 makes this a threshold, with a margin Λ that grows with the number of requests the developer expects. Credible enforcement and ex ante unlearnability are thus complements, and a regulator may prefer to subsidize modular training where audits are costly.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therefore price verified distinct content, and they should expect that the deduplication of near-duplicates will be contested.</w:t>
      </w:r>
    </w:p>
    <w:p>
      <w:pPr/>
      <w:r>
        <w:rPr>
          <w:i/>
        </w:rPr>
        <w:t xml:space="preserve">Combine liability rules with self-assessment.</w:t>
      </w:r>
      <w:r>
        <w:t xml:space="preserve"> Proposition 13 shows that a declare-and-pay rule, in which the developer reports retained knowledge, pays a price calibrated to third-party Shapley values, and is audited, replaces the cliff of the binary audit condition with continuous deterrence. The same result implies that the optimal regime tolerates some residue, so a policy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assumption: the aggregate identity survives with the residual averaged over removal orders (Proposition 4), and path sensitivity bounds the departure of individual values from an order-averaged benchmark (Proposition 5), a quantity we have not measured directly. In the experiment, the L1 distance between the sequential and set-function estimates rises in seed 0 from 0.009 at s = 8 to 0.182 at s = 28 and varies between 0.159 and 0.288 beyond. Across five seeds it averages 0.027 at s = 8 and between 0.142 and 0.178 at s = 20 to 32, against an author-component v(N) of 0.818. The assumption is therefore not innocuous at strengths where the aggregate bias is small, although part of that distance reflects the difference between batch and sequential removal. Measuring path sensitivity empirically is the most important open question that the paper raises.</w:t>
      </w:r>
    </w:p>
    <w:p>
      <w:pPr/>
      <w:r>
        <w:rPr>
          <w:b/>
        </w:rPr>
        <w:t xml:space="preserve">Choice of utility.</w:t>
      </w:r>
      <w:r>
        <w:t xml:space="preserve"> Shapley values are only as meaningful as the performance measure behind them. A contributor's data may matter greatly for some capabilities and not at all for others, and the weighting of evaluation tasks is a normative choice that our framework does not resolve. Collateral damage is particularly sensitive to this choice.</w:t>
      </w:r>
    </w:p>
    <w:p>
      <w:pPr/>
      <w:r>
        <w:rPr>
          <w:b/>
        </w:rPr>
        <w:t xml:space="preserve">Scale.</w:t>
      </w:r>
      <w:r>
        <w:t xml:space="preserve"> Our design relies on small models and synthetic data, for which exact retraining is cheap. Whether residual games at frontier scale resemble those at small scale is unknown. We expect the qualitative pattern, that heavily repeated data leaves more residue, to carry over, but the magnitudes may not.</w:t>
      </w:r>
    </w:p>
    <w:p>
      <w:pPr/>
      <w:r>
        <w:rPr>
          <w:b/>
        </w:rPr>
        <w:t xml:space="preserve">Experimental scope.</w:t>
      </w:r>
      <w:r>
        <w:t xml:space="preserve"> The experiment uses four disjoint and statistically symmetric contributor groups, a single 0.5B-parameter model, and one unlearning algorithm (gradient ascent). It has five seeds, of which seeds 1 to 4 cover only s ∈ {8, 20, 28, 32}; the concealment arms were run for seed 0 only, and the duplication run has a single seed. Because of the symmetry, and because the groups change with the seed, the ranking of contributors is not identified. Redundancy (P1) and the comparison across unlearning methods remain untested, P3 rests on one duplication run, and the calibration of unlearning strength used the retrained baseline. The concealment arm tests one form of suppression against two kinds of audit, so a stronger auditor, for instance one using paraphrases or adversarial prompts, might reveal a gap that ours does not. The enforcement results of Sections 5.4 to 5.8, other than P8, are checked numerically but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test signals, or the role of reputation in repeated interaction. The investment result (Proposition 11) takes the number of requests as given, and the concealment result (Proposition 10) takes the cost of concealment as given; we do not know the empirical size of either parameter.</w:t>
      </w:r>
    </w:p>
    <w:p>
      <w:pPr/>
      <w:r>
        <w:rPr>
          <w:b/>
        </w:rPr>
        <w:t xml:space="preserve">Contributor definition.</w:t>
      </w:r>
      <w:r>
        <w:t xml:space="preserve"> We assume that contributors are well defined and that their datasets are disjoint. In practice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the splitting of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(Section 6.2).</w:t>
      </w:r>
    </w:p>
    <w:p>
      <w:pPr>
        <w:pStyle w:val="Heading2"/>
      </w:pPr>
      <w:r>
        <w:t>8 Conclusion</w:t>
      </w:r>
    </w:p>
    <w:p>
      <w:pPr/>
      <w:r>
        <w:t xml:space="preserve">Data valuation and machine unlearning examine the same counterfactual from opposite directions. We have shown that under the Shapley value the two agree exactly, which provides a consistent basis for pricing data when it is acquired and for compensating contributors when it is withdrawn, although the rule can be gamed by contributors who replicate their data. In practice the agreement breaks down, because the counterfactuals must be generated by approximate unlearning. The resulting bias is additive, its total is fixed by the residual performance of a fully unlearned model (averaged over removal orders when unlearning is sequential), and it falls hardest on the data that is most difficult to forget, a prediction that one duplication run supports at the aggregate level and only suggestively for individual groups. In a small experiment repeated over five seeds, the aggregate bias changed sign with unlearning strength, at a strength that varied across seeds; order dependence appeared as unlearning strengthened; and a brief relearning attack recovered knowledge that the aggregate diagnostic had classed as removed, far beyond what the same attack recovers in a retrained model.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in their own right. Limited audit capacity rations protection and leaves the data that is hardest to forget least protected. Developers invest in unlearnable training only when enforcement is credible, and a declare-and-pay rule backed by audits delivers continuous deterrence while optimally tolerating some residue. Valuations used to set penalties should come from a third party rather than the developer.</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