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API adopters of LLMs earn no economic profit from the model itself</w:t>
      </w:r>
    </w:p>
    <w:p>
      <w:pPr>
        <w:numPr>
          <w:ilvl w:val="0"/>
          <w:numId w:val="1001"/>
        </w:numPr>
        <w:pStyle w:val="Compact"/>
      </w:pPr>
      <w:r>
        <w:t xml:space="preserve">Developer rent tracks the quality lead and fades as rivals catch up</w:t>
      </w:r>
    </w:p>
    <w:p>
      <w:pPr>
        <w:numPr>
          <w:ilvl w:val="0"/>
          <w:numId w:val="1001"/>
        </w:numPr>
        <w:pStyle w:val="Compact"/>
      </w:pPr>
      <w:r>
        <w:t xml:space="preserve">Vendors can productize an adopter’s use, shortening the adopter’s rent window</w:t>
      </w:r>
    </w:p>
    <w:p>
      <w:pPr>
        <w:numPr>
          <w:ilvl w:val="0"/>
          <w:numId w:val="1001"/>
        </w:numPr>
        <w:pStyle w:val="Compact"/>
      </w:pPr>
      <w:r>
        <w:t xml:space="preserve">Data-use clauses slow productization, but vendor competition weakens them</w:t>
      </w:r>
    </w:p>
    <w:p>
      <w:pPr>
        <w:numPr>
          <w:ilvl w:val="0"/>
          <w:numId w:val="1001"/>
        </w:numPr>
        <w:pStyle w:val="Compact"/>
      </w:pPr>
      <w:r>
        <w:t xml:space="preserve">Public data show the constructs are measurable; they do not test the theory</w:t>
      </w:r>
    </w:p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276" w:lineRule="auto"/>
      <w:jc w:val="left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  <w:jc w:val="left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276" w:lineRule="auto"/>
      <w:jc w:val="center"/>
    </w:pPr>
    <w:rPr>
      <w:rFonts w:ascii="Times New Roman" w:hAnsi="Times New Roman" w:cs="Times New Roman" w:eastAsia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276" w:lineRule="auto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120" w:line="276" w:lineRule="auto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>Ook Lee</dc:creator>
  <cp:keywords/>
  <dcterms:created xsi:type="dcterms:W3CDTF">2026-10-21T02:15:54Z</dcterms:created>
  <dcterms:modified xsi:type="dcterms:W3CDTF">2026-10-21T02:15:54Z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