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and the gap between the two widens.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only small exposure gradients that cannot be distinguished from earlier trends, and we show that these designs could not detect even complete assimilation at the substitution rates observed on freelance platforms. Such results are therefore uninformative about assimilation. We derive a detectability bound that can accompany any exposure estimate and specify the firm-level data needed to separate the competing accounts.</w:t>
      </w:r>
    </w:p>
    <w:p>
      <w:pPr>
        <w:pStyle w:val="BodyTex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spacing w:line="480" w:lineRule="auto" w:after="0" w:before="0"/>
        <w:ind w:firstLine="720"/>
        <w:jc w:val="left"/>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23 percent. The exposure gradients the designs do report are small and imprecise: about 2 to 3 percent fewer adverts per standard deviation of exposure in Europe in 2023 and 2024, and a first-year decline of similar size in Canada that does not persist. Exposed occupations were already declining relative to others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to generative AI by locating complementary assets in a single, observable cost term, review cost, and by showing why the near-zero acquisition cost of generative tools should widen the gap between acquisition and assimilation. The enterprise systems on which assimilation theory was built were costly to acquire, which meant that acquisition itself partly selected firms that had already built complements. A visual generator can be acquired with almost no complementary investment. Better models raise the acceptance rate of output, but they cannot supply the expertise, review capacity, or compliance procedures needed to cross the acceptance threshold. Reported use is therefore a weaker signal of task reassignment for generative tools than it was for earlier information technologies.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the large and growing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cannot be told apart from an extrapolation of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3"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for future data):</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End w:id="33"/>
    <w:bookmarkStart w:id="34"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4"/>
    <w:bookmarkStart w:id="38" w:name="data"/>
    <w:p>
      <w:pPr>
        <w:pStyle w:val="Heading2"/>
      </w:pPr>
      <w:r>
        <w:rPr>
          <w:rFonts w:ascii="Times New Roman" w:hAnsi="Times New Roman" w:eastAsia="Times New Roman" w:cs="Times New Roman"/>
        </w:rPr>
        <w:t xml:space="preserve">5 Data</w:t>
      </w:r>
    </w:p>
    <w:bookmarkStart w:id="35"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5"/>
    <w:bookmarkStart w:id="36"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312 unit groups with all four quarters observed in the 2022 base year and at least 1,000 vacancies in that year. The quarter 2020Q2 was not collected, so 2020 and 2021 cannot be used; annual figures are quarterly means, and 2026 covers the first two quarters, compared with the same quarters of 2022. European Labour Force Survey employment by industry and US sector postings from Indeed Hiring Lab (2026) are used descriptively.</w:t>
      </w:r>
    </w:p>
    <w:bookmarkEnd w:id="36"/>
    <w:bookmarkStart w:id="37"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We scored the 17,358 distinct task statements of the 914 O*NET-SOC occupations that the ESCO crosswalk links to the 96 European occupations in our sample, using Claude Haiku 5.5 at temperature zero and the narrow rubric in Appendix A, which credits only the production or editing of visual content. An ISCO-08 three-digit group inherits the pooled task statements of all O*NET-SOC occupations linked to it through the three-digit prefix of the ESCO code. For Canada, we scored the 3,559 distinct main-duty statements of the NOC 2021 unit groups in our sample with the same rubric and averaged them by unit group. The control for language-model exposure is built in the same way from a second rubric that credits tasks in which reading, writing, or otherwise producing text is central (Appendix A). Both measures are standardized across occupations (across unit groups in Canada). In Europe they correlate 0.12 across occupations, and in Canada 0.05. The two occupations with the highest visual exposure are architects, planners, surveyors, and designers (ISCO 216, 5.3 standard deviations above the mean) and creative and performing artists (ISCO 265, 4.4). In Canada, graphic arts technicians and graphic designers and illustrators lead.</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and we have no human coding of these scores. We therefore report two checks on measurement noise, neither of which substitutes for validation against human coders. First, we scored the same statements with a second, unrelated model (GPT-5.6 Luna). On the visual rubric the two models agree on 96.8 percent of task statements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0.66, quadratic-weighted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0.83, Gwet’s AC1 = 0.97). Chance-corrected coefficients are depressed when one category dominates, and only about 5 percent of statements receive a nonzero visual score, which is why</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sits well below raw agreement. For the text rubric the corresponding values are 83.3 percent, 0.58, 0.79, and 0.79. At the level that enters the regressions, occupation-level exposure from the two models correlates 0.99 for the visual measure and 0.98 for the text measure, and the gradients in Table 4 change little when the second model’s scores are used (for example,</w:t>
      </w:r>
      <w:r>
        <w:rPr>
          <w:rFonts w:ascii="Times New Roman" w:hAnsi="Times New Roman" w:eastAsia="Times New Roman" w:cs="Times New Roman"/>
        </w:rPr>
        <w:t xml:space="preserve"> </w:t>
      </w:r>
      <m:oMath>
        <m:r>
          <m:rPr>
            <m:sty m:val="p"/>
          </m:rPr>
          <m:t>−</m:t>
        </m:r>
        <m:r>
          <m:t>0.025</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in 2023 and</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(0.017) in 2024). Agreement between two language models shows that the scores are stable, not that they are valid, because the models may share biases. Second, classical measurement error attenuates the coefficient per standard deviation of exposure by the square root of the reliability (Appendix B). Complete assimilation would then produce a smaller coefficient than the one in equation (5), while the minimum detectable effect is unchanged, so noise in exposure strengthens the detectability result. What noise weakens is the substantive reading of any observed gradient, which is why we classify gradients with the bound before interpreting them. We do not correct the coefficients for attenuation.</w:t>
      </w:r>
    </w:p>
    <w:bookmarkEnd w:id="37"/>
    <w:bookmarkEnd w:id="38"/>
    <w:bookmarkStart w:id="41" w:name="the-acquisition-margin"/>
    <w:p>
      <w:pPr>
        <w:pStyle w:val="Heading2"/>
      </w:pPr>
      <w:r>
        <w:rPr>
          <w:rFonts w:ascii="Times New Roman" w:hAnsi="Times New Roman" w:eastAsia="Times New Roman" w:cs="Times New Roman"/>
        </w:rPr>
        <w:t xml:space="preserve">6 The Acquisition Margin</w:t>
      </w:r>
    </w:p>
    <w:bookmarkStart w:id="39"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39"/>
    <w:bookmarkStart w:id="40"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0.003 to 0.006). Exposure therefore identifies digitally intensive sectors rather than a specific propensity to acquire visual generators, which is a further reason not to read exposure gradients in hiring as effects of visual generation.</w:t>
      </w:r>
    </w:p>
    <w:bookmarkEnd w:id="40"/>
    <w:bookmarkEnd w:id="41"/>
    <w:bookmarkStart w:id="47" w:name="X0775f8330c9593e54d58f04a83b284a01583fa5"/>
    <w:p>
      <w:pPr>
        <w:pStyle w:val="Heading2"/>
      </w:pPr>
      <w:r>
        <w:rPr>
          <w:rFonts w:ascii="Times New Roman" w:hAnsi="Times New Roman" w:eastAsia="Times New Roman" w:cs="Times New Roman"/>
        </w:rPr>
        <w:t xml:space="preserve">7 Occupation-Level Hiring Through the Bound</w:t>
      </w:r>
    </w:p>
    <w:bookmarkStart w:id="42"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separately for each year, with country fixed effects and standard errors clustered by ISCO occupation (Table 4).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permute exposure across occupations. A standard deviation of exposure is associated with 2.2 percent fewer adverts in 2023 (standard error 0.7, randomization</w:t>
      </w:r>
      <w:r>
        <w:rPr>
          <w:rFonts w:ascii="Times New Roman" w:hAnsi="Times New Roman" w:eastAsia="Times New Roman" w:cs="Times New Roman"/>
        </w:rPr>
        <w:t xml:space="preserve"> </w:t>
      </w:r>
      <m:oMath>
        <m:r>
          <m:t>p</m:t>
        </m:r>
        <m:r>
          <m:rPr>
            <m:sty m:val="p"/>
          </m:rPr>
          <m:t>=</m:t>
        </m:r>
        <m:r>
          <m:t>0.012</m:t>
        </m:r>
      </m:oMath>
      <w:r>
        <w:rPr>
          <w:rFonts w:ascii="Times New Roman" w:hAnsi="Times New Roman" w:eastAsia="Times New Roman" w:cs="Times New Roman"/>
        </w:rPr>
        <w:t xml:space="preserve">) and 2.9 percent fewer in 2024 (standard error 1.8,</w:t>
      </w:r>
      <w:r>
        <w:rPr>
          <w:rFonts w:ascii="Times New Roman" w:hAnsi="Times New Roman" w:eastAsia="Times New Roman" w:cs="Times New Roman"/>
        </w:rPr>
        <w:t xml:space="preserve"> </w:t>
      </w:r>
      <m:oMath>
        <m:r>
          <m:t>p</m:t>
        </m:r>
        <m:r>
          <m:rPr>
            <m:sty m:val="p"/>
          </m:rPr>
          <m:t>=</m:t>
        </m:r>
        <m:r>
          <m:t>0.080</m:t>
        </m:r>
      </m:oMath>
      <w:r>
        <w:rPr>
          <w:rFonts w:ascii="Times New Roman" w:hAnsi="Times New Roman" w:eastAsia="Times New Roman" w:cs="Times New Roman"/>
        </w:rPr>
        <w:t xml:space="preserve">). Without the language control the estimates are</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(0.12).</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 FE, language-model control)</w:t>
            </w:r>
          </w:p>
        </w:tc>
        <w:tc>
          <w:tcPr/>
          <w:p>
            <w:pPr>
              <w:pStyle w:val="Compact"/>
              <w:spacing w:line="240" w:lineRule="auto" w:after="40"/>
              <w:ind w:firstLine="0"/>
              <w:jc w:val="right"/>
            </w:pPr>
            <w:r>
              <w:rPr>
                <w:rFonts w:ascii="Times New Roman" w:hAnsi="Times New Roman"/>
                <w:sz w:val="19"/>
              </w:rPr>
              <w:t xml:space="preserve">+0.024 (0.015)</w:t>
            </w:r>
          </w:p>
        </w:tc>
        <w:tc>
          <w:tcPr/>
          <w:p>
            <w:pPr>
              <w:pStyle w:val="Compact"/>
              <w:spacing w:line="240" w:lineRule="auto" w:after="40"/>
              <w:ind w:firstLine="0"/>
              <w:jc w:val="right"/>
            </w:pPr>
            <w:r>
              <w:rPr>
                <w:rFonts w:ascii="Times New Roman" w:hAnsi="Times New Roman"/>
                <w:sz w:val="19"/>
              </w:rPr>
              <w:t xml:space="preserve">+0.010 (0.015)</w:t>
            </w:r>
          </w:p>
        </w:tc>
        <w:tc>
          <w:tcPr/>
          <w:p>
            <w:pPr>
              <w:pStyle w:val="Compact"/>
              <w:spacing w:line="240" w:lineRule="auto" w:after="40"/>
              <w:ind w:firstLine="0"/>
              <w:jc w:val="right"/>
            </w:pPr>
            <w:r>
              <w:rPr>
                <w:rFonts w:ascii="Times New Roman" w:hAnsi="Times New Roman"/>
                <w:sz w:val="19"/>
              </w:rPr>
              <w:t xml:space="preserve">+0.014 (0.009)</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−0.029 (0.018)</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+0.014 (0.015)</w:t>
            </w:r>
          </w:p>
        </w:tc>
        <w:tc>
          <w:tcPr/>
          <w:p>
            <w:pPr>
              <w:pStyle w:val="Compact"/>
              <w:spacing w:line="240" w:lineRule="auto" w:after="40"/>
              <w:ind w:firstLine="0"/>
              <w:jc w:val="right"/>
            </w:pPr>
            <w:r>
              <w:rPr>
                <w:rFonts w:ascii="Times New Roman" w:hAnsi="Times New Roman"/>
                <w:sz w:val="19"/>
              </w:rPr>
              <w:t xml:space="preserve">+0.002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−0.034 (0.008)</w:t>
            </w:r>
          </w:p>
        </w:tc>
        <w:tc>
          <w:tcPr/>
          <w:p>
            <w:pPr>
              <w:pStyle w:val="Compact"/>
              <w:spacing w:line="240" w:lineRule="auto" w:after="40"/>
              <w:ind w:firstLine="0"/>
              <w:jc w:val="right"/>
            </w:pPr>
            <w:r>
              <w:rPr>
                <w:rFonts w:ascii="Times New Roman" w:hAnsi="Times New Roman"/>
                <w:sz w:val="19"/>
              </w:rPr>
              <w:t xml:space="preserve">−0.055 (0.020)</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−0.017 (0.012)</w:t>
            </w:r>
          </w:p>
        </w:tc>
        <w:tc>
          <w:tcPr/>
          <w:p>
            <w:pPr>
              <w:pStyle w:val="Compact"/>
              <w:spacing w:line="240" w:lineRule="auto" w:after="40"/>
              <w:ind w:firstLine="0"/>
              <w:jc w:val="right"/>
            </w:pPr>
            <w:r>
              <w:rPr>
                <w:rFonts w:ascii="Times New Roman" w:hAnsi="Times New Roman"/>
                <w:sz w:val="19"/>
              </w:rPr>
              <w:t xml:space="preserve">−0.017 (0.029)</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0.126</w:t>
            </w:r>
          </w:p>
        </w:tc>
        <w:tc>
          <w:tcPr/>
          <w:p>
            <w:pPr>
              <w:pStyle w:val="Compact"/>
              <w:spacing w:line="240" w:lineRule="auto" w:after="40"/>
              <w:ind w:firstLine="0"/>
              <w:jc w:val="right"/>
            </w:pPr>
            <w:r>
              <w:rPr>
                <w:rFonts w:ascii="Times New Roman" w:hAnsi="Times New Roman"/>
                <w:sz w:val="19"/>
              </w:rPr>
              <w:t xml:space="preserve">0.595</w:t>
            </w:r>
          </w:p>
        </w:tc>
        <w:tc>
          <w:tcPr/>
          <w:p>
            <w:pPr>
              <w:pStyle w:val="Compact"/>
              <w:spacing w:line="240" w:lineRule="auto" w:after="40"/>
              <w:ind w:firstLine="0"/>
              <w:jc w:val="right"/>
            </w:pPr>
            <w:r>
              <w:rPr>
                <w:rFonts w:ascii="Times New Roman" w:hAnsi="Times New Roman"/>
                <w:sz w:val="19"/>
              </w:rPr>
              <w:t xml:space="preserve">0.166</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0.080</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0.041</w:t>
            </w:r>
          </w:p>
        </w:tc>
        <w:tc>
          <w:tcPr/>
          <w:p>
            <w:pPr>
              <w:pStyle w:val="Compact"/>
              <w:spacing w:line="240" w:lineRule="auto" w:after="40"/>
              <w:ind w:firstLine="0"/>
              <w:jc w:val="right"/>
            </w:pPr>
            <w:r>
              <w:rPr>
                <w:rFonts w:ascii="Times New Roman" w:hAnsi="Times New Roman"/>
                <w:sz w:val="19"/>
              </w:rPr>
              <w:t xml:space="preserve">0.042</w:t>
            </w:r>
          </w:p>
        </w:tc>
        <w:tc>
          <w:tcPr/>
          <w:p>
            <w:pPr>
              <w:pStyle w:val="Compact"/>
              <w:spacing w:line="240" w:lineRule="auto" w:after="40"/>
              <w:ind w:firstLine="0"/>
              <w:jc w:val="right"/>
            </w:pPr>
            <w:r>
              <w:rPr>
                <w:rFonts w:ascii="Times New Roman" w:hAnsi="Times New Roman"/>
                <w:sz w:val="19"/>
              </w:rPr>
              <w:t xml:space="preserve">0.025</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0.050</w:t>
            </w:r>
          </w:p>
        </w:tc>
      </w:tr>
      <w:tr>
        <w:tc>
          <w:tcPr/>
          <w:p>
            <w:pPr>
              <w:pStyle w:val="Compact"/>
              <w:spacing w:line="240" w:lineRule="auto" w:after="40"/>
              <w:ind w:firstLine="0"/>
              <w:jc w:val="left"/>
            </w:pPr>
            <w:r>
              <w:rPr>
                <w:rFonts w:ascii="Times New Roman" w:hAnsi="Times New Roman"/>
                <w:sz w:val="19"/>
              </w:rPr>
              <w:t xml:space="preserve">Second scorer (preferred)</w:t>
            </w:r>
          </w:p>
        </w:tc>
        <w:tc>
          <w:tcPr/>
          <w:p>
            <w:pPr>
              <w:pStyle w:val="Compact"/>
              <w:spacing w:line="240" w:lineRule="auto" w:after="40"/>
              <w:ind w:firstLine="0"/>
              <w:jc w:val="right"/>
            </w:pPr>
            <w:r>
              <w:rPr>
                <w:rFonts w:ascii="Times New Roman" w:hAnsi="Times New Roman"/>
                <w:sz w:val="19"/>
              </w:rPr>
              <w:t xml:space="preserve">+0.023 (0.015)</w:t>
            </w:r>
          </w:p>
        </w:tc>
        <w:tc>
          <w:tcPr/>
          <w:p>
            <w:pPr>
              <w:pStyle w:val="Compact"/>
              <w:spacing w:line="240" w:lineRule="auto" w:after="40"/>
              <w:ind w:firstLine="0"/>
              <w:jc w:val="right"/>
            </w:pPr>
            <w:r>
              <w:rPr>
                <w:rFonts w:ascii="Times New Roman" w:hAnsi="Times New Roman"/>
                <w:sz w:val="19"/>
              </w:rPr>
              <w:t xml:space="preserve">+0.004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−0.025 (0.007)</w:t>
            </w:r>
          </w:p>
        </w:tc>
        <w:tc>
          <w:tcPr/>
          <w:p>
            <w:pPr>
              <w:pStyle w:val="Compact"/>
              <w:spacing w:line="240" w:lineRule="auto" w:after="40"/>
              <w:ind w:firstLine="0"/>
              <w:jc w:val="right"/>
            </w:pPr>
            <w:r>
              <w:rPr>
                <w:rFonts w:ascii="Times New Roman" w:hAnsi="Times New Roman"/>
                <w:sz w:val="19"/>
              </w:rPr>
              <w:t xml:space="preserve">−0.032 (0.017)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separate regressions by year with country fixed effects; standard errors clustered by ISCO three-digit occupation in parentheses.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come from 5,000 permutations of exposure across occupations. Minimum detectable effect = 2.8 × standard error (two-sided 5 percent test, 80 percent power). The deviation row fits a linear trend to the 2019–2021 coefficients and the 2022 base year (zero by construction) in a joint model with year-specific slopes, and reports the deviation of the 2023 and 2024 coefficients from its extrapolation; the fitted slope is</w:t>
      </w:r>
      <w:r>
        <w:rPr>
          <w:rFonts w:ascii="Times New Roman" w:hAnsi="Times New Roman" w:eastAsia="Times New Roman" w:cs="Times New Roman"/>
        </w:rPr>
        <w:t xml:space="preserve"> </w:t>
      </w:r>
      <m:oMath>
        <m:r>
          <m:rPr>
            <m:sty m:val="p"/>
          </m:rPr>
          <m:t>−</m:t>
        </m:r>
        <m:r>
          <m:t>0.0069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0.0056). The last row uses scores from a second model for both exposure measures.</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+0.010, and +0.014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0.006) and rests on four points, but it runs in the same direction as the post-2022 coefficients. Relative to its extrapolation, the 2023 and 2024 coefficients are</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and</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(0.029). The series has only two post-2022 years. In Canada, across 312 NOC unit groups with fixed effects for NOC two-digit groups and heteroskedasticity-robust standard errors, the coefficient is</w:t>
      </w:r>
      <w:r>
        <w:rPr>
          <w:rFonts w:ascii="Times New Roman" w:hAnsi="Times New Roman" w:eastAsia="Times New Roman" w:cs="Times New Roman"/>
        </w:rPr>
        <w:t xml:space="preserve"> </w:t>
      </w:r>
      <m:oMath>
        <m:r>
          <m:rPr>
            <m:sty m:val="p"/>
          </m:rPr>
          <m:t>−</m:t>
        </m:r>
        <m:r>
          <m:t>2.9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2023 (standard error 1.3, randomization</w:t>
      </w:r>
      <w:r>
        <w:rPr>
          <w:rFonts w:ascii="Times New Roman" w:hAnsi="Times New Roman" w:eastAsia="Times New Roman" w:cs="Times New Roman"/>
        </w:rPr>
        <w:t xml:space="preserve"> </w:t>
      </w:r>
      <m:oMath>
        <m:r>
          <m:t>p</m:t>
        </m:r>
        <m:r>
          <m:rPr>
            <m:sty m:val="p"/>
          </m:rPr>
          <m:t>=</m:t>
        </m:r>
        <m:r>
          <m:t>0.13</m:t>
        </m:r>
      </m:oMath>
      <w:r>
        <w:rPr>
          <w:rFonts w:ascii="Times New Roman" w:hAnsi="Times New Roman" w:eastAsia="Times New Roman" w:cs="Times New Roman"/>
        </w:rPr>
        <w:t xml:space="preserve">) and indistinguishable from zero afterward (</w:t>
      </w:r>
      <m:oMath>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0.7</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the first half of 2026, with standard errors of 3.3, 2.2, and 4.3), in a market where total vacancies fell 47 percent between 2022 and 2025–2026.</w:t>
      </w:r>
    </w:p>
    <w:bookmarkEnd w:id="42"/>
    <w:bookmarkStart w:id="43"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architects, planners, surveyors, and designers (ISCO 216, which includes graphic designers, 5.3 standard deviations above the mean) and creative and performing artists (ISCO 265, 4.4 standard deviations). We set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the larger value and therefore the one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5.3</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−0.009</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−0.013</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−0.011</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0.10</w:t>
            </w:r>
          </w:p>
        </w:tc>
        <w:tc>
          <w:tcPr/>
          <w:p>
            <w:pPr>
              <w:pStyle w:val="Compact"/>
              <w:spacing w:line="240" w:lineRule="auto" w:after="40"/>
              <w:ind w:firstLine="0"/>
              <w:jc w:val="right"/>
            </w:pPr>
            <w:r>
              <w:rPr>
                <w:rFonts w:ascii="Times New Roman" w:hAnsi="Times New Roman"/>
                <w:sz w:val="19"/>
              </w:rPr>
              <w:t xml:space="preserve">−0.12</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−0.029 (0.018)</w:t>
            </w:r>
          </w:p>
        </w:tc>
        <w:tc>
          <w:tcPr/>
          <w:p>
            <w:pPr>
              <w:pStyle w:val="Compact"/>
              <w:spacing w:line="240" w:lineRule="auto" w:after="40"/>
              <w:ind w:firstLine="0"/>
              <w:jc w:val="right"/>
            </w:pPr>
            <w:r>
              <w:rPr>
                <w:rFonts w:ascii="Times New Roman" w:hAnsi="Times New Roman"/>
                <w:sz w:val="19"/>
              </w:rPr>
              <w:t xml:space="preserve">−0.055</w:t>
            </w:r>
          </w:p>
        </w:tc>
        <w:tc>
          <w:tcPr/>
          <w:p>
            <w:pPr>
              <w:pStyle w:val="Compact"/>
              <w:spacing w:line="240" w:lineRule="auto" w:after="40"/>
              <w:ind w:firstLine="0"/>
              <w:jc w:val="right"/>
            </w:pPr>
            <w:r>
              <w:rPr>
                <w:rFonts w:ascii="Times New Roman" w:hAnsi="Times New Roman"/>
                <w:sz w:val="19"/>
              </w:rPr>
              <w:t xml:space="preserve">0.050</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−0.15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last column of Panel A and the last two columns of Panel B express the coefficients on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0.29</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0.050. The largest,</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The preferred estimate of</w:t>
      </w:r>
      <w:r>
        <w:rPr>
          <w:rFonts w:ascii="Times New Roman" w:hAnsi="Times New Roman" w:eastAsia="Times New Roman" w:cs="Times New Roman"/>
        </w:rPr>
        <w:t xml:space="preserve"> </w:t>
      </w:r>
      <m:oMath>
        <m:r>
          <m:rPr>
            <m:sty m:val="p"/>
          </m:rPr>
          <m:t>−</m:t>
        </m:r>
        <m:r>
          <m:t>0.029</m:t>
        </m:r>
      </m:oMath>
      <w:r>
        <w:rPr>
          <w:rFonts w:ascii="Times New Roman" w:hAnsi="Times New Roman" w:eastAsia="Times New Roman" w:cs="Times New Roman"/>
        </w:rPr>
        <w:t xml:space="preserve"> </w:t>
      </w:r>
      <w:r>
        <w:rPr>
          <w:rFonts w:ascii="Times New Roman" w:hAnsi="Times New Roman" w:eastAsia="Times New Roman" w:cs="Times New Roman"/>
        </w:rPr>
        <w:t xml:space="preserve">is larger in magnitude than the economy-wide scenarios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but its 95 percent confidence interval (</w:t>
      </w:r>
      <m:oMath>
        <m:r>
          <m:rPr>
            <m:sty m:val="p"/>
          </m:rPr>
          <m:t>−</m:t>
        </m:r>
        <m:r>
          <m:t>0.064</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0.006</m:t>
        </m:r>
      </m:oMath>
      <w:r>
        <w:rPr>
          <w:rFonts w:ascii="Times New Roman" w:hAnsi="Times New Roman" w:eastAsia="Times New Roman" w:cs="Times New Roman"/>
        </w:rPr>
        <w:t xml:space="preserve">) contains zero and every scenario in Table 5, so it supports neither the gap nor substitution. The estimate without the language control (</w:t>
      </w:r>
      <m:oMath>
        <m:r>
          <m:rPr>
            <m:sty m:val="p"/>
          </m:rPr>
          <m:t>−</m:t>
        </m:r>
        <m:r>
          <m:t>0.055</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1.1</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0.019).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0.022</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2.9</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be borderline (</w:t>
      </w:r>
      <m:oMath>
        <m:r>
          <m:t>z</m:t>
        </m:r>
        <m:r>
          <m:rPr>
            <m:sty m:val="p"/>
          </m:rPr>
          <m:t>≈</m:t>
        </m:r>
        <m:r>
          <m:t>1.9</m:t>
        </m:r>
      </m:oMath>
      <w:r>
        <w:rPr>
          <w:rFonts w:ascii="Times New Roman" w:hAnsi="Times New Roman" w:eastAsia="Times New Roman" w:cs="Times New Roman"/>
        </w:rPr>
        <w:t xml:space="preserve">). The 2023 gradient therefore cannot be dismissed as too small to matter, but neither can it be attributed to generative visual AI. Exposed occupations were already declining relative to others before 2022 (the 2019 coefficient is</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and relative to the extrapolated trend the 2023 gradient is</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 difference we cannot distinguish from zero. The trend is itself imprecise, so we cannot rule out that part of the 2023 gradient reflects the technology. Under rule (iii) we classify the gradient as not attributable to generative visual AI on these data.</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0.013 to 0.043 per standard deviation after 2022, so its minimum detectable effect is about 0.04 to 0.12 per standard deviation. For the most exposed unit group, 7.1 standard deviations above the mean, this corresponds to a log change of about 0.25 to 0.85. The Canadian series is therefore uninformative about assimilation at any plausible acquisition rate, and its first-year coefficient, which does not persist, leads to the same classification.</w:t>
      </w:r>
    </w:p>
    <w:bookmarkEnd w:id="43"/>
    <w:bookmarkStart w:id="44"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0.20</m:t>
        </m:r>
      </m:oMath>
      <w:r>
        <w:rPr>
          <w:rFonts w:ascii="Times New Roman" w:hAnsi="Times New Roman" w:eastAsia="Times New Roman" w:cs="Times New Roman"/>
        </w:rPr>
        <w:t xml:space="preserve">).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bookmarkEnd w:id="44"/>
    <w:bookmarkStart w:id="45"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in 2025 (Eurostat, 2026), which is available for all 16 countries in the sample; language-model exposure and its interaction enter as controls. Complete assimilation predicts a steeper exposure gradient where acquisition is higher, whereas the gap and offsetting-scale accounts predict no such interaction. The interaction coefficient per standard deviation of acquisition (4.8 percentage points)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0.006) in 2023 and</w:t>
      </w:r>
      <w:r>
        <w:rPr>
          <w:rFonts w:ascii="Times New Roman" w:hAnsi="Times New Roman" w:eastAsia="Times New Roman" w:cs="Times New Roman"/>
        </w:rPr>
        <w:t xml:space="preserve"> </w:t>
      </w:r>
      <m:oMath>
        <m:r>
          <m:rPr>
            <m:sty m:val="p"/>
          </m:rPr>
          <m:t>−</m:t>
        </m:r>
        <m:r>
          <m:t>0.021</m:t>
        </m:r>
      </m:oMath>
      <w:r>
        <w:rPr>
          <w:rFonts w:ascii="Times New Roman" w:hAnsi="Times New Roman" w:eastAsia="Times New Roman" w:cs="Times New Roman"/>
        </w:rPr>
        <w:t xml:space="preserve"> </w:t>
      </w:r>
      <w:r>
        <w:rPr>
          <w:rFonts w:ascii="Times New Roman" w:hAnsi="Times New Roman" w:eastAsia="Times New Roman" w:cs="Times New Roman"/>
        </w:rPr>
        <w:t xml:space="preserve">(0.018)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0.85 and 0.36. In 2021, before the base year, it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(0.008;</w:t>
      </w:r>
      <w:r>
        <w:rPr>
          <w:rFonts w:ascii="Times New Roman" w:hAnsi="Times New Roman" w:eastAsia="Times New Roman" w:cs="Times New Roman"/>
        </w:rPr>
        <w:t xml:space="preserve"> </w:t>
      </w:r>
      <m:oMath>
        <m:r>
          <m:t>p</m:t>
        </m:r>
        <m:r>
          <m:rPr>
            <m:sty m:val="p"/>
          </m:rPr>
          <m:t>=</m:t>
        </m:r>
        <m:r>
          <m:t>0.83</m:t>
        </m:r>
      </m:oMath>
      <w:r>
        <w:rPr>
          <w:rFonts w:ascii="Times New Roman" w:hAnsi="Times New Roman" w:eastAsia="Times New Roman" w:cs="Times New Roman"/>
        </w:rPr>
        <w:t xml:space="preserve">).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0.048</m:t>
        </m:r>
        <m:r>
          <m:rPr>
            <m:sty m:val="p"/>
          </m:rPr>
          <m:t>/</m:t>
        </m:r>
        <m:r>
          <m:t>5.3</m:t>
        </m:r>
      </m:oMath>
      <w:r>
        <w:rPr>
          <w:rFonts w:ascii="Times New Roman" w:hAnsi="Times New Roman" w:eastAsia="Times New Roman" w:cs="Times New Roman"/>
        </w:rPr>
        <w:t xml:space="preserve">), far smaller than the 2024 standard error, so the test cannot discriminate among the accounts. Acquisition is measured in 2025, after the outcomes. We report the test because it is the only one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5"/>
    <w:bookmarkStart w:id="46"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(U.S. Census Bureau, 2026) correlates 0.59 across 20 sectors with the sector’s reported employee-change index (descriptive only).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6"/>
    <w:bookmarkEnd w:id="47"/>
    <w:bookmarkStart w:id="48"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0.53</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0.33</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53%</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33%</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0.018</m:t>
        </m:r>
        <m:r>
          <m:rPr>
            <m:sty m:val="p"/>
          </m:rPr>
          <m:t>×</m:t>
        </m:r>
        <m:r>
          <m:t>5.3</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48"/>
    <w:bookmarkStart w:id="49" w:name="X6515d1f6798b7cfc91e91c5bb73d9eb857260c5"/>
    <w:p>
      <w:pPr>
        <w:pStyle w:val="Heading2"/>
      </w:pPr>
      <w:r>
        <w:rPr>
          <w:rFonts w:ascii="Times New Roman" w:hAnsi="Times New Roman" w:eastAsia="Times New Roman" w:cs="Times New Roman"/>
        </w:rPr>
        <w:t xml:space="preserve">9 A Firm-Level Design That Would Discriminate</w:t>
      </w:r>
    </w:p>
    <w:p>
      <w:pPr>
        <w:pStyle w:val="FirstParagraph"/>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49"/>
    <w:bookmarkStart w:id="54" w:name="discussion"/>
    <w:p>
      <w:pPr>
        <w:pStyle w:val="Heading2"/>
      </w:pPr>
      <w:r>
        <w:rPr>
          <w:rFonts w:ascii="Times New Roman" w:hAnsi="Times New Roman" w:eastAsia="Times New Roman" w:cs="Times New Roman"/>
        </w:rPr>
        <w:t xml:space="preserve">10 Discussion</w:t>
      </w:r>
    </w:p>
    <w:bookmarkStart w:id="50"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 Unlike earlier enterprise systems, model quality alone cannot substitute for the missing complements; improvements in the generator matter only after those complements have brought review cost below the cost of human production. The account also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of the size observed on platforms, and that the gradients they do detect cannot be told apart from a trend that preceded the technology. A null or small coefficient in these designs is therefore uninformative about assimilation. The bound is simple enough to be reported alongside any such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0"/>
    <w:bookmarkStart w:id="51"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1"/>
    <w:bookmarkStart w:id="52"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2"/>
    <w:bookmarkStart w:id="53"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language-model scores that we have checked against a second model but not against human coders. We argue that measurement noise strengthens the detectability result, but it limits what can be said about the gradients themselves, and a categorical treatment defined by occupation codes (for example, graphic designers, visual artists, and photographers) would avoid model-based scoring and is a natural next step that we leave to future work. The control for language-model exposure is our own construction, and the 2024 estimate depends on it (Table 4).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3"/>
    <w:bookmarkEnd w:id="54"/>
    <w:bookmarkStart w:id="55"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labor-market effect that can be attributed to generative visual AI: the exposure gradients are small, imprecise, and cannot be told apart from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5"/>
    <w:bookmarkStart w:id="56"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U.S. Census Bureau, O*NET, Indeed Hiring Lab). Code, prompts, and the language-model task scores required to reproduce Tables 4 and 5 and the analyses in Sections 7.1 and 7.4 are available in an anonymized replication repository. Large language models (Claude Haiku 5.5, with GPT-5.6 Luna as a second scorer) were used as measurement instruments to code O*NET task statements and NOC main-duty statements. A generative AI assistant was used to help write analysis code and to draft and edit the manuscript. The authors reviewed all results, text, and code and take responsibility for the content.</w:t>
      </w:r>
    </w:p>
    <w:bookmarkEnd w:id="56"/>
    <w:bookmarkStart w:id="57"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Text work (control for language-model exposure).</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reading, writing, summarizing, translating, or otherwise producing or editing text is central to the task; 1 if text is a partial or supporting product; 0 otherwise. Spoken conversation, numeric calculation, and purely physical work do not count. Both rubrics were applied in a single prompt, in batches of 20 statements, at temperature zero; the prompt is in the replication repository.</w:t>
      </w:r>
    </w:p>
    <w:bookmarkEnd w:id="57"/>
    <w:bookmarkStart w:id="58"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0.018</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3.6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further below the 2024 minimum detectable effect of 0.050.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bookmarkEnd w:id="58"/>
    <w:bookmarkStart w:id="59"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59"/>
    <w:bookmarkStart w:id="60"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U.S. Census Bureau.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Business Trends and Outlook Survey (BTOS), sector estimates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0"/>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2026-10-28T04:03:13Z</dcterms:created>
  <dcterms:modified xsi:type="dcterms:W3CDTF">2026-10-28T04:03:13Z</dcterms:modified>
</cp:coreProperties>
</file>

<file path=docProps/custom.xml><?xml version="1.0" encoding="utf-8"?>
<Properties xmlns="http://schemas.openxmlformats.org/officeDocument/2006/custom-properties" xmlns:vt="http://schemas.openxmlformats.org/officeDocument/2006/docPropsVTypes"/>
</file>