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59"/>
      </w:pPr>
      <w:r>
        <w:rPr>
          <w:rFonts w:ascii="Times New Roman" w:cs="Times New Roman" w:eastAsia="Times New Roman" w:hAnsi="Times New Roman"/>
          <w:b/>
          <w:bCs/>
          <w:sz w:val="21"/>
          <w:szCs w:val="21"/>
        </w:rPr>
        <w:t xml:space="preserve">Ook Lee</w:t>
      </w:r>
    </w:p>
    <w:p>
      <w:pPr>
        <w:spacing w:after="0" w:line="259"/>
      </w:pPr>
      <w:r>
        <w:rPr>
          <w:rFonts w:ascii="Times New Roman" w:cs="Times New Roman" w:eastAsia="Times New Roman" w:hAnsi="Times New Roman"/>
          <w:sz w:val="21"/>
          <w:szCs w:val="21"/>
        </w:rPr>
        <w:t xml:space="preserve">Department of Information System, Hanyang University, Seoul, Korea</w:t>
      </w:r>
    </w:p>
    <w:p>
      <w:pPr>
        <w:spacing w:after="200" w:line="259"/>
      </w:pPr>
      <w:r>
        <w:rPr>
          <w:rFonts w:ascii="Times New Roman" w:cs="Times New Roman" w:eastAsia="Times New Roman" w:hAnsi="Times New Roman"/>
          <w:sz w:val="21"/>
          <w:szCs w:val="21"/>
        </w:rPr>
        <w:t xml:space="preserve">ooklee@hanyang.ac.kr</w:t>
      </w:r>
    </w:p>
    <w:p>
      <w:pPr>
        <w:spacing w:after="200" w:line="259"/>
      </w:pPr>
      <w:r>
        <w:rPr>
          <w:rFonts w:ascii="Times New Roman" w:cs="Times New Roman" w:eastAsia="Times New Roman" w:hAnsi="Times New Roman"/>
          <w:sz w:val="21"/>
          <w:szCs w:val="21"/>
        </w:rPr>
        <w:t xml:space="preserve">10 October 2026</w:t>
      </w:r>
    </w:p>
    <w:p>
      <w:pPr>
        <w:spacing w:after="0" w:line="259"/>
      </w:pPr>
      <w:r>
        <w:rPr>
          <w:rFonts w:ascii="Times New Roman" w:cs="Times New Roman" w:eastAsia="Times New Roman" w:hAnsi="Times New Roman"/>
          <w:sz w:val="21"/>
          <w:szCs w:val="21"/>
        </w:rPr>
        <w:t xml:space="preserve">The Editor-in-Chief</w:t>
      </w:r>
    </w:p>
    <w:p>
      <w:pPr>
        <w:spacing w:after="200" w:line="259"/>
      </w:pPr>
      <w:r>
        <w:rPr>
          <w:rFonts w:ascii="Times New Roman" w:cs="Times New Roman" w:eastAsia="Times New Roman" w:hAnsi="Times New Roman"/>
          <w:i/>
          <w:iCs/>
          <w:sz w:val="21"/>
          <w:szCs w:val="21"/>
        </w:rPr>
        <w:t xml:space="preserve">Decision Support Systems</w:t>
      </w:r>
    </w:p>
    <w:p>
      <w:pPr>
        <w:spacing w:after="140" w:line="259"/>
      </w:pPr>
      <w:r>
        <w:rPr>
          <w:rFonts w:ascii="Times New Roman" w:cs="Times New Roman" w:eastAsia="Times New Roman" w:hAnsi="Times New Roman"/>
          <w:b/>
          <w:bCs/>
          <w:sz w:val="21"/>
          <w:szCs w:val="21"/>
        </w:rPr>
        <w:t xml:space="preserve">Re: Submission of a research article</w:t>
      </w:r>
    </w:p>
    <w:p>
      <w:pPr>
        <w:spacing w:after="140" w:line="259"/>
      </w:pPr>
      <w:r>
        <w:rPr>
          <w:rFonts w:ascii="Times New Roman" w:cs="Times New Roman" w:eastAsia="Times New Roman" w:hAnsi="Times New Roman"/>
          <w:sz w:val="21"/>
          <w:szCs w:val="21"/>
        </w:rPr>
        <w:t xml:space="preserve">Dear Editor-in-Chief,</w:t>
      </w:r>
    </w:p>
    <w:p>
      <w:pPr>
        <w:spacing w:after="140" w:line="259"/>
      </w:pPr>
      <w:r>
        <w:rPr>
          <w:rFonts w:ascii="Times New Roman" w:cs="Times New Roman" w:eastAsia="Times New Roman" w:hAnsi="Times New Roman"/>
          <w:sz w:val="21"/>
          <w:szCs w:val="21"/>
        </w:rPr>
        <w:t xml:space="preserve">I am pleased to submit the manuscript “</w:t>
      </w:r>
      <w:r>
        <w:rPr>
          <w:rFonts w:ascii="Times New Roman" w:cs="Times New Roman" w:eastAsia="Times New Roman" w:hAnsi="Times New Roman"/>
          <w:i/>
          <w:iCs/>
          <w:sz w:val="21"/>
          <w:szCs w:val="21"/>
        </w:rPr>
        <w:t xml:space="preserve">Cheap Code, Costly Choices: A Behavioral Decision Model of Technical Debt and Its Governance in AI-Assisted Software Development</w:t>
      </w:r>
      <w:r>
        <w:rPr>
          <w:rFonts w:ascii="Times New Roman" w:cs="Times New Roman" w:eastAsia="Times New Roman" w:hAnsi="Times New Roman"/>
          <w:sz w:val="21"/>
          <w:szCs w:val="21"/>
        </w:rPr>
        <w:t xml:space="preserve">” for consideration as a research article in </w:t>
      </w:r>
      <w:r>
        <w:rPr>
          <w:rFonts w:ascii="Times New Roman" w:cs="Times New Roman" w:eastAsia="Times New Roman" w:hAnsi="Times New Roman"/>
          <w:i/>
          <w:iCs/>
          <w:sz w:val="21"/>
          <w:szCs w:val="21"/>
        </w:rPr>
        <w:t xml:space="preserve">Decision Support Systems</w:t>
      </w:r>
      <w:r>
        <w:rPr>
          <w:rFonts w:ascii="Times New Roman" w:cs="Times New Roman" w:eastAsia="Times New Roman" w:hAnsi="Times New Roman"/>
          <w:sz w:val="21"/>
          <w:szCs w:val="21"/>
        </w:rPr>
        <w:t xml:space="preserve">.</w:t>
      </w:r>
    </w:p>
    <w:p>
      <w:pPr>
        <w:spacing w:after="140" w:line="259"/>
      </w:pPr>
      <w:r>
        <w:rPr>
          <w:rFonts w:ascii="Times New Roman" w:cs="Times New Roman" w:eastAsia="Times New Roman" w:hAnsi="Times New Roman"/>
          <w:sz w:val="21"/>
          <w:szCs w:val="21"/>
        </w:rPr>
        <w:t xml:space="preserve">Large language model coding assistants turn a developer’s choice between an expedient and a quality implementation into a decision about whether to accept, inspect, or refactor code that already exists and looks finished. The manuscript models this acceptance decision, and the organization’s decision about how to configure and oversee the assistant, as a behavioral decision problem and as a game among developers, an organization, and vendors, and asks what decision support for generated code must therefore do.</w:t>
      </w:r>
    </w:p>
    <w:p>
      <w:pPr>
        <w:spacing w:after="80" w:line="259"/>
      </w:pPr>
      <w:r>
        <w:rPr>
          <w:rFonts w:ascii="Times New Roman" w:cs="Times New Roman" w:eastAsia="Times New Roman" w:hAnsi="Times New Roman"/>
          <w:sz w:val="21"/>
          <w:szCs w:val="21"/>
        </w:rPr>
        <w:t xml:space="preserve">The main contributions are as follows.</w:t>
      </w:r>
    </w:p>
    <w:p>
      <w:pPr>
        <w:pStyle w:val="ListParagraph"/>
        <w:numPr>
          <w:ilvl w:val="0"/>
          <w:numId w:val="2"/>
        </w:numPr>
        <w:spacing w:after="80" w:line="259"/>
      </w:pPr>
      <w:r>
        <w:rPr>
          <w:rFonts w:ascii="Times New Roman" w:cs="Times New Roman" w:eastAsia="Times New Roman" w:hAnsi="Times New Roman"/>
          <w:sz w:val="21"/>
          <w:szCs w:val="21"/>
        </w:rPr>
        <w:t xml:space="preserve">Aggregate technical debt cannot separate a behavioral account from a rational-acceleration rival, but three statistics can: the self-admitted share of debt, the effect of possessing an artifact on refactoring, and the lapse of planned refactoring.</w:t>
      </w:r>
    </w:p>
    <w:p>
      <w:pPr>
        <w:pStyle w:val="ListParagraph"/>
        <w:numPr>
          <w:ilvl w:val="0"/>
          <w:numId w:val="2"/>
        </w:numPr>
        <w:spacing w:after="80" w:line="259"/>
      </w:pPr>
      <w:r>
        <w:rPr>
          <w:rFonts w:ascii="Times New Roman" w:cs="Times New Roman" w:eastAsia="Times New Roman" w:hAnsi="Times New Roman"/>
          <w:sz w:val="21"/>
          <w:szCs w:val="21"/>
        </w:rPr>
        <w:t xml:space="preserve">More reliable models can increase debt, present bias creates debt traps with hysteresis, control of the assistant’s configuration rather than vendor competition determines interface friction (bounded by shadow AI), and a temporary inspection mandate can have permanent effects. All results are derived analytically, with proofs in an appendix.</w:t>
      </w:r>
    </w:p>
    <w:p>
      <w:pPr>
        <w:pStyle w:val="ListParagraph"/>
        <w:numPr>
          <w:ilvl w:val="0"/>
          <w:numId w:val="2"/>
        </w:numPr>
        <w:spacing w:after="80" w:line="259"/>
      </w:pPr>
      <w:r>
        <w:rPr>
          <w:rFonts w:ascii="Times New Roman" w:cs="Times New Roman" w:eastAsia="Times New Roman" w:hAnsi="Times New Roman"/>
          <w:sz w:val="21"/>
          <w:szCs w:val="21"/>
        </w:rPr>
        <w:t xml:space="preserve">Decision support that assumes debt is perceived, such as debt registers and dashboards, should be expected to underperform; support for generated code should target the acceptance decision itself through defaults, friction, inspection requirements, and feedback.</w:t>
      </w:r>
    </w:p>
    <w:p>
      <w:pPr>
        <w:pStyle w:val="ListParagraph"/>
        <w:numPr>
          <w:ilvl w:val="0"/>
          <w:numId w:val="2"/>
        </w:numPr>
        <w:spacing w:after="80" w:line="259"/>
      </w:pPr>
      <w:r>
        <w:rPr>
          <w:rFonts w:ascii="Times New Roman" w:cs="Times New Roman" w:eastAsia="Times New Roman" w:hAnsi="Times New Roman"/>
          <w:sz w:val="21"/>
          <w:szCs w:val="21"/>
        </w:rPr>
        <w:t xml:space="preserve">An exploratory analysis of 22,176 commits from seven public repositories finds that LLM-assisted commits carry fewer self-admitted debt markers than other commits by the same developers (incidence rate ratio 0.48, 95% confidence interval 0.24 to 0.96), with heterogeneity across repositories. The manuscript presents this as a consistency check, not as a conclusive test.</w:t>
      </w:r>
    </w:p>
    <w:p>
      <w:pPr>
        <w:spacing w:after="140" w:line="259"/>
      </w:pPr>
      <w:r>
        <w:rPr>
          <w:rFonts w:ascii="Times New Roman" w:cs="Times New Roman" w:eastAsia="Times New Roman" w:hAnsi="Times New Roman"/>
          <w:sz w:val="21"/>
          <w:szCs w:val="21"/>
        </w:rPr>
        <w:t xml:space="preserve">I believe the manuscript fits the journal because it concerns the design and governance of AI-based decision aids and how people rely on them, and because it combines analytical modeling with archival evidence.</w:t>
      </w:r>
    </w:p>
    <w:p>
      <w:pPr>
        <w:spacing w:after="140" w:line="259"/>
      </w:pPr>
      <w:r>
        <w:rPr>
          <w:rFonts w:ascii="Times New Roman" w:cs="Times New Roman" w:eastAsia="Times New Roman" w:hAnsi="Times New Roman"/>
          <w:sz w:val="21"/>
          <w:szCs w:val="21"/>
        </w:rPr>
        <w:t xml:space="preserve">The manuscript is original, has not been published, and is not under consideration elsewhere. It has been prepared for double-anonymized review: the title page and highlights are submitted as separate files. The pseudonymized commit-level data and analysis code will be deposited in a public repository, and the use of generative AI tools in preparing the work is declared on the title page. I have no competing interests to declare [to be confirmed by the author].</w:t>
      </w:r>
    </w:p>
    <w:p>
      <w:pPr>
        <w:spacing w:after="140" w:line="259"/>
      </w:pPr>
      <w:r>
        <w:rPr>
          <w:rFonts w:ascii="Times New Roman" w:cs="Times New Roman" w:eastAsia="Times New Roman" w:hAnsi="Times New Roman"/>
          <w:sz w:val="21"/>
          <w:szCs w:val="21"/>
        </w:rPr>
        <w:t xml:space="preserve">Thank you for considering the manuscript. I look forward to your response.</w:t>
      </w:r>
    </w:p>
    <w:p>
      <w:pPr>
        <w:spacing w:after="360" w:line="259"/>
      </w:pPr>
      <w:r>
        <w:rPr>
          <w:rFonts w:ascii="Times New Roman" w:cs="Times New Roman" w:eastAsia="Times New Roman" w:hAnsi="Times New Roman"/>
          <w:sz w:val="21"/>
          <w:szCs w:val="21"/>
        </w:rPr>
        <w:t xml:space="preserve">Sincerely,</w:t>
      </w:r>
    </w:p>
    <w:p>
      <w:pPr>
        <w:spacing w:after="0" w:line="259"/>
      </w:pPr>
      <w:r>
        <w:rPr>
          <w:rFonts w:ascii="Times New Roman" w:cs="Times New Roman" w:eastAsia="Times New Roman" w:hAnsi="Times New Roman"/>
          <w:b/>
          <w:bCs/>
          <w:sz w:val="21"/>
          <w:szCs w:val="21"/>
        </w:rPr>
        <w:t xml:space="preserve">Ook Lee</w:t>
      </w:r>
    </w:p>
    <w:p>
      <w:pPr>
        <w:spacing w:after="0" w:line="259"/>
      </w:pPr>
      <w:r>
        <w:rPr>
          <w:rFonts w:ascii="Times New Roman" w:cs="Times New Roman" w:eastAsia="Times New Roman" w:hAnsi="Times New Roman"/>
          <w:sz w:val="21"/>
          <w:szCs w:val="21"/>
        </w:rPr>
        <w:t xml:space="preserve">Department of Information System, Hanyang University, Seoul, Korea</w:t>
      </w:r>
    </w:p>
    <w:p>
      <w:pPr>
        <w:spacing w:after="0" w:line="259"/>
      </w:pPr>
      <w:r>
        <w:rPr>
          <w:rFonts w:ascii="Times New Roman" w:cs="Times New Roman" w:eastAsia="Times New Roman" w:hAnsi="Times New Roman"/>
          <w:sz w:val="21"/>
          <w:szCs w:val="21"/>
        </w:rPr>
        <w:t xml:space="preserve">ooklee@hanyang.ac.kr</w:t>
      </w:r>
    </w:p>
    <w:sectPr>
      <w:pgSz w:w="12240" w:h="15840" w:orient="portrait"/>
      <w:pgMar w:top="10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3"/>
      <w:szCs w:val="23"/>
    </w:rPr>
  </w:style>
  <w:style w:type="paragraph" w:styleId="Heading2">
    <w:name w:val="Heading 2"/>
    <w:basedOn w:val="Normal"/>
    <w:next w:val="Normal"/>
    <w:qFormat/>
    <w:pPr>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2026-10-10T08:59:43.041Z</dcterms:created>
  <dcterms:modified xsi:type="dcterms:W3CDTF">2026-10-10T08:59:43.041Z</dcterms:modified>
</cp:coreProperties>
</file>

<file path=docProps/custom.xml><?xml version="1.0" encoding="utf-8"?>
<Properties xmlns="http://schemas.openxmlformats.org/officeDocument/2006/custom-properties" xmlns:vt="http://schemas.openxmlformats.org/officeDocument/2006/docPropsVTypes"/>
</file>