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adoption requires acceptable output quality at low review cost and is held back by expertise and legal frictions. Eurostat data show that 9.6% of European firms with ten or more employees use AI that generates pictures, video, or audio, and that firms cite expertise and legal and privacy uncertainty far more than lack of usefulness. In job-posting data for UK, European, and Canadian occupations, exposure to visual content creation predicts small, fragile declines after 2022 (about 1 to 3% per standard deviation), not concentrated in low-quality-requirement tasks. A conditional projection suggests that a 40% cut in demand among adopters would become detectable around 2029–2030.</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that creates images from text prompts (available since 2022) and video (since 2024) makes a first draft of visual content almost free. The obvious expectation is that it will displace the people who produce such content. General-purpose technologies, however, have often taken a long time to reach the labor market: electric motors changed factory output decades after they appeared, and computers took years to show up in productivity statistics (David 1990; Brynjolfsson et al. 2021). Information systems research describes a related gap between a firm’s adoption of an innovation and its assimilation into everyday work (Fichman and Kemerer 1999). So is generative visual AI displacing creative work now, or are we still in an early phase of adoption? Studies of online freelance platforms already find lower demand for image creation (Demirci et al. 2025; Hui et al. 2024), but platforms are a setting where buyers can switch tools at little cost.</w:t>
      </w:r>
    </w:p>
    <w:p>
      <w:pPr>
        <w:spacing w:after="0" w:line="480" w:lineRule="auto"/>
        <w:ind w:firstLine="720"/>
        <w:jc w:val="left"/>
      </w:pPr>
      <w:r>
        <w:rPr>
          <w:rFonts w:ascii="Times New Roman" w:cs="Times New Roman" w:eastAsia="Times New Roman" w:hAnsi="Times New Roman"/>
          <w:sz w:val="24"/>
          <w:szCs w:val="24"/>
        </w:rPr>
        <w:t xml:space="preserve">We address this question with open data and a model that separates adoption from displacement. In the model, the change in labor demand in an occupation is the product of two terms: the share of employers that have adopted the technology, and the net effect of adoption on hiring among those adopters, which combines substitution with a scale effect from cheaper content. A firm adopts a visual generator for a task only if its output meets the task’s quality requirement at a review cost below the cost of human production, and adoption is held back by frictions in expertise, legal clarity, and data protection. A small effect on labor demand can therefore mean low adoption, weak substitution among adopters, offsetting scale effects, or no effect at all. We use the data to narrow down which of these is more likely.</w:t>
      </w:r>
    </w:p>
    <w:p>
      <w:pPr>
        <w:spacing w:after="0" w:line="480" w:lineRule="auto"/>
        <w:ind w:firstLine="720"/>
        <w:jc w:val="left"/>
      </w:pPr>
      <w:r>
        <w:rPr>
          <w:rFonts w:ascii="Times New Roman" w:cs="Times New Roman" w:eastAsia="Times New Roman" w:hAnsi="Times New Roman"/>
          <w:sz w:val="24"/>
          <w:szCs w:val="24"/>
        </w:rPr>
        <w:t xml:space="preserve">We combine three sources. The first is Eurostat’s enterprise survey on AI, which in 2025 asks whether firms use AI that generates pictures, video, or audio, and why firms that considered AI did not adopt it. The second is UK online job adverts by occupation from the Office for National Statistics (ONS), covering 413 four-digit occupations from 2017 to 2026. The third is an LLM-coded measure of occupational exposure to visual content creation, built from O*NET task statements and mapped to UK occupations through ISCO-08. For replication we use Eurostat’s experimental statistics on online job advertisements by three-digit ISCO occupation for 16 European countries from 2019 to 2024, and Statistics Canada’s Job Vacancy and Wage Survey for 2015 to 2026. US postings by sector and European employment by industry serve as supplementary evidence.</w:t>
      </w:r>
    </w:p>
    <w:p>
      <w:pPr>
        <w:spacing w:after="0" w:line="480" w:lineRule="auto"/>
        <w:ind w:firstLine="720"/>
        <w:jc w:val="left"/>
      </w:pPr>
      <w:r>
        <w:rPr>
          <w:rFonts w:ascii="Times New Roman" w:cs="Times New Roman" w:eastAsia="Times New Roman" w:hAnsi="Times New Roman"/>
          <w:sz w:val="24"/>
          <w:szCs w:val="24"/>
        </w:rPr>
        <w:t xml:space="preserve">Adoption is already substantial. 9.6% of European firms with ten or more employees use AI that generates pictures, video, or audio; the share is 27.9% among firms with 250 or more employees and about 36% in publishing, film, and broadcasting. Among firms that considered AI but did not adopt it, 70% cite lack of expertise, 54% unclear legal consequences, and 53% data protection and privacy concerns, while 18% say AI is not useful. In UK adverts, occupations with higher exposure to visual content creation show small declines after 2022, about 2 to 3% per standard deviation of exposure by 2025 and 2026 (randomization p-values range from 0.03 to 0.47 across years and specifications). These declines resemble a reversal of a COVID-era pattern, are not concentrated in tasks with low quality requirements, vanish when one occupation is dropped, and, for the most exposed occupations, are far too large to be explained by observed adoption. The European replication has the same sign and similar size, with flat pre-period coefficients and only two post-2022 years (about −1.6% per standard deviation in 2023 and −1.2% in 2024 with the language control; −3.7% and −5.9% without). In Canada the coefficient is negative in the first post-2022 year (−2.2% per standard deviation, with occupation-group fixed effects) but not afterward. We also ask when displacement would become detectable. If demand among adopters fell by about 40% and adoption followed the recent path of text-generation AI, the effect would reach the detection threshold of our design around 2029 to 2030, and much later or never for smaller effects. Overall, the evidence fits early adoption with little detectable displacement so far; we do not claim that displacement is absent or that it will not come.</w:t>
      </w:r>
    </w:p>
    <w:p>
      <w:pPr>
        <w:spacing w:after="0" w:line="480" w:lineRule="auto"/>
        <w:ind w:firstLine="720"/>
        <w:jc w:val="left"/>
      </w:pPr>
      <w:r>
        <w:rPr>
          <w:rFonts w:ascii="Times New Roman" w:cs="Times New Roman" w:eastAsia="Times New Roman" w:hAnsi="Times New Roman"/>
          <w:sz w:val="24"/>
          <w:szCs w:val="24"/>
        </w:rPr>
        <w:t xml:space="preserve">The paper makes four contributions to information systems research. First, it offers a model that splits the labor-demand effect into adoption and the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instead of assuming them. Third, it turns the model into a conditional projection of when displacement would become visible in data of this kind, with criteria that later data can falsify. Fourth, it documents an open, reproducible way to link task-level data on visual content creation to occupation-level hiring data across countries.</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depend on complementary investments in organization, skills, and processes (Bresnahan and Trajtenberg 1995; David 1990). Brynjolfsson et al. (2021) formalize this as a productivity J-curve: measured gains lag adoption because the intangible complements are built first. Information systems research has a parallel tradition on diffusion and assimilation. Fichman and Kemerer (1999) showed that organizations can acquire an innovation without deploying it, so diffusion statistics overstate use. We carry these ideas over to labor demand: counts of adopting firms may overstate how far tasks have actually shifted, and effects on hiring may trail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their hiring. Exposure measures show where AI could matter; they do not show whether or when firms act on it. We construct an exposure measure for one class of tasks, producing or editing visual content, and combine it with survey evidence on whether firms adopt and why they do not.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describe AI as a fall in the cost of prediction, which raises the value of complements such as judgment. Generative AI lowers the cost of producing a draft, so the standard implication is that cheaper content raises the quantity demanded, and with it the demand for direction, selection, and review.</w:t>
      </w:r>
    </w:p>
    <w:p>
      <w:pPr>
        <w:spacing w:after="0" w:line="480" w:lineRule="auto"/>
        <w:ind w:firstLine="720"/>
        <w:jc w:val="left"/>
      </w:pPr>
      <w:r>
        <w:rPr>
          <w:rFonts w:ascii="Times New Roman" w:cs="Times New Roman" w:eastAsia="Times New Roman" w:hAnsi="Times New Roman"/>
          <w:sz w:val="24"/>
          <w:szCs w:val="24"/>
        </w:rPr>
        <w:t xml:space="preserve">A growing literature studies the effect of generative AI on labor demand on online platforms. Hui et al. (2024) find that freelancers in occupations exposed to ChatGPT, DALL·E 2, and Midjourney lost employment and earnings on a large platform. Demirci et al. (2025) find that, relative to manual-intensive jobs, job posts for writing and coding fell by about 21% after ChatGPT, and posts for image creation by about 17% after the release of image-generating tools. These studies use platform data, where tasks are bought project by project and switching to a new tool or provider is cheap. We study the standing occupations of employers in national job-advert and vacancy statistics, where adoption has to pass through organizational frictions, and we link the evidence to survey data on adoption and its obstacles. The comparison suggests a hypothesis consistent with our model: substitution appears first where buyers can change tools or providers cheaply, and later where it requires organizational change.</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with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These fixed costs differ across firms and fall over time, so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the effect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between April and August 2022 (DALL·E 2, Midjourney, and Stable Diffusion) and of ChatGPT in November 2022.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We validated the measures with two human coders, who independently scored the same stratified random sample of 199 task statements (199 of the 200 sampled tasks are used: coder A left one blank). The strata were defined by the LLM score and by a rule-based score: 45 tasks scored 2, 55 scored 1, 40 scored 0 but flagged by the rule-based score, and 60 random tasks scored 0 (sampling weights are used in all estimates). The coders saw only the occupation and the task and used the narrow rubric in Appendix A. Agreement between the coders is low: the design-weighted exact agreement is 0.57, weighted Cohen’s κ is 0.18, the κ for a score of one or more versus zero is 0.20, and the Spearman correlation is 0.22. The coders also differ in how broadly they read the construct: coder A scored 27.6% of all O*NET tasks one or more (3.5% two) and coder B 44.5% (15.3% two), against 4.6% (1.0%) for the narrow LLM score. Both coders counted as visual many tasks that the rubric excludes, such as reading blueprints, examining engravings for quality, and monitoring closed-circuit television.</w:t>
      </w:r>
    </w:p>
    <w:p>
      <w:pPr>
        <w:spacing w:after="0" w:line="480" w:lineRule="auto"/>
        <w:ind w:firstLine="720"/>
        <w:jc w:val="left"/>
      </w:pPr>
      <w:r>
        <w:rPr>
          <w:rFonts w:ascii="Times New Roman" w:cs="Times New Roman" w:eastAsia="Times New Roman" w:hAnsi="Times New Roman"/>
          <w:sz w:val="24"/>
          <w:szCs w:val="24"/>
        </w:rPr>
        <w:t xml:space="preserve">By weighted κ, the narrow LLM score agrees with the coders less than the coders agree with each other (0.11 and 0.04, against 0.18), although its rank correlation with coder A (0.52) is higher than the correlation between the coders (0.22). Its weighted κ is 0.11 with coder A (95% bootstrap interval 0.06 to 0.20) and 0.04 with coder B; its binary κ is 0.15 and 0.04; its Spearman correlations are 0.52 and 0.25. Its positives are mostly accepted (coder A scored 80% of them one or more) but it misses most of what the coders counted as visual (sensitivity 0.12 relative to coder A and 0.07 relative to coder B; specificity 0.98 and 0.97). The narrow score is a conservative indicator of visual content production. Because the coders disagree with each other, we cannot treat either as a gold standard, and the reliability of task-level labels for this construct is low regardless of who or what produces them.</w:t>
      </w:r>
    </w:p>
    <w:p>
      <w:pPr>
        <w:spacing w:after="0" w:line="480" w:lineRule="auto"/>
        <w:ind w:firstLine="720"/>
        <w:jc w:val="left"/>
      </w:pPr>
      <w:r>
        <w:rPr>
          <w:rFonts w:ascii="Times New Roman" w:cs="Times New Roman" w:eastAsia="Times New Roman" w:hAnsi="Times New Roman"/>
          <w:sz w:val="24"/>
          <w:szCs w:val="24"/>
        </w:rPr>
        <w:t xml:space="preserve">As a transparent benchmark we also score all tasks with a rule-based classifier built from the rubric text (keyword and pattern rules; the code is in the replication repository). Against the LLM score, its task-level F1 for a score of one or more is 0.58 in the first half and 0.46 in the second half of the task list, and its correlation with the LLM score across occupations is 0.88 and 0.78 (436 and 488 occupations). Its Spearman correlation with coder A is 0.36. UK estimates with the rule-based score are close to those with the narrow LLM score (−2.0% in 2025 and −3.4% in 2026 per standard deviation, with the language control).</w:t>
      </w:r>
    </w:p>
    <w:p>
      <w:pPr>
        <w:spacing w:after="0" w:line="480" w:lineRule="auto"/>
        <w:ind w:firstLine="720"/>
        <w:jc w:val="left"/>
      </w:pPr>
      <w:r>
        <w:rPr>
          <w:rFonts w:ascii="Times New Roman" w:cs="Times New Roman" w:eastAsia="Times New Roman" w:hAnsi="Times New Roman"/>
          <w:sz w:val="24"/>
          <w:szCs w:val="24"/>
        </w:rPr>
        <w:t xml:space="preserve">We therefore built a second, broad measure that scores how much a task involves working with visual materials and visual or aesthetic output: producing, editing, reading, inspecting, or monitoring images, drawings, video, interfaces, and layouts (rubric in Appendix A). We wrote the rubric after seeing coder A’s pattern on the first half of the sample and evaluated it on the second half (99 tasks). Against coder A on that held-out half the weighted κ is 0.41 and the Spearman correlation 0.66. Coder B did not contribute to the rubric, so the comparison with coder B is an independent check: on all 199 tasks the weighted κ is 0.31 (0.25 on the second half), the binary κ is 0.29 (0.23), and the Spearman correlation is 0.46; against the rounded average of the two coders, the weighted κ is 0.28 and the binary κ 0.33. These values are modest in absolute terms. Relative to the benchmark of agreement between the coders (weighted κ 0.18, Spearman 0.22), the broad score agrees with each coder at least as well as the coders agree with each other, and its Spearman correlation with coder A (0.61) and coder B (0.46) is well above the correlation between them. We apply the broad measure to all 18,796 tasks, with the occupation title shown to the model as the coders saw it; 14.9% of tasks score one or more (2.5% score two). We report results for both measures. Low reliability of an exposure measure biases estimated coefficients toward zero, so some of the smallness of our estimates may reflect measurement error rather than absence of an effect.</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5.5 Conditional Projection</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in equation (2) is not identified by our data, so we do not forecast displacement. Instead we ask when a given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would become detectable with the design of Section 5.2. We model adoption as logistic: the log-odds of the adoption share rise linearly after 2025 at a scenario-specific rate. The rates are anchored on the Eurostat series: the log-odds of text-generation AI adoption rose by 0.98 between 2023 and 2024, by 0.52 between 2024 and 2025, and by 0.75 per year on average between 2023 and 2025, and those of any AI use by 0.52 per year. We use 0.75 (fast), 0.50 (medium), and 0.25 (slow) per year, starting from 9.6% (all European firms with ten or more employees) or 36.2% (publishing, film, and broadcasting). The predicted coefficient per standard deviation of exposure is </w:t>
      </w:r>
      <w:r>
        <w:rPr>
          <w:rFonts w:ascii="Times New Roman" w:cs="Times New Roman" w:eastAsia="Times New Roman" w:hAnsi="Times New Roman"/>
          <w:i/>
          <w:iCs/>
          <w:sz w:val="24"/>
          <w:szCs w:val="24"/>
        </w:rPr>
        <w:t xml:space="preserve">A_t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divided by the exposure of the most exposed occupation (8.0 standard deviations for graphic and multimedia designers). We call the effect detectable when the coefficient exceeds 1.96 times the standard error of the UK estimate for 2026 (0.017), that is 0.033 per standard deviation, which corresponds to an aggregate log change of 0.27 for that occupation. The calculation is a scenario analysis: it depends on a linear extrapolation of exposure, on an adoption path fitted to few data points, and on adoption among employers of the occupation being close to the sector figure.</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These patterns indicate that adoption is early and accelerating rather than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These barriers are expressed in the language of capability and legal and privacy uncertainty rather than usefulness. They concern AI in general, not visual generators specifically, and they are answers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have more considerers who report the difficulty of doing it. With 23 countries these correlations are descriptive.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simply more digitally intensive and adopt every kind of AI more. The exposure measure thus carries a general adoption propensity, which is one reason we control for language exposure and use within-group comparisons in the labor-demand analysis.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We conclude that the evidence is consistent with a small, growing effect but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so, unlike the UK, the European data show no differential decline before 2022.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Broad Exposure Measure</w:t>
      </w:r>
    </w:p>
    <w:p>
      <w:pPr>
        <w:spacing w:after="0" w:line="480" w:lineRule="auto"/>
        <w:ind w:firstLine="720"/>
        <w:jc w:val="left"/>
      </w:pPr>
      <w:r>
        <w:rPr>
          <w:rFonts w:ascii="Times New Roman" w:cs="Times New Roman" w:eastAsia="Times New Roman" w:hAnsi="Times New Roman"/>
          <w:sz w:val="24"/>
          <w:szCs w:val="24"/>
        </w:rPr>
        <w:t xml:space="preserve">Table 10 reports the dose-response estimates with the broad measure of exposure to visual materials. In the UK, with sub-major group fixed effects and the control for LLM exposure, a standard deviation of exposure is associated with 2.1% fewer adverts in the year ending June 2023 relative to the base year (standard error 1.5), 1.0% fewer in 2024 (2.2), 1.8% fewer in 2025 (2.0), and 2.7% fewer in 2026 (2.1); randomization p-values are 0.54, 0.25, and 0.09 for 2024, 2025, and 2026. With major-group fixed effects the estimates are −2.6% to −3.0% in 2023–2026 with standard errors of 1.1 to 1.8. The coefficients before the base year are positive and larger than for the narrow measure (+4.7% in 2018 and +4.2% in 2019, with standard errors of 1.7 and 1.5), which means that occupations with high exposure to visual materials were rising relative to others before 2022 and then lost that advantage. In the European data the broad measure gives −0.9% in 2023 (standard error 0.7, randomization p = 0.27) and −0.4% in 2024 (1.5, p = 0.77), against positive pre-2022 coefficients (+4.0% in 2019, +2.3% in 2020, +1.9% in 2021). The country-by-country slopes are negative in 5 of 9 countries in both years. With the broad measure the post-2022 estimates are therefore smaller and less precise than with the narrow measure, and the pre-2022 pattern of relative growth is stronger, so a larger part of the post-2022 pattern can be read as the reversal of an earlier trend.</w:t>
      </w:r>
    </w:p>
    <w:p>
      <w:pPr>
        <w:keepNext/>
        <w:spacing w:after="80" w:before="240" w:line="240" w:lineRule="auto"/>
        <w:jc w:val="center"/>
      </w:pPr>
      <w:r>
        <w:rPr>
          <w:rFonts w:ascii="Times New Roman" w:cs="Times New Roman" w:eastAsia="Times New Roman" w:hAnsi="Times New Roman"/>
          <w:b/>
          <w:bCs/>
          <w:sz w:val="22"/>
          <w:szCs w:val="22"/>
        </w:rPr>
        <w:t xml:space="preserve">Table 10.</w:t>
      </w:r>
      <w:r>
        <w:rPr>
          <w:rFonts w:ascii="Times New Roman" w:cs="Times New Roman" w:eastAsia="Times New Roman" w:hAnsi="Times New Roman"/>
          <w:sz w:val="22"/>
          <w:szCs w:val="22"/>
        </w:rPr>
        <w:t xml:space="preserve"> Broad exposure measure: coefficient on exposure to visual materials (per standard deviation), change in log adverts relative to the base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100"/>
        <w:gridCol w:w="1100"/>
        <w:gridCol w:w="1100"/>
        <w:gridCol w:w="1100"/>
        <w:gridCol w:w="1100"/>
        <w:gridCol w:w="1300"/>
      </w:tblGrid>
      <w:tr>
        <w:trPr>
          <w:cantSplit/>
          <w:tblHeader/>
        </w:trPr>
        <w:tc>
          <w:tcPr>
            <w:tcW w:type="dxa" w:w="2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Sample</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2018/19</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2020/21</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sub-major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+0.047 / +0.042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(2021)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−0.010 (0.022)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(0.020)</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(0.021)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randomization p</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0.543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0.253</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country-year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+0.040 (2019)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 +0.019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(0.007)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−0.004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r>
      <w:tr>
        <w:trPr>
          <w:cantSplit/>
          <w:tblHeader w:val="false"/>
        </w:trPr>
        <w:tc>
          <w:tcPr>
            <w:tcW w:type="dxa" w:w="2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randomization p</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0.272</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0.774</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Broad measure of exposure to visual materials (Section 4.3). UK: 403 occupations; Europe: 604 country-occupation cells in 96 occupations and 16 countries. Standard errors in parentheses; for the pre-2022 columns they are 0.017 and 0.015 (UK, 2018 and 2019), 0.015 (UK, 2021), 0.017 (Europe, 2019), and 0.019 and 0.010 (Europe, 2020 and 2021). The UK base year is July 2021–June 2022 and the European base year is 2022.</w:t>
      </w:r>
    </w:p>
    <w:p>
      <w:pPr>
        <w:pStyle w:val="Heading2"/>
        <w:keepNext/>
        <w:spacing w:after="120" w:before="240" w:line="240" w:lineRule="auto"/>
      </w:pPr>
      <w:r>
        <w:rPr>
          <w:rFonts w:ascii="Times New Roman" w:cs="Times New Roman" w:eastAsia="Times New Roman" w:hAnsi="Times New Roman"/>
          <w:b/>
          <w:bCs/>
          <w:sz w:val="24"/>
          <w:szCs w:val="24"/>
        </w:rPr>
        <w:t xml:space="preserve">6.10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strengthens the direction of the result and removes the pre-trend concern, but it covers only two post-2022 years. In Canada the first post-2022 year agrees in sign, and later years show no clear pattern within narrow occupation groups. With the broad exposure measure the post-2022 estimates are smaller and less precise and the pre-2022 coefficients are positive and larger, so the evidence for displacement is weaker still.</w:t>
      </w:r>
    </w:p>
    <w:p>
      <w:pPr>
        <w:pStyle w:val="Heading2"/>
        <w:keepNext/>
        <w:spacing w:after="120" w:before="240" w:line="240" w:lineRule="auto"/>
      </w:pPr>
      <w:r>
        <w:rPr>
          <w:rFonts w:ascii="Times New Roman" w:cs="Times New Roman" w:eastAsia="Times New Roman" w:hAnsi="Times New Roman"/>
          <w:b/>
          <w:bCs/>
          <w:sz w:val="24"/>
          <w:szCs w:val="24"/>
        </w:rPr>
        <w:t xml:space="preserve">6.11 Projection: When Could Displacement Become Detectable?</w:t>
      </w:r>
    </w:p>
    <w:p>
      <w:pPr>
        <w:spacing w:after="0" w:line="480" w:lineRule="auto"/>
        <w:ind w:firstLine="720"/>
        <w:jc w:val="left"/>
      </w:pPr>
      <w:r>
        <w:rPr>
          <w:rFonts w:ascii="Times New Roman" w:cs="Times New Roman" w:eastAsia="Times New Roman" w:hAnsi="Times New Roman"/>
          <w:sz w:val="24"/>
          <w:szCs w:val="24"/>
        </w:rPr>
        <w:t xml:space="preserve">Table 11 reports the share of employers that would have to adopt for the effect to reach the detection threshold, and the first year in which each adoption scenario gets there. The threshold requires adoption times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to reach −0.27. If demand among adopters falls by 39%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−0.5), adoption must reach 53%. Starting from the EU27 average of 9.6%, this happens in 2029 under fast diffusion, 2030 under medium diffusion, and 2035 under slow diffusion. Starting from the 36% adoption observed in publishing, film, and broadcasting, it happens in 2026, 2027, and 2028. If demand among adopters falls by 26%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−0.3), adoption must reach 89%, which occurs between 2031 and 2034 for the average firm under fast and medium diffusion and between 2029 and 2031 in media-related sectors, and not within the horizon under slow diffusion. If demand falls by 10%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the threshold would require adoption above 100%: such an effect would not be detectable with this design at any adoption level. If demand among adopters fell by 55%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−0.8), detection would occur in 2028 to 2032 for the average firm and already in 2025 in media-related sectors. The present UK coefficient for 2026 (−0.033) is at the detection threshold, so it is consistent either with such a large effect among adopters in a high-adoption sector or with a decline that is not caused by adoption, as Section 6.7 suggests.</w:t>
      </w:r>
    </w:p>
    <w:p>
      <w:pPr>
        <w:keepNext/>
        <w:spacing w:after="80" w:before="240" w:line="240" w:lineRule="auto"/>
        <w:jc w:val="center"/>
      </w:pPr>
      <w:r>
        <w:rPr>
          <w:rFonts w:ascii="Times New Roman" w:cs="Times New Roman" w:eastAsia="Times New Roman" w:hAnsi="Times New Roman"/>
          <w:b/>
          <w:bCs/>
          <w:sz w:val="22"/>
          <w:szCs w:val="22"/>
        </w:rPr>
        <w:t xml:space="preserve">Table 11.</w:t>
      </w:r>
      <w:r>
        <w:rPr>
          <w:rFonts w:ascii="Times New Roman" w:cs="Times New Roman" w:eastAsia="Times New Roman" w:hAnsi="Times New Roman"/>
          <w:sz w:val="22"/>
          <w:szCs w:val="22"/>
        </w:rPr>
        <w:t xml:space="preserve"> Adoption needed for detectability and first year of detectability by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cantSplit/>
          <w:tblHeader/>
        </w:trPr>
        <w:tc>
          <w:tcPr>
            <w:tcW w:type="dxa" w:w="29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Effect among adopters β (demand change)</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needed</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Fast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Medium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Slow diffusion (all firms / media)</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 (−10%)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above 100%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 (−26%)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2031 / 2029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2034 / 2031</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2035 / after 2035</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 (−39%)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2030 / 2027</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2035 / 2028</w:t>
            </w:r>
          </w:p>
        </w:tc>
      </w:tr>
      <w:tr>
        <w:trPr>
          <w:cantSplit/>
          <w:tblHeader w:val="false"/>
        </w:trPr>
        <w:tc>
          <w:tcPr>
            <w:tcW w:type="dxa" w:w="29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 (−55%)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33%</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2028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2032 / 2025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Adoption starts from 9.6% (all firms with ten or more employees, EU27, 2025) or 36.2% (publishing, film, and broadcasting) and follows a logistic path with log-odds slopes of 0.75, 0.50, and 0.25 per year. Detection: predicted coefficient per standard deviation of exposure below −0.033 (1.96 times the UK standard error of 0.017) for an occupation with exposure 8.0 standard deviations above the mean. The medium-diffusion path for all firms reaches 56% adoption in 2030.</w:t>
      </w:r>
    </w:p>
    <w:p>
      <w:pPr>
        <w:spacing w:after="0" w:line="480" w:lineRule="auto"/>
        <w:ind w:firstLine="720"/>
        <w:jc w:val="left"/>
      </w:pPr>
      <w:r>
        <w:rPr>
          <w:rFonts w:ascii="Times New Roman" w:cs="Times New Roman" w:eastAsia="Times New Roman" w:hAnsi="Times New Roman"/>
          <w:sz w:val="24"/>
          <w:szCs w:val="24"/>
        </w:rPr>
        <w:t xml:space="preserve">The projection yields criteria that later data can use to falsify it. Under medium diffusion from the average-firm baseline, adoption is 32% in 2028. A coefficient per standard deviation of exposure above −0.01 in 2028 in the UK and European data would then imply that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is above about −0.25 for typical adopters (a demand reduction below roughly 22%). A coefficient at or below −0.035 in 2030, when adoption is 56%, would be consistent with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of about −0.5 or less. These criteria are conditional on the adoption path; if adoption is slower, the same coefficients imply larger values of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splits the labor-demand effect of a technology into adoption and the net effect among adopters, and uses it to bound what adoption can explain. It provides direct survey evidence on obstacles to adoption (expertise and legal and privacy uncertainty) and shows that adoption of generative visual AI is already substantial. It links task-level data on visual content creation to occupation-level hiring data across countries in an open, reproducible pipeline, and shows that estimated effects are small, have the same sign in a European replication, and are sensitive to a few occupations in the UK. For research on delayed diffusion, the results show how adoption statistics and labor outcomes can diverge: adoption is high enough to signal an early phase, while labor outcomes have not yet moved in a way that can be attributed to the technology.</w:t>
      </w:r>
    </w:p>
    <w:p>
      <w:pPr>
        <w:spacing w:after="0" w:line="480" w:lineRule="auto"/>
        <w:ind w:firstLine="720"/>
        <w:jc w:val="left"/>
      </w:pPr>
      <w:r>
        <w:rPr>
          <w:rFonts w:ascii="Times New Roman" w:cs="Times New Roman" w:eastAsia="Times New Roman" w:hAnsi="Times New Roman"/>
          <w:sz w:val="24"/>
          <w:szCs w:val="24"/>
        </w:rPr>
        <w:t xml:space="preserve">Our estimates for employers’ standing occupations are smaller than the declines of about 17% in image-creation job posts and about 21% in writing and coding posts reported for a freelance platform (Demirci et al. 2025). This fits the delayed-adoption view that substitution appears first in spot markets for outsourced tasks and later inside organizations. We have not tested that explanation, and the data sets differ in measure, occupations, and period.</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small effects on hiring so far do not show that they will stay small. If adoption keeps rising at the pace seen for text generation, effects on hiring could appear within a few years, and monitoring should use occupation-level data that distinguish production roles from direction roles. For information systems research, the paper points to the assimilation gap as a way to read generative AI: counting adopters is not the same as measuring how far tasks have shifted.</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among the employers of each occupation, so the scaling exercise is a stylized check. The barriers come from a European survey about AI in general, whereas the hiring data are for the United Kingdom, so we link them only through sector averages, and the Eurostat indicator for generative visual AI exists for one year, so we cannot show its growth. The European replication uses experimental statistics for 16 countries and ISCO three-digit occupations, has only two post-2022 years, and ends in 2024. The Canadian data are an employer survey of vacancies rather than job adverts, lack two quarters in 2020, use exposure scored from NOC duty statements without a control for LLM exposure, and give imprecise estimates after 2023.</w:t>
      </w:r>
    </w:p>
    <w:p>
      <w:pPr>
        <w:spacing w:after="0" w:line="480" w:lineRule="auto"/>
        <w:ind w:firstLine="720"/>
        <w:jc w:val="left"/>
      </w:pPr>
      <w:r>
        <w:rPr>
          <w:rFonts w:ascii="Times New Roman" w:cs="Times New Roman" w:eastAsia="Times New Roman" w:hAnsi="Times New Roman"/>
          <w:sz w:val="24"/>
          <w:szCs w:val="24"/>
        </w:rPr>
        <w:t xml:space="preserve">The exposure measures are LLM-coded. The narrow measure agrees poorly with two human coders (weighted κ 0.11 and 0.04), and the coders agree poorly with each other (0.18), so the reliability of the construct at task level is low. The broad measure agrees moderately (0.31 to 0.41), at least as well as the coders agree with each other, but its rubric was shaped by one coder. Low reliability attenuates estimated effects. A rule-based score gives results similar to the narrow measure. The mapping from O*NET to UK occupations goes through ISCO-08 and is approximate.</w:t>
      </w:r>
    </w:p>
    <w:p>
      <w:pPr>
        <w:spacing w:after="0" w:line="480" w:lineRule="auto"/>
        <w:ind w:firstLine="720"/>
        <w:jc w:val="left"/>
      </w:pPr>
      <w:r>
        <w:rPr>
          <w:rFonts w:ascii="Times New Roman" w:cs="Times New Roman" w:eastAsia="Times New Roman" w:hAnsi="Times New Roman"/>
          <w:sz w:val="24"/>
          <w:szCs w:val="24"/>
        </w:rPr>
        <w:t xml:space="preserve">The ONS series is experimental and has missing months that we interpolate. Adverts measure hiring intent, not employment, and substitution may occur through hours, outsourcing, or freelancing, which adverts cannot show. Release dates refer to public availability and are approximate. The projection depends on assumptions about the adoption path, the linearity of exposure, and adoption among employers of each occupation, and it does not identify the effect among adopters. Finally, the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Under the model, a demand reduction of about 40% among adopters would become detectable in data of this kind around 2029 to 2030 if adoption follows its recent path, and a reduction of 10% would not become detectable at any adoption level. Testing the delayed-displacement view requires firm-level data that link adoption to hiring, a validated task measure, and several more years of data.</w:t>
      </w:r>
    </w:p>
    <w:p>
      <w:pPr>
        <w:pStyle w:val="Heading1"/>
        <w:keepNext/>
        <w:spacing w:after="120" w:before="360" w:line="240" w:lineRule="auto"/>
      </w:pPr>
      <w:r>
        <w:rPr>
          <w:rFonts w:ascii="Times New Roman" w:cs="Times New Roman" w:eastAsia="Times New Roman" w:hAnsi="Times New Roman"/>
          <w:b/>
          <w:bCs/>
          <w:caps/>
          <w:sz w:val="24"/>
          <w:szCs w:val="24"/>
        </w:rPr>
        <w:t xml:space="preserve">Data, Code, and Generative AI Statements</w:t>
      </w:r>
    </w:p>
    <w:p>
      <w:pPr>
        <w:spacing w:after="0" w:line="480" w:lineRule="auto"/>
        <w:ind w:firstLine="720"/>
        <w:jc w:val="left"/>
      </w:pPr>
      <w:r>
        <w:rPr>
          <w:rFonts w:ascii="Times New Roman" w:cs="Times New Roman" w:eastAsia="Times New Roman" w:hAnsi="Times New Roman"/>
          <w:i/>
          <w:iCs/>
          <w:sz w:val="24"/>
          <w:szCs w:val="24"/>
        </w:rPr>
        <w:t xml:space="preserve">Data and code availability.</w:t>
      </w:r>
      <w:r>
        <w:rPr>
          <w:rFonts w:ascii="Times New Roman" w:cs="Times New Roman" w:eastAsia="Times New Roman" w:hAnsi="Times New Roman"/>
          <w:sz w:val="24"/>
          <w:szCs w:val="24"/>
        </w:rPr>
        <w:t xml:space="preserve"> All data come from public sources (Eurostat, ONS, Statistics Canada, O*NET, Indeed Hiring Lab). The code, prompts, LLM-coded task scores, and human coding files needed to reproduce every table and figure are available in an anonymized replication repository [anonymized link to be provided at submission].</w:t>
      </w:r>
    </w:p>
    <w:p>
      <w:pPr>
        <w:spacing w:after="0" w:line="480" w:lineRule="auto"/>
        <w:ind w:firstLine="720"/>
        <w:jc w:val="left"/>
      </w:pPr>
      <w:r>
        <w:rPr>
          <w:rFonts w:ascii="Times New Roman" w:cs="Times New Roman" w:eastAsia="Times New Roman" w:hAnsi="Times New Roman"/>
          <w:i/>
          <w:iCs/>
          <w:sz w:val="24"/>
          <w:szCs w:val="24"/>
        </w:rPr>
        <w:t xml:space="preserve">Use of generative AI.</w:t>
      </w:r>
      <w:r>
        <w:rPr>
          <w:rFonts w:ascii="Times New Roman" w:cs="Times New Roman" w:eastAsia="Times New Roman" w:hAnsi="Times New Roman"/>
          <w:sz w:val="24"/>
          <w:szCs w:val="24"/>
        </w:rPr>
        <w:t xml:space="preserve"> Large language models were used as measurement instruments to code O*NET and NOC task statements, as described in Section 4.3 and Appendix A. A generative AI assistant was also used to help write analysis code and to draft and edit the manuscript text. [The authors reviewed all results, text, and code and take responsibility for the content; authors to confirm this statement before submission.]</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[MODEL NAME AND VERSION], accessed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Broad visual-materials score (applied to all 18,796 tasks, with the occupation title shown).</w:t>
      </w:r>
      <w:r>
        <w:rPr>
          <w:rFonts w:ascii="Times New Roman" w:cs="Times New Roman" w:eastAsia="Times New Roman" w:hAnsi="Times New Roman"/>
          <w:sz w:val="24"/>
          <w:szCs w:val="24"/>
        </w:rPr>
        <w:t xml:space="preserve"> Score how much the task involves visual materials and visual or aesthetic output. 2 = producing, designing, or editing visual or aesthetic output is the core of the task (graphics, illustration, photography, video, animation, web or interface design and development, layouts and patterns, set, costume, hair or make-up appearance, performing for camera or stage). 1 = the task works with visual materials without producing visual or aesthetic output as its core: reading, studying, or interpreting blueprints, drawings, maps, or images; producing engineering or technical drawings and documentation; visually inspecting or monitoring; preparing charts, slides, or visual aids as part of a broader duty. 0 = the task does not involve visual materials or visual output. Tasks are not scored merely because the worker must see to do them.</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and all code are in the anonymized replication repository.</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Demirci, O., Hannane, J., and Zhu, X. 2025. Who is AI replacing? The impact of generative AI on online freelancing platforms.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71(10):8097–8108.</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4"/>
          <w:szCs w:val="24"/>
        </w:rPr>
        <w:t xml:space="preserve">Organization Science</w:t>
      </w:r>
      <w:r>
        <w:rPr>
          <w:rFonts w:ascii="Times New Roman" w:cs="Times New Roman" w:eastAsia="Times New Roman" w:hAnsi="Times New Roman"/>
          <w:sz w:val="24"/>
          <w:szCs w:val="24"/>
        </w:rPr>
        <w:t xml:space="preserve"> 35(6):1977–1989.</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SSRN working paper 3482150 (revised January 2020).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2026-10-04T12:04:27.462Z</dcterms:created>
  <dcterms:modified xsi:type="dcterms:W3CDTF">2026-10-04T12:04:27.467Z</dcterms:modified>
</cp:coreProperties>
</file>

<file path=docProps/custom.xml><?xml version="1.0" encoding="utf-8"?>
<Properties xmlns="http://schemas.openxmlformats.org/officeDocument/2006/custom-properties" xmlns:vt="http://schemas.openxmlformats.org/officeDocument/2006/docPropsVTypes"/>
</file>