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</w:rPr>
        <w:t>TITLE PAGE (not for blind review)</w:t>
      </w:r>
    </w:p>
    <w:p>
      <w:pPr>
        <w:spacing w:after="240"/>
        <w:jc w:val="center"/>
      </w:pPr>
      <w:r>
        <w:rPr>
          <w:b/>
          <w:i w:val="0"/>
        </w:rPr>
        <w:t>When Can Platforms Trust Synthetic Agents? Validity Regions and Decision Rules for LLM Digital Twins in Experimentation Pipelines</w:t>
      </w:r>
    </w:p>
    <w:p>
      <w:pPr>
        <w:spacing w:after="240"/>
        <w:jc w:val="center"/>
      </w:pPr>
      <w:r>
        <w:rPr>
          <w:b w:val="0"/>
          <w:i/>
        </w:rPr>
        <w:t>Running title: Validity regions for synthetic agents</w:t>
      </w:r>
    </w:p>
    <w:p>
      <w:pPr>
        <w:spacing w:after="120"/>
      </w:pPr>
      <w:r>
        <w:rPr>
          <w:b/>
          <w:i w:val="0"/>
        </w:rPr>
        <w:t>Authors and affiliations</w:t>
      </w:r>
    </w:p>
    <w:p>
      <w:pPr>
        <w:spacing w:after="120"/>
      </w:pPr>
      <w:r>
        <w:rPr>
          <w:b w:val="0"/>
          <w:i w:val="0"/>
        </w:rPr>
        <w:t>[Author 1 name], [department, institution, city, country], [email], [ORCID]</w:t>
        <w:br/>
        <w:t>[Author 2 name], [department, institution, city, country], [email], [ORCID]</w:t>
      </w:r>
    </w:p>
    <w:p>
      <w:pPr>
        <w:spacing w:after="120"/>
      </w:pPr>
      <w:r>
        <w:rPr>
          <w:b/>
          <w:i w:val="0"/>
        </w:rPr>
        <w:t>Corresponding author</w:t>
      </w:r>
    </w:p>
    <w:p>
      <w:pPr>
        <w:spacing w:after="120"/>
      </w:pPr>
      <w:r>
        <w:rPr>
          <w:b w:val="0"/>
          <w:i w:val="0"/>
        </w:rPr>
        <w:t>[Name, postal address, email, telephone]</w:t>
      </w:r>
    </w:p>
    <w:p>
      <w:pPr>
        <w:spacing w:after="120"/>
      </w:pPr>
      <w:r>
        <w:rPr>
          <w:b/>
          <w:i w:val="0"/>
        </w:rPr>
        <w:t>Keywords</w:t>
      </w:r>
    </w:p>
    <w:p>
      <w:pPr>
        <w:spacing w:after="120"/>
      </w:pPr>
      <w:r>
        <w:rPr>
          <w:b w:val="0"/>
          <w:i w:val="0"/>
        </w:rPr>
        <w:t>synthetic agents; digital twins; large language models; experimentation platforms; validity; behavioral economics; A/B testing; design science</w:t>
      </w:r>
    </w:p>
    <w:p>
      <w:pPr>
        <w:spacing w:after="120"/>
      </w:pPr>
      <w:r>
        <w:rPr>
          <w:b/>
          <w:i w:val="0"/>
        </w:rPr>
        <w:t>Manuscript length</w:t>
      </w:r>
    </w:p>
    <w:p>
      <w:pPr>
        <w:spacing w:after="120"/>
      </w:pPr>
      <w:r>
        <w:rPr>
          <w:b w:val="0"/>
          <w:i w:val="0"/>
        </w:rPr>
        <w:t>About 5,700 words including tables and references (main manuscript); online appendix provided separately. [Check against the journal limit.]</w:t>
      </w:r>
    </w:p>
    <w:p>
      <w:pPr>
        <w:spacing w:after="120"/>
      </w:pPr>
      <w:r>
        <w:rPr>
          <w:b/>
          <w:i w:val="0"/>
        </w:rPr>
        <w:t>Pre-registration</w:t>
      </w:r>
    </w:p>
    <w:p>
      <w:pPr>
        <w:spacing w:after="120"/>
      </w:pPr>
      <w:r>
        <w:rPr>
          <w:b w:val="0"/>
          <w:i w:val="0"/>
        </w:rPr>
        <w:t>AsPredicted #320110 (twin study, reasoning grid) and AsPredicted #320124 (field test; overlapping amendment to #320110). Analysis code for confirmatory studies was committed before the confirmatory outputs were analyzed.</w:t>
      </w:r>
    </w:p>
    <w:p>
      <w:pPr>
        <w:spacing w:after="120"/>
      </w:pPr>
      <w:r>
        <w:rPr>
          <w:b/>
          <w:i w:val="0"/>
        </w:rPr>
        <w:t>Data and code availability</w:t>
      </w:r>
    </w:p>
    <w:p>
      <w:pPr>
        <w:spacing w:after="120"/>
      </w:pPr>
      <w:r>
        <w:rPr>
          <w:b w:val="0"/>
          <w:i w:val="0"/>
        </w:rPr>
        <w:t>Code, pre-registrations, summary results, and raw model outputs are provided as supplementary files (code package and raw-output archive). Human data are public secondary data: Twin-2K-500 and its mega-study (Hugging Face, CC BY 4.0 and Apache-2.0) and the Upworthy Research Archive (OSF jd64p). [Add repository DOI / permanent link when deposited.]</w:t>
      </w:r>
    </w:p>
    <w:p>
      <w:pPr>
        <w:spacing w:after="120"/>
      </w:pPr>
      <w:r>
        <w:rPr>
          <w:b/>
          <w:i w:val="0"/>
        </w:rPr>
        <w:t>Ethics</w:t>
      </w:r>
    </w:p>
    <w:p>
      <w:pPr>
        <w:spacing w:after="120"/>
      </w:pPr>
      <w:r>
        <w:rPr>
          <w:b w:val="0"/>
          <w:i w:val="0"/>
        </w:rPr>
        <w:t>No new human-subject data were collected. [Institutional determination of exemption to be added by the authors.]</w:t>
      </w:r>
    </w:p>
    <w:p>
      <w:pPr>
        <w:spacing w:after="120"/>
      </w:pPr>
      <w:r>
        <w:rPr>
          <w:b/>
          <w:i w:val="0"/>
        </w:rPr>
        <w:t>Funding</w:t>
      </w:r>
    </w:p>
    <w:p>
      <w:pPr>
        <w:spacing w:after="120"/>
      </w:pPr>
      <w:r>
        <w:rPr>
          <w:b w:val="0"/>
          <w:i w:val="0"/>
        </w:rPr>
        <w:t>[Funding sources, or "none"]. API compute for the simulations (about 306 USD) was paid by [the authors / institution].</w:t>
      </w:r>
    </w:p>
    <w:p>
      <w:pPr>
        <w:spacing w:after="120"/>
      </w:pPr>
      <w:r>
        <w:rPr>
          <w:b/>
          <w:i w:val="0"/>
        </w:rPr>
        <w:t>Conflicts of interest</w:t>
      </w:r>
    </w:p>
    <w:p>
      <w:pPr>
        <w:spacing w:after="120"/>
      </w:pPr>
      <w:r>
        <w:rPr>
          <w:b w:val="0"/>
          <w:i w:val="0"/>
        </w:rPr>
        <w:t>[Authors to complete.]</w:t>
      </w:r>
    </w:p>
    <w:p>
      <w:pPr>
        <w:spacing w:after="120"/>
      </w:pPr>
      <w:r>
        <w:rPr>
          <w:b/>
          <w:i w:val="0"/>
        </w:rPr>
        <w:t>Use of AI assistance</w:t>
      </w:r>
    </w:p>
    <w:p>
      <w:pPr>
        <w:spacing w:after="120"/>
      </w:pPr>
      <w:r>
        <w:rPr>
          <w:b w:val="0"/>
          <w:i w:val="0"/>
        </w:rPr>
        <w:t>An AI model (Anthropic Claude) assisted with study design discussion, code for the simulations and analyses, and drafting of the manuscript, appendix, and cover letter. The authors are responsible for all content. [Confirm wording against the journal's AI-use policy.]</w:t>
      </w:r>
    </w:p>
    <w:p>
      <w:pPr>
        <w:spacing w:after="120"/>
      </w:pPr>
      <w:r>
        <w:rPr>
          <w:b/>
          <w:i w:val="0"/>
        </w:rPr>
        <w:t>Acknowledgments</w:t>
      </w:r>
    </w:p>
    <w:p>
      <w:pPr>
        <w:spacing w:after="120"/>
      </w:pPr>
      <w:r>
        <w:rPr>
          <w:b w:val="0"/>
          <w:i w:val="0"/>
        </w:rPr>
        <w:t>[To be completed.]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