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Counting Customers with Language Models: Heterogeneity Compression in Synthetic Purchase Data</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Large language models (LLMs) are increasingly used to create synthetic customers for pre-testing marketing decisions, but evaluations have concentrated on ratings, choices, and stated willingness to pay. We study an output that customer analytics depends on more directly: the number of purchases a customer makes in a period. Building on the Poisson–gamma account of purchase counts, we show analytically that overdispersion measures unobserved customer heterogeneity, derive how much of it a persona-conditioned simulator can carry, and show how a hybrid design avoids double counting. We evaluate four elicitation designs across eight LLMs in public transaction settings (mean counts of about 0.5, 4.8, and 7.8) and in a randomized email experiment. Direct and day-by-day designs collapse toward a single value in nearly every model and setting, and larger, more recent models do not change this. Describing a distribution recovers part of the dispersion but under-produces zero counts where zeros are common. Personas built from real household demographics change nothing, because those demographics explain about 1% of the heterogeneity in counts. The hybrid matches dispersion only when the model’s mean is accurate. Promotion effects have the right sign in most settings, yet their size varies by an order of magnitude with model and prompt, and the absolute lift in purchase probability is overstated in 15 of 16 configurations (median about tenfold). Treating the simulator as a decision-support artifact at the interface of information systems and marketing analytics, we show why the Poisson–gamma result becomes a managerial problem when heterogeneity is generated instead of estimated, read the propositions as design constraints and a calibration mechanism, derive design principles and an evaluation protocol, and show that the overstated lifts would lead a firm to approve promotions that a randomized test rejects. We close with organizational implications for validating and governing synthetic data in analytics systems.</w:t>
      </w:r>
    </w:p>
    <w:p>
      <w:pPr>
        <w:pStyle w:val="BodyText"/>
      </w:pPr>
      <w:r>
        <w:rPr>
          <w:bCs/>
          <w:b/>
        </w:rPr>
        <w:t xml:space="preserve">Keywords:</w:t>
      </w:r>
      <w:r>
        <w:t xml:space="preserve"> </w:t>
      </w:r>
      <w:r>
        <w:t xml:space="preserve">synthetic customers, large language models, IT artifact, decision support systems, design science, purchase counts, overdispersion, customer heterogeneity, digital twins</w:t>
      </w:r>
    </w:p>
    <w:bookmarkStart w:id="20" w:name="introduction"/>
    <w:p>
      <w:pPr>
        <w:pStyle w:val="Heading1"/>
      </w:pPr>
      <w:r>
        <w:t xml:space="preserve">1. Introduction</w:t>
      </w:r>
    </w:p>
    <w:p>
      <w:pPr>
        <w:pStyle w:val="FirstParagraph"/>
      </w:pPr>
      <w:r>
        <w:t xml:space="preserve">Firms routinely test promotions, prices, and messages before committing money to them. Large language models (LLMs) promise a cheaper way to do so: prompt a model with a customer description, ask what that customer would do, and repeat for thousands of customers. Early studies found that such synthetic respondents produce plausible willingness-to-pay estimates and conjoint results (Brand et al. 2023), reproduce the qualitative pattern of classic behavioral experiments (Horton 2023), and, with suitable elicitation, mimic human purchase-intent ratings (Maier et al. 2025). Vendors now market</w:t>
      </w:r>
      <w:r>
        <w:t xml:space="preserve"> </w:t>
      </w:r>
      <w:r>
        <w:t xml:space="preserve">“</w:t>
      </w:r>
      <w:r>
        <w:t xml:space="preserve">digital twins</w:t>
      </w:r>
      <w:r>
        <w:t xml:space="preserve">”</w:t>
      </w:r>
      <w:r>
        <w:t xml:space="preserve"> </w:t>
      </w:r>
      <w:r>
        <w:t xml:space="preserve">of consumer panels on this basis.</w:t>
      </w:r>
    </w:p>
    <w:p>
      <w:pPr>
        <w:pStyle w:val="BodyText"/>
      </w:pPr>
      <w:r>
        <w:t xml:space="preserve">What counts as validation in these studies is almost always a rating, a choice, or a price. Customer analytics, however, runs on counts. The number of purchases or visits per customer and period feeds customer lifetime value, repeat-purchase forecasts, and budget allocation, and marketing science has long modeled these counts as a Poisson process whose rate differs across customers (Ehrenberg 1959, Schmittlein et al. 1987, Fader et al. 2005). Because of this structure, the spread of a count distribution carries information about something firms care about, namely how much customers differ. A simulator that gets the average right but flattens the spread will mislead any decision that depends on heavy buyers, on the share of customers who do not buy at all, or on the uncertainty around a forecast.</w:t>
      </w:r>
    </w:p>
    <w:p>
      <w:pPr>
        <w:pStyle w:val="BodyText"/>
      </w:pPr>
      <w:r>
        <w:t xml:space="preserve">There is good reason to worry about flattening. Studies of silicon samples repeatedly report variance collapse: simulated answers cluster on the modal response and are narrower than human ones (Li et al. 2025, Tigre and Souto 2026), and instruction-tuned models appear unable to sample from distributions they can otherwise describe (Jang et al. 2026). For count data this problem has a precise statistical form. If customers differ in their purchase rates, counts are overdispersed relative to a Poisson process; a simulator that compresses heterogeneity therefore shows up first as underdispersion and as a distorted share of zeros. Yet we found no study that evaluates LLM-generated purchase counts against Poisson or negative binomial benchmarks.</w:t>
      </w:r>
    </w:p>
    <w:p>
      <w:pPr>
        <w:pStyle w:val="BodyText"/>
      </w:pPr>
      <w:r>
        <w:t xml:space="preserve">The question is also one for information systems research. A synthetic-customer simulator is an IT artifact in the sense of a system that organizations design, deploy, and use to support decisions (Orlikowski and Iacono 2001, Hevner et al. 2004). Its value does not lie in the language model itself but in the decisions it supports, so the relevant test is task–technology fit (Goodhue and Thompson 1995): does the artifact reproduce the properties of customer behavior on which the decision depends? For promotion planning, those properties are the share of customers who do not buy, the weight of heavy buyers, and the absolute size of an effect. We therefore treat the elicitation design, meaning how the model is asked, how its answers become counts, and where heterogeneity comes from, as the artifact’s design variable, and ask which designs fit which decisions.</w:t>
      </w:r>
    </w:p>
    <w:p>
      <w:pPr>
        <w:pStyle w:val="BodyText"/>
      </w:pPr>
      <w:r>
        <w:t xml:space="preserve">The question sits at the interface of information systems and marketing. Marketing analytics has become a systems problem: data are collected, transformed, and fed into models and dashboards that shape budgets and campaigns (Wedel and Kannan 2016), and the design, validation, and governance of those systems fall to information systems functions as much as to marketing. Generative AI adds a new component to this pipeline, the synthetic customer, which is marketed as a</w:t>
      </w:r>
      <w:r>
        <w:t xml:space="preserve"> </w:t>
      </w:r>
      <w:r>
        <w:t xml:space="preserve">“</w:t>
      </w:r>
      <w:r>
        <w:t xml:space="preserve">digital twin</w:t>
      </w:r>
      <w:r>
        <w:t xml:space="preserve">”</w:t>
      </w:r>
      <w:r>
        <w:t xml:space="preserve"> </w:t>
      </w:r>
      <w:r>
        <w:t xml:space="preserve">of a customer base. A twin is only as useful as the properties it preserves. If it preserves averages but not the spread of behavior, the systems built on it inherit a bias that looks like data but is not. Fluent, plausible output also invites reliance beyond what the system warrants (Lee and See 2004), so the limits of AI-based decision support are not a technical footnote but a question of how organizations should validate and use such outputs. We contribute to that question by showing, for a quantity that analytics systems depend on, which design choices preserve the property that matters and which do not.</w:t>
      </w:r>
    </w:p>
    <w:p>
      <w:pPr>
        <w:pStyle w:val="BodyText"/>
      </w:pPr>
      <w:r>
        <w:t xml:space="preserve">We ask four questions. Does the per-period purchase-count distribution of synthetic customers match the real one in mean, dispersion, zero share, and tail (RQ1)? Does variance collapse appear in count data as underdispersion (RQ2)? Do the elicitation and sampling design change fidelity (RQ3)? And does the promotion effect estimated with synthetic customers agree with a randomized experiment in direction and size (RQ4)? To answer them we compare four elicitation designs, run with eight LLMs and two prompt variants, against public transaction data sets whose mean counts differ by a factor of ten or more, and we test the same models against a randomized email experiment.</w:t>
      </w:r>
    </w:p>
    <w:p>
      <w:pPr>
        <w:pStyle w:val="BodyText"/>
      </w:pPr>
      <w:r>
        <w:t xml:space="preserve">The study makes five contributions. First, we give a short analytical account of how much heterogeneity a persona-conditioned simulator can carry, and of how an externally injected heterogeneity term must be calibrated to avoid double counting (Propositions 1 and 2). Second, we provide evidence across designs, models, and settings that direct and day-by-day designs collapse, that describing a distribution only partly repairs the problem, and that a hybrid design reproduces dispersion only when the model supplies an accurate mean. Third, in the experimental setting we show that relative and absolute effects can tell different stories when the simulated base rate is wrong, and that the absolute lift in purchase probability is overstated in 15 of the 16 configurations we tested. Fourth, we explain why a familiar statistical result becomes a new managerial problem when behavior is generated rather than estimated (a bound set by the firm’s data assets, a validation paradox, silent failure, and shifting components), and we add a result on customer concentration (Proposition 3). Fifth, we translate these findings into design principles for synthetic-customer systems and a diagnostic evaluation protocol, and we show in a stylized example how the overstated lifts would change a go/no-go decision.</w:t>
      </w:r>
    </w:p>
    <w:p>
      <w:pPr>
        <w:pStyle w:val="BodyText"/>
      </w:pPr>
      <w:r>
        <w:t xml:space="preserve">The remainder of the paper is organized as follows. Section 2 reviews the literature and states the gap. Section 3 develops the framework and hypotheses. Section 4 describes the data, designs, and measures. Section 5 reports results, Section 6 discusses implications and limitations, and Section 7 concludes.</w:t>
      </w:r>
    </w:p>
    <w:bookmarkEnd w:id="20"/>
    <w:bookmarkStart w:id="26"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report that GPT models are less patient than humans in intertemporal choices. Related studies find that LLM-generated data can track the direction of experimental treatment effects, although the magnitudes tend to be overstated (Hewitt et al. 2024). Direct elicitation of numerical ratings yields response distributions that are unrealistically narrow, and recent methods address this by mapping free-text answers to rating scales through embedding similarity (Maier et al. 2025).</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Prompting a model to list several candidate answers together with their probabilities partly restores diversity (Zhang et al. 2025a). In operations management, LLMs often reproduce the outcome of a hypothesis test while diverging from human data in the full response distribution, with mismatched dispersion playing a central role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such as ratings, choices, and prices.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For this reason, overdispersion relative to the Poisson is the empirical signature of customer heterogeneity (Cameron and Trivedi 1990), and a simulator that compresses heterogeneity should show up first as underdispersion. These distributions also feed customer lifetime value, repeat-purchase forecasts, and budget allocation, so errors in their shape propagate directly into downstream decisions.</w:t>
      </w:r>
    </w:p>
    <w:bookmarkEnd w:id="23"/>
    <w:bookmarkStart w:id="24" w:name="X737c6f800fdfd3e733d717eecbdedd1fc69ef31"/>
    <w:p>
      <w:pPr>
        <w:pStyle w:val="Heading2"/>
      </w:pPr>
      <w:r>
        <w:t xml:space="preserve">2.4 Synthetic customers as decision-support artifacts</w:t>
      </w:r>
    </w:p>
    <w:p>
      <w:pPr>
        <w:pStyle w:val="FirstParagraph"/>
      </w:pPr>
      <w:r>
        <w:t xml:space="preserve">Information systems research has long treated decision-support tools as artifacts whose worth must be shown by evaluation against the decisions they serve, not by internal consistency alone (Hevner et al. 2004, Gregor and Hevner 2013). Design science separates the design of an artifact, here the elicitation procedure, the persona schema, and the calibration step of a simulator, from its evaluation, here the comparison with observed behavior. Task–technology fit supplies the criterion: a technology improves performance when its capabilities match the demands of the task (Goodhue and Thompson 1995). Promotion pre-testing demands four capabilities of a simulated customer base: a plausible average, a plausible spread across customers, a plausible share of non-buyers, and a plausible absolute effect size. Existing evaluations of synthetic respondents mostly check the first and, through ratings, a crude version of the second. We therefore frame our four designs as alternative instantiations of one artifact class and our measures as the fit criteria that this task imposes. The artifact view also locates the topic at the interface of information systems and marketing analytics, where the design of the data and model pipeline determines which marketing decisions are well supported (Wedel and Kannan 2016). Hybrid arrangements in which a model supplies part of a judgment and a statistical procedure supplies another (Dellermann et al. 2019) are one response, and the design we call hybrid is an instance. The artifact view also clarifies what is not at stake. The question is not whether language models</w:t>
      </w:r>
      <w:r>
        <w:t xml:space="preserve"> </w:t>
      </w:r>
      <w:r>
        <w:t xml:space="preserve">“</w:t>
      </w:r>
      <w:r>
        <w:t xml:space="preserve">understand</w:t>
      </w:r>
      <w:r>
        <w:t xml:space="preserve">”</w:t>
      </w:r>
      <w:r>
        <w:t xml:space="preserve"> </w:t>
      </w:r>
      <w:r>
        <w:t xml:space="preserve">customers, but whether a particular system built on them supports a particular decision (Orlikowski and Iacono 2001).</w:t>
      </w:r>
    </w:p>
    <w:bookmarkEnd w:id="24"/>
    <w:bookmarkStart w:id="25" w:name="research-gap"/>
    <w:p>
      <w:pPr>
        <w:pStyle w:val="Heading2"/>
      </w:pPr>
      <w:r>
        <w:t xml:space="preserve">2.5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5"/>
    <w:bookmarkEnd w:id="26"/>
    <w:bookmarkStart w:id="35" w:name="theoretical-framework-and-hypotheses"/>
    <w:p>
      <w:pPr>
        <w:pStyle w:val="Heading1"/>
      </w:pPr>
      <w:r>
        <w:t xml:space="preserve">3. Theoretical Framework and Hypotheses</w:t>
      </w:r>
    </w:p>
    <w:bookmarkStart w:id="27"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7"/>
    <w:bookmarkStart w:id="28"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With</w:t>
      </w:r>
      <w:r>
        <w:t xml:space="preserve"> </w:t>
      </w:r>
      <m:oMath>
        <m:r>
          <m:t>v</m:t>
        </m:r>
        <m:d>
          <m:dPr>
            <m:begChr m:val="("/>
            <m:endChr m:val=")"/>
            <m:sepChr m:val=""/>
            <m:grow/>
          </m:dPr>
          <m:e>
            <m:r>
              <m:t>X</m:t>
            </m:r>
          </m:e>
        </m:d>
        <m:r>
          <m:rPr>
            <m:sty m:val="p"/>
          </m:rPr>
          <m:t>=</m:t>
        </m:r>
        <m:r>
          <m:t>0</m:t>
        </m:r>
      </m:oMath>
      <w:r>
        <w:t xml:space="preserve">,</w:t>
      </w:r>
      <w:r>
        <w:t xml:space="preserve"> </w:t>
      </w:r>
      <m:oMath>
        <m:r>
          <m:rPr>
            <m:nor/>
            <m:sty m:val="p"/>
          </m:rPr>
          <m:t>Var</m:t>
        </m:r>
        <m:d>
          <m:dPr>
            <m:begChr m:val="("/>
            <m:endChr m:val=")"/>
            <m:sepChr m:val=""/>
            <m:grow/>
          </m:dPr>
          <m:e>
            <m:sSup>
              <m:e>
                <m:r>
                  <m:t>N</m:t>
                </m:r>
              </m:e>
              <m:sup>
                <m:r>
                  <m:rPr>
                    <m:sty m:val="p"/>
                  </m:rPr>
                  <m:t>*</m:t>
                </m:r>
              </m:sup>
            </m:sSup>
          </m:e>
        </m:d>
        <m:r>
          <m:rPr>
            <m:sty m:val="p"/>
          </m:rPr>
          <m:t>=</m:t>
        </m:r>
        <m:r>
          <m:rPr>
            <m:nor/>
            <m:sty m:val="p"/>
          </m:rPr>
          <m:t>Var</m:t>
        </m:r>
        <m:d>
          <m:dPr>
            <m:begChr m:val="("/>
            <m:endChr m:val=")"/>
            <m:sepChr m:val=""/>
            <m:grow/>
          </m:dPr>
          <m:e>
            <m:r>
              <m:t>m</m:t>
            </m:r>
            <m:d>
              <m:dPr>
                <m:begChr m:val="("/>
                <m:endChr m:val=")"/>
                <m:sepChr m:val=""/>
                <m:grow/>
              </m:dPr>
              <m:e>
                <m:r>
                  <m:t>X</m:t>
                </m:r>
              </m:e>
            </m:d>
          </m:e>
        </m:d>
      </m:oMath>
      <w:r>
        <w:t xml:space="preserve">, and substituting into the definition of</w:t>
      </w:r>
      <w:r>
        <w:t xml:space="preserve"> </w:t>
      </w:r>
      <m:oMath>
        <m:r>
          <m:t>α</m:t>
        </m:r>
      </m:oMath>
      <w:r>
        <w:t xml:space="preserve"> </w:t>
      </w:r>
      <w:r>
        <w:t xml:space="preserve">gives</w:t>
      </w:r>
      <w:r>
        <w:t xml:space="preserve"> </w:t>
      </w:r>
      <m:oMath>
        <m:sSup>
          <m:e>
            <m:r>
              <m:t>α</m:t>
            </m:r>
          </m:e>
          <m:sup>
            <m:r>
              <m:rPr>
                <m:sty m:val="p"/>
              </m:rPr>
              <m:t>*</m:t>
            </m:r>
          </m:sup>
        </m:sSup>
        <m:r>
          <m:rPr>
            <m:sty m:val="p"/>
          </m:rPr>
          <m:t>=</m:t>
        </m:r>
        <m:sSup>
          <m:e>
            <m:r>
              <m:t>c</m:t>
            </m:r>
          </m:e>
          <m:sup>
            <m:r>
              <m:t>2</m:t>
            </m:r>
          </m:sup>
        </m:sSup>
        <m:r>
          <m:rPr>
            <m:sty m:val="p"/>
          </m:rPr>
          <m:t>−</m:t>
        </m:r>
        <m:r>
          <m:t>1</m:t>
        </m:r>
        <m:r>
          <m:rPr>
            <m:sty m:val="p"/>
          </m:rPr>
          <m:t>/</m:t>
        </m:r>
        <m:sSup>
          <m:e>
            <m:r>
              <m:t>μ</m:t>
            </m:r>
          </m:e>
          <m:sup>
            <m:r>
              <m:rPr>
                <m:sty m:val="p"/>
              </m:rPr>
              <m:t>*</m:t>
            </m:r>
          </m:sup>
        </m:sSup>
      </m:oMath>
      <w:r>
        <w:t xml:space="preserve">. If</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μ</m:t>
            </m:r>
          </m:e>
          <m:sup>
            <m:r>
              <m:rPr>
                <m:sty m:val="p"/>
              </m:rPr>
              <m:t>*</m:t>
            </m:r>
          </m:sup>
        </m:sSup>
        <m:r>
          <m:rPr>
            <m:sty m:val="p"/>
          </m:rPr>
          <m:t>=</m:t>
        </m:r>
        <m:r>
          <m:t>μ</m:t>
        </m:r>
      </m:oMath>
      <w:r>
        <w:t xml:space="preserve"> </w:t>
      </w:r>
      <w:r>
        <w:t xml:space="preserve">and</w:t>
      </w:r>
      <w:r>
        <w:t xml:space="preserve"> </w:t>
      </w:r>
      <m:oMath>
        <m:r>
          <m:rPr>
            <m:nor/>
            <m:sty m:val="p"/>
          </m:rPr>
          <m:t>Var</m:t>
        </m:r>
        <m:d>
          <m:dPr>
            <m:begChr m:val="("/>
            <m:endChr m:val=")"/>
            <m:sepChr m:val=""/>
            <m:grow/>
          </m:dPr>
          <m:e>
            <m:r>
              <m:t>m</m:t>
            </m:r>
            <m:d>
              <m:dPr>
                <m:begChr m:val="("/>
                <m:endChr m:val=")"/>
                <m:sepChr m:val=""/>
                <m:grow/>
              </m:dPr>
              <m:e>
                <m:r>
                  <m:t>X</m:t>
                </m:r>
              </m:e>
            </m:d>
          </m:e>
        </m:d>
        <m:r>
          <m:rPr>
            <m:sty m:val="p"/>
          </m:rPr>
          <m:t>=</m:t>
        </m:r>
        <m:r>
          <m:rPr>
            <m:nor/>
            <m:sty m:val="p"/>
          </m:rPr>
          <m:t>Var</m:t>
        </m:r>
        <m:d>
          <m:dPr>
            <m:begChr m:val="("/>
            <m:endChr m:val=")"/>
            <m:sepChr m:val=""/>
            <m:grow/>
          </m:dPr>
          <m:e>
            <m:r>
              <m:t>Λ</m:t>
            </m:r>
          </m:e>
        </m:d>
        <m:r>
          <m:rPr>
            <m:sty m:val="p"/>
          </m:rPr>
          <m:t>−</m:t>
        </m:r>
        <m:r>
          <m:t>E</m:t>
        </m:r>
        <m:d>
          <m:dPr>
            <m:begChr m:val="["/>
            <m:endChr m:val="]"/>
            <m:sepChr m:val=""/>
            <m:grow/>
          </m:dPr>
          <m:e>
            <m:r>
              <m:rPr>
                <m:nor/>
                <m:sty m:val="p"/>
              </m:rPr>
              <m:t>Var</m:t>
            </m:r>
            <m:d>
              <m:dPr>
                <m:begChr m:val="("/>
                <m:endChr m:val=")"/>
                <m:sepChr m:val=""/>
                <m:grow/>
              </m:dPr>
              <m:e>
                <m:r>
                  <m:t>Λ</m:t>
                </m:r>
                <m:r>
                  <m:rPr>
                    <m:sty m:val="p"/>
                  </m:rPr>
                  <m:t>∣</m:t>
                </m:r>
                <m:r>
                  <m:t>X</m:t>
                </m:r>
              </m:e>
            </m:d>
          </m:e>
        </m:d>
      </m:oMath>
      <w:r>
        <w:t xml:space="preserve">, which yields the last expression.</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it cannot carry any heterogeneity that the persona does not describe (the term</w:t>
      </w:r>
      <w:r>
        <w:t xml:space="preserve"> </w:t>
      </w:r>
      <m:oMath>
        <m:r>
          <m:t>R</m:t>
        </m:r>
      </m:oMath>
      <w:r>
        <w:t xml:space="preserve">). Both losses are present in direct integer answers. Because real customers differ in ways that a short persona cannot capture,</w:t>
      </w:r>
      <w:r>
        <w:t xml:space="preserve"> </w:t>
      </w:r>
      <m:oMath>
        <m:r>
          <m:t>R</m:t>
        </m:r>
      </m:oMath>
      <w:r>
        <w:t xml:space="preserve"> </w:t>
      </w:r>
      <w:r>
        <w:t xml:space="preserve">is rarely small, and collapse toward a single answer is the expected outcome rather than an anomaly.</w:t>
      </w:r>
    </w:p>
    <w:bookmarkEnd w:id="28"/>
    <w:bookmarkStart w:id="29"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r>
          <m:rPr>
            <m:sty m:val="p"/>
          </m:rPr>
          <m:t>=</m:t>
        </m:r>
        <m:sSup>
          <m:e>
            <m:r>
              <m:t>μ</m:t>
            </m:r>
          </m:e>
          <m:sup>
            <m:r>
              <m:t>2</m:t>
            </m:r>
          </m:sup>
        </m:sSup>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and</w:t>
      </w:r>
      <w:r>
        <w:t xml:space="preserve"> </w:t>
      </w:r>
      <m:oMath>
        <m:r>
          <m:t>α</m:t>
        </m:r>
        <m:r>
          <m:rPr>
            <m:sty m:val="p"/>
          </m:rPr>
          <m:t>=</m:t>
        </m:r>
        <m:r>
          <m:t>E</m:t>
        </m:r>
        <m:d>
          <m:dPr>
            <m:begChr m:val="["/>
            <m:endChr m:val="]"/>
            <m:sepChr m:val=""/>
            <m:grow/>
          </m:dPr>
          <m:e>
            <m:sSup>
              <m:e>
                <m:r>
                  <m:t>Λ</m:t>
                </m:r>
              </m:e>
              <m:sup>
                <m:r>
                  <m:t>2</m:t>
                </m:r>
              </m:sup>
            </m:sSup>
          </m:e>
        </m:d>
        <m:r>
          <m:rPr>
            <m:sty m:val="p"/>
          </m:rPr>
          <m:t>/</m:t>
        </m:r>
        <m:sSup>
          <m:e>
            <m:r>
              <m:t>μ</m:t>
            </m:r>
          </m:e>
          <m:sup>
            <m:r>
              <m:t>2</m:t>
            </m:r>
          </m:sup>
        </m:sSup>
        <m:r>
          <m:rPr>
            <m:sty m:val="p"/>
          </m:rPr>
          <m:t>−</m:t>
        </m:r>
        <m:r>
          <m:t>1</m:t>
        </m:r>
      </m:oMath>
      <w:r>
        <w:t xml:space="preserve">.</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9"/>
    <w:bookmarkStart w:id="30"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then samples a count externally. Because the top bin must be closed to be sampled, this design cannot produce the extreme tail of the real distribution. The variance-to-mean ratio attainable by a perfect description is that of the reference distribution after each bin’s mass is spread uniformly within the bin. For the bins we use, this ceiling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Comparisons for this design are therefore made against the ceiling as well as against the real value.</w:t>
      </w:r>
    </w:p>
    <w:bookmarkEnd w:id="30"/>
    <w:bookmarkStart w:id="31"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1"/>
    <w:bookmarkStart w:id="32"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We also ask, as an exploratory question, whether collapse is specific to settings with low mean counts, as one might expect if the model rounds small expected counts to 0, 1, or 2.</w:t>
      </w:r>
    </w:p>
    <w:bookmarkEnd w:id="32"/>
    <w:bookmarkStart w:id="33" w:name="from-propositions-to-system-mechanisms"/>
    <w:p>
      <w:pPr>
        <w:pStyle w:val="Heading2"/>
      </w:pPr>
      <w:r>
        <w:t xml:space="preserve">3.7 From propositions to system mechanisms</w:t>
      </w:r>
    </w:p>
    <w:p>
      <w:pPr>
        <w:pStyle w:val="FirstParagraph"/>
      </w:pPr>
      <w:r>
        <w:t xml:space="preserve">The two propositions can be read as statements about how to build the artifact, not only about count distributions. Proposition 1 is a design constraint: a component that returns a deterministic answer for each persona can transmit only the heterogeneity that the persona describes, so the remainder must come from a different component. Proposition 2 is a calibration mechanism. It allocates a variance budget between two sources, the model’s persona-conditioned rates and an external noise generator, so that their combination matches the dispersion observed in the organization’s own data,</w:t>
      </w:r>
      <w:r>
        <w:t xml:space="preserve"> </w:t>
      </w: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The mechanism has three properties that matter for a system. It is explicit, because the allocation is computed rather than tuned by hand. It is auditable, because the target dispersion comes from a named historical data set. And it is modular, because the model can be replaced without changing the calibration step, although the step must then be recomputed. Proposition 1 and Proposition 2 therefore correspond to a separation of responsibilities between the language model, which supplies the level of a customer’s expected behavior, and the statistical layer, which supplies and calibrates the spread.</w:t>
      </w:r>
    </w:p>
    <w:bookmarkEnd w:id="33"/>
    <w:bookmarkStart w:id="34" w:name="X407dae61d11665e7490932e0ac85ab0ce53a5fe"/>
    <w:p>
      <w:pPr>
        <w:pStyle w:val="Heading2"/>
      </w:pPr>
      <w:r>
        <w:t xml:space="preserve">3.8 Why a familiar statistic becomes a managerial problem</w:t>
      </w:r>
    </w:p>
    <w:p>
      <w:pPr>
        <w:pStyle w:val="FirstParagraph"/>
      </w:pPr>
      <w:r>
        <w:t xml:space="preserve">Propositions 1 and 2 follow from the Poisson–gamma model, and a reader may ask whether they say anything beyond it. The model is not new. What is new is the setting in which its implication becomes a problem for organizations, and we argue that it changes in four ways when behavior is generated by a language model instead of estimated from data.</w:t>
      </w:r>
    </w:p>
    <w:p>
      <w:pPr>
        <w:pStyle w:val="BodyText"/>
      </w:pPr>
      <w:r>
        <w:rPr>
          <w:iCs/>
          <w:i/>
        </w:rPr>
        <w:t xml:space="preserve">From estimated to generated heterogeneity.</w:t>
      </w:r>
      <w:r>
        <w:t xml:space="preserve"> </w:t>
      </w:r>
      <w:r>
        <w:t xml:space="preserve">In the stochastic customer-base models of marketing science, heterogeneity is a latent quantity that the analyst infers from observed behavior, so its magnitude is disciplined by the organization’s own data. In a synthetic-customer system behavior is generated by a pretrained model, and nothing in the generation process ties the spread of the output to the organization’s customers. Proposition 1 shows that this tie cannot be restored through the prompt: a deterministic function of the persona carries only the heterogeneity that the persona describes, and no rewording, persona enrichment, or choice of model changes the bound</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oMath>
      <w:r>
        <w:t xml:space="preserve">. The spread is therefore a property of the system’s architecture rather than of its inputs, and it has to be supplied by a component that is connected to data.</w:t>
      </w:r>
    </w:p>
    <w:p>
      <w:pPr>
        <w:pStyle w:val="BodyText"/>
      </w:pPr>
      <w:r>
        <w:rPr>
          <w:iCs/>
          <w:i/>
        </w:rPr>
        <w:t xml:space="preserve">A bound set by the organization’s data assets.</w:t>
      </w:r>
      <w:r>
        <w:t xml:space="preserve"> </w:t>
      </w:r>
      <w:r>
        <w:t xml:space="preserve">Proposition 1 also says where the limit lies. The share of heterogeneity a simulator can carry is the share explained by the persona, and the persona can contain only what the organization knows about its customers. In our demographic experiment that share was about 1%. This is a statement of complementarity between a generative model and the firm’s data assets, a theme familiar from research on IT business value (Melville et al. 2004), with a sharp form: more capable models cannot compensate for uninformative customer data, and the value of a synthetic-customer system is bounded by the explanatory power of first-party data. A common managerial assumption is the opposite, namely that a more capable model will substitute for the missing data.</w:t>
      </w:r>
    </w:p>
    <w:p>
      <w:pPr>
        <w:pStyle w:val="BodyText"/>
      </w:pPr>
      <w:r>
        <w:rPr>
          <w:iCs/>
          <w:i/>
        </w:rPr>
        <w:t xml:space="preserve">The validation paradox.</w:t>
      </w:r>
      <w:r>
        <w:t xml:space="preserve"> </w:t>
      </w:r>
      <w:r>
        <w:t xml:space="preserve">Synthetic customers are adopted where real data are scarce or costly. Yet the quantity that Proposition 1 shows to be lost, the unexplained part</w:t>
      </w:r>
      <w:r>
        <w:t xml:space="preserve"> </w:t>
      </w:r>
      <m:oMath>
        <m:r>
          <m:t>R</m:t>
        </m:r>
      </m:oMath>
      <w:r>
        <w:t xml:space="preserve"> </w:t>
      </w:r>
      <w:r>
        <w:t xml:space="preserve">of the heterogeneity, is invisible inside the system and can be detected only against real data on the same distributional properties. The evidence that would reveal the error is the evidence the system was meant to economize. This is a validation paradox. It is resolved only by partial validation, in which a small amount of real data, such as a historical customer file and a few past randomized tests, is used to calibrate and audit a large amount of synthetic data. Proposition 2 provides the calibration step for such an arrangement.</w:t>
      </w:r>
    </w:p>
    <w:p>
      <w:pPr>
        <w:pStyle w:val="BodyText"/>
      </w:pPr>
      <w:r>
        <w:rPr>
          <w:iCs/>
          <w:i/>
        </w:rPr>
        <w:t xml:space="preserve">Silent failure and shifting components.</w:t>
      </w:r>
      <w:r>
        <w:t xml:space="preserve"> </w:t>
      </w:r>
      <w:r>
        <w:t xml:space="preserve">Output that is fluent and has the right sign gives the user no signal of failure. A compressed spread does not show up in a mean or in a headline result, and a decision that is wrong because of it, such as a launch that does not pay, becomes visible only after several campaign cycles, if at all. In addition the component that generates the behavior is outside the organization’s control. Model versions and providers change, and in our runs eight models produced very different levels and spreads for the same prompt. Whereas a statistical model that the organization owns is calibrated once, a model that the organization rents has to be re-validated whenever it changes, which makes validation a continuing governance task.</w:t>
      </w:r>
    </w:p>
    <w:p>
      <w:pPr>
        <w:pStyle w:val="BodyText"/>
      </w:pPr>
      <w:r>
        <w:t xml:space="preserve">The consequence of a lost spread is not limited to a statistical summary. It affects decisions that depend on concentration, as the following result shows.</w:t>
      </w:r>
    </w:p>
    <w:p>
      <w:pPr>
        <w:pStyle w:val="BodyText"/>
      </w:pPr>
      <w:r>
        <w:rPr>
          <w:bCs/>
          <w:b/>
        </w:rPr>
        <w:t xml:space="preserve">Proposition 3 (concentration).</w:t>
      </w:r>
      <w:r>
        <w:t xml:space="preserve"> </w:t>
      </w:r>
      <w:r>
        <w:t xml:space="preserve">Let customer rates be gamma distributed with mean</w:t>
      </w:r>
      <w:r>
        <w:t xml:space="preserve"> </w:t>
      </w:r>
      <m:oMath>
        <m:r>
          <m:t>μ</m:t>
        </m:r>
      </m:oMath>
      <w:r>
        <w:t xml:space="preserve"> </w:t>
      </w:r>
      <w:r>
        <w:t xml:space="preserve">and squared coefficient of variation</w:t>
      </w:r>
      <w:r>
        <w:t xml:space="preserve"> </w:t>
      </w:r>
      <m:oMath>
        <m:r>
          <m:t>α</m:t>
        </m:r>
      </m:oMath>
      <w:r>
        <w:t xml:space="preserve">, and let</w:t>
      </w:r>
      <w:r>
        <w:t xml:space="preserve"> </w:t>
      </w:r>
      <m:oMath>
        <m:sSub>
          <m:e>
            <m:r>
              <m:t>S</m:t>
            </m:r>
          </m:e>
          <m:sub>
            <m:r>
              <m:t>q</m:t>
            </m:r>
          </m:sub>
        </m:sSub>
        <m:d>
          <m:dPr>
            <m:begChr m:val="("/>
            <m:endChr m:val=")"/>
            <m:sepChr m:val=""/>
            <m:grow/>
          </m:dPr>
          <m:e>
            <m:r>
              <m:t>α</m:t>
            </m:r>
          </m:e>
        </m:d>
      </m:oMath>
      <w:r>
        <w:t xml:space="preserve"> </w:t>
      </w:r>
      <w:r>
        <w:t xml:space="preserve">denote the share of all expected purchases made by the fraction</w:t>
      </w:r>
      <w:r>
        <w:t xml:space="preserve"> </w:t>
      </w:r>
      <m:oMath>
        <m:r>
          <m:t>q</m:t>
        </m:r>
      </m:oMath>
      <w:r>
        <w:t xml:space="preserve"> </w:t>
      </w:r>
      <w:r>
        <w:t xml:space="preserve">of customers with the highest rates. With shape</w:t>
      </w:r>
      <w:r>
        <w:t xml:space="preserve"> </w:t>
      </w:r>
      <m:oMath>
        <m:r>
          <m:t>k</m:t>
        </m:r>
        <m:r>
          <m:rPr>
            <m:sty m:val="p"/>
          </m:rPr>
          <m:t>=</m:t>
        </m:r>
        <m:r>
          <m:t>1</m:t>
        </m:r>
        <m:r>
          <m:rPr>
            <m:sty m:val="p"/>
          </m:rPr>
          <m:t>/</m:t>
        </m:r>
        <m:r>
          <m:t>α</m:t>
        </m:r>
      </m:oMath>
      <w:r>
        <w:t xml:space="preserve">,</w:t>
      </w:r>
      <w:r>
        <w:t xml:space="preserve"> </w:t>
      </w:r>
      <m:oMath>
        <m:sSub>
          <m:e>
            <m:r>
              <m:t>S</m:t>
            </m:r>
          </m:e>
          <m:sub>
            <m:r>
              <m:t>q</m:t>
            </m:r>
          </m:sub>
        </m:sSub>
        <m:d>
          <m:dPr>
            <m:begChr m:val="("/>
            <m:endChr m:val=")"/>
            <m:sepChr m:val=""/>
            <m:grow/>
          </m:dPr>
          <m:e>
            <m:r>
              <m:t>α</m:t>
            </m:r>
          </m:e>
        </m:d>
        <m:r>
          <m:rPr>
            <m:sty m:val="p"/>
          </m:rPr>
          <m:t>=</m:t>
        </m:r>
        <m:r>
          <m:t>1</m:t>
        </m:r>
        <m:r>
          <m:rPr>
            <m:sty m:val="p"/>
          </m:rPr>
          <m:t>−</m:t>
        </m:r>
        <m:sSub>
          <m:e>
            <m:r>
              <m:t>F</m:t>
            </m:r>
          </m:e>
          <m:sub>
            <m:r>
              <m:t>k</m:t>
            </m:r>
            <m:r>
              <m:rPr>
                <m:sty m:val="p"/>
              </m:rPr>
              <m:t>+</m:t>
            </m:r>
            <m:r>
              <m:t>1</m:t>
            </m:r>
          </m:sub>
        </m:sSub>
        <m:d>
          <m:dPr>
            <m:begChr m:val="("/>
            <m:endChr m:val=")"/>
            <m:sepChr m:val=""/>
            <m:grow/>
          </m:dPr>
          <m:e>
            <m:sSubSup>
              <m:e>
                <m:r>
                  <m:t>F</m:t>
                </m:r>
              </m:e>
              <m:sub>
                <m:r>
                  <m:t>k</m:t>
                </m:r>
              </m:sub>
              <m:sup>
                <m:r>
                  <m:rPr>
                    <m:sty m:val="p"/>
                  </m:rPr>
                  <m:t>−</m:t>
                </m:r>
                <m:r>
                  <m:t>1</m:t>
                </m:r>
              </m:sup>
            </m:sSubSup>
            <m:d>
              <m:dPr>
                <m:begChr m:val="("/>
                <m:endChr m:val=")"/>
                <m:sepChr m:val=""/>
                <m:grow/>
              </m:dPr>
              <m:e>
                <m:r>
                  <m:t>1</m:t>
                </m:r>
                <m:r>
                  <m:rPr>
                    <m:sty m:val="p"/>
                  </m:rPr>
                  <m:t>−</m:t>
                </m:r>
                <m:r>
                  <m:t>q</m:t>
                </m:r>
              </m:e>
            </m:d>
          </m:e>
        </m:d>
      </m:oMath>
      <w:r>
        <w:t xml:space="preserve">, where</w:t>
      </w:r>
      <w:r>
        <w:t xml:space="preserve"> </w:t>
      </w:r>
      <m:oMath>
        <m:sSub>
          <m:e>
            <m:r>
              <m:t>F</m:t>
            </m:r>
          </m:e>
          <m:sub>
            <m:r>
              <m:t>k</m:t>
            </m:r>
          </m:sub>
        </m:sSub>
      </m:oMath>
      <w:r>
        <w:t xml:space="preserve"> </w:t>
      </w:r>
      <w:r>
        <w:t xml:space="preserve">is the gamma distribution function with shape</w:t>
      </w:r>
      <w:r>
        <w:t xml:space="preserve"> </w:t>
      </w:r>
      <m:oMath>
        <m:r>
          <m:t>k</m:t>
        </m:r>
      </m:oMath>
      <w:r>
        <w:t xml:space="preserve"> </w:t>
      </w:r>
      <w:r>
        <w:t xml:space="preserve">and unit scale.</w:t>
      </w:r>
      <w:r>
        <w:t xml:space="preserve"> </w:t>
      </w:r>
      <m:oMath>
        <m:sSub>
          <m:e>
            <m:r>
              <m:t>S</m:t>
            </m:r>
          </m:e>
          <m:sub>
            <m:r>
              <m:t>q</m:t>
            </m:r>
          </m:sub>
        </m:sSub>
      </m:oMath>
      <w:r>
        <w:t xml:space="preserve"> </w:t>
      </w:r>
      <w:r>
        <w:t xml:space="preserve">increases in</w:t>
      </w:r>
      <w:r>
        <w:t xml:space="preserve"> </w:t>
      </w:r>
      <m:oMath>
        <m:r>
          <m:t>α</m:t>
        </m:r>
      </m:oMath>
      <w:r>
        <w:t xml:space="preserve"> </w:t>
      </w:r>
      <w:r>
        <w:t xml:space="preserve">and tends to</w:t>
      </w:r>
      <w:r>
        <w:t xml:space="preserve"> </w:t>
      </w:r>
      <m:oMath>
        <m:r>
          <m:t>q</m:t>
        </m:r>
      </m:oMath>
      <w:r>
        <w:t xml:space="preserve"> </w:t>
      </w:r>
      <w:r>
        <w:t xml:space="preserve">as</w:t>
      </w:r>
      <w:r>
        <w:t xml:space="preserve"> </w:t>
      </w:r>
      <m:oMath>
        <m:r>
          <m:t>α</m:t>
        </m:r>
        <m:r>
          <m:rPr>
            <m:sty m:val="p"/>
          </m:rPr>
          <m:t>→</m:t>
        </m:r>
        <m:r>
          <m:t>0</m:t>
        </m:r>
      </m:oMath>
      <w:r>
        <w:t xml:space="preserve">. A deterministic persona-conditioned simulator has</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&lt;</m:t>
        </m:r>
        <m:sSup>
          <m:e>
            <m:r>
              <m:t>c</m:t>
            </m:r>
          </m:e>
          <m:sup>
            <m:r>
              <m:t>2</m:t>
            </m:r>
          </m:sup>
        </m:sSup>
      </m:oMath>
      <w:r>
        <w:t xml:space="preserve"> </w:t>
      </w:r>
      <w:r>
        <w:t xml:space="preserve">(Proposition 1), so the concentration it can represent is at most</w:t>
      </w:r>
      <w:r>
        <w:t xml:space="preserve"> </w:t>
      </w:r>
      <m:oMath>
        <m:sSub>
          <m:e>
            <m:r>
              <m:t>S</m:t>
            </m:r>
          </m:e>
          <m:sub>
            <m:r>
              <m:t>q</m:t>
            </m:r>
          </m:sub>
        </m:sSub>
        <m:d>
          <m:dPr>
            <m:begChr m:val="("/>
            <m:endChr m:val=")"/>
            <m:sepChr m:val=""/>
            <m:grow/>
          </m:dPr>
          <m:e>
            <m:sSup>
              <m:e>
                <m:r>
                  <m:t>c</m:t>
                </m:r>
              </m:e>
              <m:sup>
                <m:r>
                  <m:t>2</m:t>
                </m:r>
              </m:sup>
            </m:sSup>
          </m:e>
        </m:d>
      </m:oMath>
      <w:r>
        <w:t xml:space="preserve">.</w:t>
      </w:r>
    </w:p>
    <w:p>
      <w:pPr>
        <w:pStyle w:val="BodyText"/>
      </w:pPr>
      <w:r>
        <w:rPr>
          <w:iCs/>
          <w:i/>
        </w:rPr>
        <w:t xml:space="preserve">Proof.</w:t>
      </w:r>
      <w:r>
        <w:t xml:space="preserve"> </w:t>
      </w:r>
      <w:r>
        <w:t xml:space="preserve">The expected purchases contributed by customers with rate above</w:t>
      </w:r>
      <w:r>
        <w:t xml:space="preserve"> </w:t>
      </w:r>
      <m:oMath>
        <m:r>
          <m:t>x</m:t>
        </m:r>
      </m:oMath>
      <w:r>
        <w:t xml:space="preserve"> </w:t>
      </w:r>
      <w:r>
        <w:t xml:space="preserve">are proportional to</w:t>
      </w:r>
      <w:r>
        <w:t xml:space="preserve"> </w:t>
      </w:r>
      <m:oMath>
        <m:nary>
          <m:naryPr>
            <m:chr m:val="∫"/>
            <m:limLoc m:val="subSup"/>
            <m:subHide m:val="off"/>
            <m:supHide m:val="off"/>
          </m:naryPr>
          <m:sub>
            <m:r>
              <m:t>x</m:t>
            </m:r>
          </m:sub>
          <m:sup>
            <m:r>
              <m:rPr>
                <m:sty m:val="p"/>
              </m:rPr>
              <m:t>∞</m:t>
            </m:r>
          </m:sup>
          <m:e>
            <m:r>
              <m:t>λ</m:t>
            </m:r>
          </m:e>
        </m:nary>
        <m:r>
          <m:t> </m:t>
        </m:r>
        <m:sSub>
          <m:e>
            <m:r>
              <m:t>f</m:t>
            </m:r>
          </m:e>
          <m:sub>
            <m:r>
              <m:t>k</m:t>
            </m:r>
          </m:sub>
        </m:sSub>
        <m:d>
          <m:dPr>
            <m:begChr m:val="("/>
            <m:endChr m:val=")"/>
            <m:sepChr m:val=""/>
            <m:grow/>
          </m:dPr>
          <m:e>
            <m:r>
              <m:t>λ</m:t>
            </m:r>
          </m:e>
        </m:d>
        <m:r>
          <m:t> </m:t>
        </m:r>
        <m:r>
          <m:t>d</m:t>
        </m:r>
        <m:r>
          <m:t>λ</m:t>
        </m:r>
      </m:oMath>
      <w:r>
        <w:t xml:space="preserve">, and</w:t>
      </w:r>
      <w:r>
        <w:t xml:space="preserve"> </w:t>
      </w:r>
      <m:oMath>
        <m:r>
          <m:t>λ</m:t>
        </m:r>
        <m:sSub>
          <m:e>
            <m:r>
              <m:t>f</m:t>
            </m:r>
          </m:e>
          <m:sub>
            <m:r>
              <m:t>k</m:t>
            </m:r>
          </m:sub>
        </m:sSub>
        <m:d>
          <m:dPr>
            <m:begChr m:val="("/>
            <m:endChr m:val=")"/>
            <m:sepChr m:val=""/>
            <m:grow/>
          </m:dPr>
          <m:e>
            <m:r>
              <m:t>λ</m:t>
            </m:r>
          </m:e>
        </m:d>
      </m:oMath>
      <w:r>
        <w:t xml:space="preserve"> </w:t>
      </w:r>
      <w:r>
        <w:t xml:space="preserve">is proportional to the gamma density with shape</w:t>
      </w:r>
      <w:r>
        <w:t xml:space="preserve"> </w:t>
      </w:r>
      <m:oMath>
        <m:r>
          <m:t>k</m:t>
        </m:r>
        <m:r>
          <m:rPr>
            <m:sty m:val="p"/>
          </m:rPr>
          <m:t>+</m:t>
        </m:r>
        <m:r>
          <m:t>1</m:t>
        </m:r>
      </m:oMath>
      <w:r>
        <w:t xml:space="preserve">, which gives the stated form. Monotonicity in</w:t>
      </w:r>
      <w:r>
        <w:t xml:space="preserve"> </w:t>
      </w:r>
      <m:oMath>
        <m:r>
          <m:t>α</m:t>
        </m:r>
      </m:oMath>
      <w:r>
        <w:t xml:space="preserve"> </w:t>
      </w:r>
      <w:r>
        <w:t xml:space="preserve">follows because a gamma distribution with a smaller shape is larger in the convex (Lorenz) order, and the limit follows from the degeneracy of the rate distribution as</w:t>
      </w:r>
      <w:r>
        <w:t xml:space="preserve"> </w:t>
      </w:r>
      <m:oMath>
        <m:r>
          <m:t>k</m:t>
        </m:r>
        <m:r>
          <m:rPr>
            <m:sty m:val="p"/>
          </m:rPr>
          <m:t>→</m:t>
        </m:r>
        <m:r>
          <m:rPr>
            <m:sty m:val="p"/>
          </m:rPr>
          <m:t>∞</m:t>
        </m:r>
      </m:oMath>
      <w:r>
        <w:t xml:space="preserve">. The last statement applies Proposition 1.</w:t>
      </w:r>
      <w:r>
        <w:t xml:space="preserve"> </w:t>
      </w:r>
      <m:oMath>
        <m:r>
          <m:rPr>
            <m:sty m:val="p"/>
          </m:rPr>
          <m:t>▫</m:t>
        </m:r>
      </m:oMath>
    </w:p>
    <w:p>
      <w:pPr>
        <w:pStyle w:val="BodyText"/>
      </w:pPr>
      <w:r>
        <w:t xml:space="preserve">For the three reference settings, with</w:t>
      </w:r>
      <w:r>
        <w:t xml:space="preserve"> </w:t>
      </w:r>
      <m:oMath>
        <m:r>
          <m:t>q</m:t>
        </m:r>
        <m:r>
          <m:rPr>
            <m:sty m:val="p"/>
          </m:rPr>
          <m:t>=</m:t>
        </m:r>
        <m:r>
          <m:t>0.1</m:t>
        </m:r>
      </m:oMath>
      <w:r>
        <w:t xml:space="preserve">, the top tenth of customers account for 52% of expected purchases when</w:t>
      </w:r>
      <w:r>
        <w:t xml:space="preserve"> </w:t>
      </w:r>
      <m:oMath>
        <m:r>
          <m:t>α</m:t>
        </m:r>
        <m:r>
          <m:rPr>
            <m:sty m:val="p"/>
          </m:rPr>
          <m:t>=</m:t>
        </m:r>
        <m:r>
          <m:t>3.05</m:t>
        </m:r>
      </m:oMath>
      <w:r>
        <w:t xml:space="preserve"> </w:t>
      </w:r>
      <w:r>
        <w:t xml:space="preserve">(low-mean setting), 38% when</w:t>
      </w:r>
      <w:r>
        <w:t xml:space="preserve"> </w:t>
      </w:r>
      <m:oMath>
        <m:r>
          <m:t>α</m:t>
        </m:r>
        <m:r>
          <m:rPr>
            <m:sty m:val="p"/>
          </m:rPr>
          <m:t>=</m:t>
        </m:r>
        <m:r>
          <m:t>1.42</m:t>
        </m:r>
      </m:oMath>
      <w:r>
        <w:t xml:space="preserve"> </w:t>
      </w:r>
      <w:r>
        <w:t xml:space="preserve">(high-mean setting), and 29% when</w:t>
      </w:r>
      <w:r>
        <w:t xml:space="preserve"> </w:t>
      </w:r>
      <m:oMath>
        <m:r>
          <m:t>α</m:t>
        </m:r>
        <m:r>
          <m:rPr>
            <m:sty m:val="p"/>
          </m:rPr>
          <m:t>=</m:t>
        </m:r>
        <m:r>
          <m:t>0.71</m:t>
        </m:r>
      </m:oMath>
      <w:r>
        <w:t xml:space="preserve"> </w:t>
      </w:r>
      <w:r>
        <w:t xml:space="preserve">(demographic households), against 10% for a population without heterogeneity. A simulator that carries only the persona-described heterogeneity of the demographic experiment (</w:t>
      </w:r>
      <m:oMath>
        <m:sSup>
          <m:e>
            <m:r>
              <m:t>c</m:t>
            </m:r>
          </m:e>
          <m:sup>
            <m:r>
              <m:t>2</m:t>
            </m:r>
          </m:sup>
        </m:sSup>
        <m:r>
          <m:rPr>
            <m:sty m:val="p"/>
          </m:rPr>
          <m:t>=</m:t>
        </m:r>
        <m:r>
          <m:t>0.006</m:t>
        </m:r>
      </m:oMath>
      <w:r>
        <w:t xml:space="preserve">) represents a share of 11%. Decisions that depend on concentration, such as how deeply to target a promotion, how to set loyalty tiers, or how to size a budget ceiling for heavy buyers, are therefore biased in a known direction when the spread is lost. The direction of the bias, not only its size, is predictable, which is what makes the problem manageable by design.</w:t>
      </w:r>
    </w:p>
    <w:bookmarkEnd w:id="34"/>
    <w:bookmarkEnd w:id="35"/>
    <w:bookmarkStart w:id="40" w:name="research-design"/>
    <w:p>
      <w:pPr>
        <w:pStyle w:val="Heading1"/>
      </w:pPr>
      <w:r>
        <w:t xml:space="preserve">4. Research Design</w:t>
      </w:r>
    </w:p>
    <w:bookmarkStart w:id="36"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Our re-aggregation of the public file gave a similar profile (mean 0.43 to 0.51, zero share 0.66 to 0.72, and</w:t>
      </w:r>
      <w:r>
        <w:t xml:space="preserve"> </w:t>
      </w:r>
      <m:oMath>
        <m:r>
          <m:t>α</m:t>
        </m:r>
      </m:oMath>
      <w:r>
        <w:t xml:space="preserve"> </w:t>
      </w:r>
      <w:r>
        <w:t xml:space="preserve">between 2.2 and 4.2 across seven consecutive windows, for a cohort of 1,731 customers), and the Cameron and Trivedi (1990) test rejected the Poisson model in every window. In the second, the reference is the empirical distribution of 4-week basket counts, pooled over 13 windows, for the 2,469 loyalty-card households of the dunnhumby Complete Journey data in 2017 (32,097 household-windows). Negative binomial was the best-fitting model by AIC in every window, and the Poisson model was rejected in all of them.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Complete Journey, households with demographics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6"/>
    <w:bookmarkStart w:id="37"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7"/>
    <w:bookmarkStart w:id="38" w:name="models-runs-and-measures"/>
    <w:p>
      <w:pPr>
        <w:pStyle w:val="Heading2"/>
      </w:pPr>
      <w:r>
        <w:t xml:space="preserve">4.3 Models, runs, and measures</w:t>
      </w:r>
    </w:p>
    <w:p>
      <w:pPr>
        <w:pStyle w:val="FirstParagraph"/>
      </w:pPr>
      <w:r>
        <w:t xml:space="preserve">We used eight LLMs through the OpenRouter interface: GPT-4o-mini, Llama-3.3-70B-Instruct, and Claude Haiku 5.5 in the first runs, and Claude Sonnet 5, GPT-5.6-terra, DeepSeek-V4-Pro, Gemini 3.1 Flash-Lite, and Mistral Large 4, which were added to test whether larger and more recent models behave differently. All eight models were run on three random seeds, that is, on three independent samples of customers (or household-windows) with new model calls, in the three transaction settings; in the email experiment the first three models were run on three seeds and the five newer models on one. In the low-mean setting GPT-4o-mini and Llama were run at temperatures 0.3, 0.7, and 1.0 in the first seed and at 0.7 in the two further seeds, giving 1,000 customers per cell; the other six models contribute 600 (three seeds of 200). In the two high-mean settings the temperature was fixed at 0.7, with 600 customers or household-windows per cell. In the email experiment each seed uses 300 customers (900 for the three models run on three seeds). Three models (Haiku 5.5, Sonnet 5, and GPT-5.6-terra) do not accept a temperature setting and contribute one run per prompt variant and seed. For every model that allows it, hidden reasoning was switched off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 Parsing failed for 5% or less of the responses in all cells but two: DeepSeek-V4-Pro returned unusable answers for about 10% of the daily-simulation prompts in the high-mean setting, and those cells are computed from the parsed responses only.</w:t>
      </w:r>
    </w:p>
    <w:bookmarkEnd w:id="38"/>
    <w:bookmarkStart w:id="39" w:name="email-experiment"/>
    <w:p>
      <w:pPr>
        <w:pStyle w:val="Heading2"/>
      </w:pPr>
      <w:r>
        <w:t xml:space="preserve">4.4 Email experiment</w:t>
      </w:r>
    </w:p>
    <w:p>
      <w:pPr>
        <w:pStyle w:val="FirstParagraph"/>
      </w:pPr>
      <w:r>
        <w:t xml:space="preserve">For each of 300 customers sampled from the real data (a new sample for each seed)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9"/>
    <w:bookmarkEnd w:id="40"/>
    <w:bookmarkStart w:id="54" w:name="results"/>
    <w:p>
      <w:pPr>
        <w:pStyle w:val="Heading1"/>
      </w:pPr>
      <w:r>
        <w:t xml:space="preserve">5. Results</w:t>
      </w:r>
    </w:p>
    <w:bookmarkStart w:id="44" w:name="overview"/>
    <w:p>
      <w:pPr>
        <w:pStyle w:val="Heading2"/>
      </w:pPr>
      <w:r>
        <w:t xml:space="preserve">5.1 Overview</w:t>
      </w:r>
    </w:p>
    <w:p>
      <w:pPr>
        <w:pStyle w:val="FirstParagraph"/>
        <w:spacing w:line="240" w:lineRule="auto"/>
        <w:ind w:firstLine="0"/>
      </w:pPr>
      <w:r>
        <w:t xml:space="preserve">Table 2 summarizes the low-mean and the high-mean setting by design, and Appendix B gives all cells. The main pattern is that variance collapse is severe in designs A and B in every setting, that design C moves toward the real dispersion but loses zeros where they are common, and that design D matches dispersion in most cells while its mean depends on the model.</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Setting</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 to 2.10</w:t>
            </w:r>
          </w:p>
        </w:tc>
        <w:tc>
          <w:tcPr/>
          <w:p>
            <w:pPr>
              <w:pStyle w:val="Compact"/>
              <w:spacing w:before="20" w:after="20" w:line="240" w:lineRule="auto"/>
              <w:ind w:firstLine="0"/>
              <w:jc w:val="left"/>
            </w:pPr>
            <w:r>
              <w:rPr>
                <w:rFonts w:ascii="Times New Roman" w:hAnsi="Times New Roman"/>
                <w:sz w:val="17"/>
              </w:rPr>
              <w:t xml:space="preserve">0.00 to 14.72</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-1.00 to 6.54</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 to 13.56</w:t>
            </w:r>
          </w:p>
        </w:tc>
        <w:tc>
          <w:tcPr/>
          <w:p>
            <w:pPr>
              <w:pStyle w:val="Compact"/>
              <w:spacing w:before="20" w:after="20" w:line="240" w:lineRule="auto"/>
              <w:ind w:firstLine="0"/>
              <w:jc w:val="left"/>
            </w:pPr>
            <w:r>
              <w:rPr>
                <w:rFonts w:ascii="Times New Roman" w:hAnsi="Times New Roman"/>
                <w:sz w:val="17"/>
              </w:rPr>
              <w:t xml:space="preserve">0.24 to 2.95</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-0.86 to 0.62</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 to 1.30</w:t>
            </w:r>
          </w:p>
        </w:tc>
        <w:tc>
          <w:tcPr/>
          <w:p>
            <w:pPr>
              <w:pStyle w:val="Compact"/>
              <w:spacing w:before="20" w:after="20" w:line="240" w:lineRule="auto"/>
              <w:ind w:firstLine="0"/>
              <w:jc w:val="left"/>
            </w:pPr>
            <w:r>
              <w:rPr>
                <w:rFonts w:ascii="Times New Roman" w:hAnsi="Times New Roman"/>
                <w:sz w:val="17"/>
              </w:rPr>
              <w:t xml:space="preserve">0.97 to 1.61</w:t>
            </w:r>
          </w:p>
        </w:tc>
        <w:tc>
          <w:tcPr/>
          <w:p>
            <w:pPr>
              <w:pStyle w:val="Compact"/>
              <w:spacing w:before="20" w:after="20" w:line="240" w:lineRule="auto"/>
              <w:ind w:firstLine="0"/>
              <w:jc w:val="left"/>
            </w:pPr>
            <w:r>
              <w:rPr>
                <w:rFonts w:ascii="Times New Roman" w:hAnsi="Times New Roman"/>
                <w:sz w:val="17"/>
              </w:rPr>
              <w:t xml:space="preserve">0.32 to 0.71</w:t>
            </w:r>
          </w:p>
        </w:tc>
        <w:tc>
          <w:tcPr/>
          <w:p>
            <w:pPr>
              <w:pStyle w:val="Compact"/>
              <w:spacing w:before="20" w:after="20" w:line="240" w:lineRule="auto"/>
              <w:ind w:firstLine="0"/>
              <w:jc w:val="left"/>
            </w:pPr>
            <w:r>
              <w:rPr>
                <w:rFonts w:ascii="Times New Roman" w:hAnsi="Times New Roman"/>
                <w:sz w:val="17"/>
              </w:rPr>
              <w:t xml:space="preserve">-0.06 to 0.80</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0.26 to 0.93</w:t>
            </w:r>
          </w:p>
        </w:tc>
        <w:tc>
          <w:tcPr/>
          <w:p>
            <w:pPr>
              <w:pStyle w:val="Compact"/>
              <w:spacing w:before="20" w:after="20" w:line="240" w:lineRule="auto"/>
              <w:ind w:firstLine="0"/>
              <w:jc w:val="left"/>
            </w:pPr>
            <w:r>
              <w:rPr>
                <w:rFonts w:ascii="Times New Roman" w:hAnsi="Times New Roman"/>
                <w:sz w:val="17"/>
              </w:rPr>
              <w:t xml:space="preserve">1.47 to 3.38</w:t>
            </w:r>
          </w:p>
        </w:tc>
        <w:tc>
          <w:tcPr/>
          <w:p>
            <w:pPr>
              <w:pStyle w:val="Compact"/>
              <w:spacing w:before="20" w:after="20" w:line="240" w:lineRule="auto"/>
              <w:ind w:firstLine="0"/>
              <w:jc w:val="left"/>
            </w:pPr>
            <w:r>
              <w:rPr>
                <w:rFonts w:ascii="Times New Roman" w:hAnsi="Times New Roman"/>
                <w:sz w:val="17"/>
              </w:rPr>
              <w:t xml:space="preserve">0.63 to 0.81</w:t>
            </w:r>
          </w:p>
        </w:tc>
        <w:tc>
          <w:tcPr/>
          <w:p>
            <w:pPr>
              <w:pStyle w:val="Compact"/>
              <w:spacing w:before="20" w:after="20" w:line="240" w:lineRule="auto"/>
              <w:ind w:firstLine="0"/>
              <w:jc w:val="left"/>
            </w:pPr>
            <w:r>
              <w:rPr>
                <w:rFonts w:ascii="Times New Roman" w:hAnsi="Times New Roman"/>
                <w:sz w:val="17"/>
              </w:rPr>
              <w:t xml:space="preserve">1.81 to 3.77</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 to 11.74</w:t>
            </w:r>
          </w:p>
        </w:tc>
        <w:tc>
          <w:tcPr/>
          <w:p>
            <w:pPr>
              <w:pStyle w:val="Compact"/>
              <w:spacing w:before="20" w:after="20" w:line="240" w:lineRule="auto"/>
              <w:ind w:firstLine="0"/>
              <w:jc w:val="left"/>
            </w:pPr>
            <w:r>
              <w:rPr>
                <w:rFonts w:ascii="Times New Roman" w:hAnsi="Times New Roman"/>
                <w:sz w:val="17"/>
              </w:rPr>
              <w:t xml:space="preserve">0.00 to 2.45</w:t>
            </w:r>
          </w:p>
        </w:tc>
        <w:tc>
          <w:tcPr/>
          <w:p>
            <w:pPr>
              <w:pStyle w:val="Compact"/>
              <w:spacing w:before="20" w:after="20" w:line="240" w:lineRule="auto"/>
              <w:ind w:firstLine="0"/>
              <w:jc w:val="left"/>
            </w:pPr>
            <w:r>
              <w:rPr>
                <w:rFonts w:ascii="Times New Roman" w:hAnsi="Times New Roman"/>
                <w:sz w:val="17"/>
              </w:rPr>
              <w:t xml:space="preserve">0.00 to 0.02</w:t>
            </w:r>
          </w:p>
        </w:tc>
        <w:tc>
          <w:tcPr/>
          <w:p>
            <w:pPr>
              <w:pStyle w:val="Compact"/>
              <w:spacing w:before="20" w:after="20" w:line="240" w:lineRule="auto"/>
              <w:ind w:firstLine="0"/>
              <w:jc w:val="left"/>
            </w:pPr>
            <w:r>
              <w:rPr>
                <w:rFonts w:ascii="Times New Roman" w:hAnsi="Times New Roman"/>
                <w:sz w:val="17"/>
              </w:rPr>
              <w:t xml:space="preserve">-0.20 to 0.17</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4.35 to 16.65</w:t>
            </w:r>
          </w:p>
        </w:tc>
        <w:tc>
          <w:tcPr/>
          <w:p>
            <w:pPr>
              <w:pStyle w:val="Compact"/>
              <w:spacing w:before="20" w:after="20" w:line="240" w:lineRule="auto"/>
              <w:ind w:firstLine="0"/>
              <w:jc w:val="left"/>
            </w:pPr>
            <w:r>
              <w:rPr>
                <w:rFonts w:ascii="Times New Roman" w:hAnsi="Times New Roman"/>
                <w:sz w:val="17"/>
              </w:rPr>
              <w:t xml:space="preserve">0.04 to 0.38</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-0.20 to -0.06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4.23 to 7.95</w:t>
            </w:r>
          </w:p>
        </w:tc>
        <w:tc>
          <w:tcPr/>
          <w:p>
            <w:pPr>
              <w:pStyle w:val="Compact"/>
              <w:spacing w:before="20" w:after="20" w:line="240" w:lineRule="auto"/>
              <w:ind w:firstLine="0"/>
              <w:jc w:val="left"/>
            </w:pPr>
            <w:r>
              <w:rPr>
                <w:rFonts w:ascii="Times New Roman" w:hAnsi="Times New Roman"/>
                <w:sz w:val="17"/>
              </w:rPr>
              <w:t xml:space="preserve">3.65 to 6.44</w:t>
            </w:r>
          </w:p>
        </w:tc>
        <w:tc>
          <w:tcPr/>
          <w:p>
            <w:pPr>
              <w:pStyle w:val="Compact"/>
              <w:spacing w:before="20" w:after="20" w:line="240" w:lineRule="auto"/>
              <w:ind w:firstLine="0"/>
              <w:jc w:val="left"/>
            </w:pPr>
            <w:r>
              <w:rPr>
                <w:rFonts w:ascii="Times New Roman" w:hAnsi="Times New Roman"/>
                <w:sz w:val="17"/>
              </w:rPr>
              <w:t xml:space="preserve">0.01 to 0.15</w:t>
            </w:r>
          </w:p>
        </w:tc>
        <w:tc>
          <w:tcPr/>
          <w:p>
            <w:pPr>
              <w:pStyle w:val="Compact"/>
              <w:spacing w:before="20" w:after="20" w:line="240" w:lineRule="auto"/>
              <w:ind w:firstLine="0"/>
              <w:jc w:val="left"/>
            </w:pPr>
            <w:r>
              <w:rPr>
                <w:rFonts w:ascii="Times New Roman" w:hAnsi="Times New Roman"/>
                <w:sz w:val="17"/>
              </w:rPr>
              <w:t xml:space="preserve">0.41 to 1.00</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3.63 to 8.69</w:t>
            </w:r>
          </w:p>
        </w:tc>
        <w:tc>
          <w:tcPr/>
          <w:p>
            <w:pPr>
              <w:pStyle w:val="Compact"/>
              <w:spacing w:before="20" w:after="20" w:line="240" w:lineRule="auto"/>
              <w:ind w:firstLine="0"/>
              <w:jc w:val="left"/>
            </w:pPr>
            <w:r>
              <w:rPr>
                <w:rFonts w:ascii="Times New Roman" w:hAnsi="Times New Roman"/>
                <w:sz w:val="17"/>
              </w:rPr>
              <w:t xml:space="preserve">5.84 to 12.15</w:t>
            </w:r>
          </w:p>
        </w:tc>
        <w:tc>
          <w:tcPr/>
          <w:p>
            <w:pPr>
              <w:pStyle w:val="Compact"/>
              <w:spacing w:before="20" w:after="20" w:line="240" w:lineRule="auto"/>
              <w:ind w:firstLine="0"/>
              <w:jc w:val="left"/>
            </w:pPr>
            <w:r>
              <w:rPr>
                <w:rFonts w:ascii="Times New Roman" w:hAnsi="Times New Roman"/>
                <w:sz w:val="17"/>
              </w:rPr>
              <w:t xml:space="preserve">0.13 to 0.27</w:t>
            </w:r>
          </w:p>
        </w:tc>
        <w:tc>
          <w:tcPr/>
          <w:p>
            <w:pPr>
              <w:pStyle w:val="Compact"/>
              <w:spacing w:before="20" w:after="20" w:line="240" w:lineRule="auto"/>
              <w:ind w:firstLine="0"/>
              <w:jc w:val="left"/>
            </w:pPr>
            <w:r>
              <w:rPr>
                <w:rFonts w:ascii="Times New Roman" w:hAnsi="Times New Roman"/>
                <w:sz w:val="17"/>
              </w:rPr>
              <w:t xml:space="preserve">1.03 to 1.52</w:t>
            </w:r>
          </w:p>
        </w:tc>
      </w:tr>
    </w:tbl>
    <w:p>
      <w:pPr>
        <w:pStyle w:val="BodyText"/>
        <w:spacing w:line="240" w:lineRule="auto"/>
        <w:ind w:firstLine="0"/>
      </w:pPr>
      <w:r>
        <w:rPr>
          <w:iCs/>
          <w:i/>
        </w:rPr>
        <w:t xml:space="preserve">Table 2. Range of results across the model-and-prompt cells of each design (sixteen cells in each setting). Reference rows are the real values. For design A in the low-mean setting the variance-to-mean ratio of 1.00 comes from a cell in which practically every simulated customer answered</w:t>
      </w:r>
      <w:r>
        <w:rPr>
          <w:iCs/>
          <w:i/>
        </w:rPr>
        <w:t xml:space="preserve"> </w:t>
      </w:r>
      <w:r>
        <w:rPr>
          <w:iCs/>
          <w:i/>
        </w:rPr>
        <w:t xml:space="preserve">“</w:t>
      </w:r>
      <w:r>
        <w:rPr>
          <w:iCs/>
          <w:i/>
        </w:rPr>
        <w:t xml:space="preserve">0</w:t>
      </w:r>
      <w:r>
        <w:rPr>
          <w:iCs/>
          <w:i/>
        </w:rPr>
        <w:t xml:space="preserve">”</w:t>
      </w:r>
      <w:r>
        <w:rPr>
          <w:iCs/>
          <w:i/>
        </w:rPr>
        <w:t xml:space="preserve"> </w:t>
      </w:r>
      <w:r>
        <w:rPr>
          <w:iCs/>
          <w:i/>
        </w:rPr>
        <w:t xml:space="preserve">and is uninformative.</w:t>
      </w:r>
    </w:p>
    <w:p>
      <w:pPr>
        <w:pStyle w:val="CaptionedFigure"/>
      </w:pPr>
      <w:r>
        <w:drawing>
          <wp:inline>
            <wp:extent cx="5334000" cy="6029739"/>
            <wp:effectExtent b="0" l="0" r="0" t="0"/>
            <wp:docPr descr="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 title="" id="42" name="Picture"/>
            <a:graphic>
              <a:graphicData uri="http://schemas.openxmlformats.org/drawingml/2006/picture">
                <pic:pic>
                  <pic:nvPicPr>
                    <pic:cNvPr descr="fig1_dispersion.png" id="43" name="Picture"/>
                    <pic:cNvPicPr>
                      <a:picLocks noChangeArrowheads="1" noChangeAspect="1"/>
                    </pic:cNvPicPr>
                  </pic:nvPicPr>
                  <pic:blipFill>
                    <a:blip r:embed="rId41"/>
                    <a:stretch>
                      <a:fillRect/>
                    </a:stretch>
                  </pic:blipFill>
                  <pic:spPr bwMode="auto">
                    <a:xfrm>
                      <a:off x="0" y="0"/>
                      <a:ext cx="5334000" cy="6029739"/>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w:t>
      </w:r>
    </w:p>
    <w:bookmarkEnd w:id="44"/>
    <w:bookmarkStart w:id="45" w:name="low-mean-setting"/>
    <w:p>
      <w:pPr>
        <w:pStyle w:val="Heading2"/>
      </w:pPr>
      <w:r>
        <w:t xml:space="preserve">5.2 Low-mean setting</w:t>
      </w:r>
    </w:p>
    <w:p>
      <w:pPr>
        <w:pStyle w:val="FirstParagraph"/>
      </w:pPr>
      <w:r>
        <w:t xml:space="preserve">Direct and daily designs rarely reproduce the real dispersion. In 45 of the 47 cells of designs A, B, and C with a defined ratio, the upper bound of the variance-to-mean interval is below the reference of 2.49 (Table B1, Figure 1a). Two cells go the other way. DeepSeek-V4-Pro without the anchor gives direct answers with a ratio of 14.7 (interval 5.6 to 22.3), because a few customers receive very large counts alongside many zeros (mean 2.10, zero share 0.52), and its seeds range from 9.0 to 18.4; and Sonnet 5 without the anchor gives daily simulations with a ratio of 2.95 (2.73 to 3.17). Elsewhere direct answers are the most compressed, with ratios of at most 0.87 in 11 of 16 cells; in three further cells nearly every answer was</w:t>
      </w:r>
      <w:r>
        <w:t xml:space="preserve"> </w:t>
      </w:r>
      <w:r>
        <w:t xml:space="preserve">“</w:t>
      </w:r>
      <w:r>
        <w:t xml:space="preserve">0</w:t>
      </w:r>
      <w:r>
        <w:t xml:space="preserve">”</w:t>
      </w:r>
      <w:r>
        <w:t xml:space="preserve"> </w:t>
      </w:r>
      <w:r>
        <w:t xml:space="preserve">(Llama, Sonnet 5, and Mistral Large 4 with the anchor), which gives a ratio near one and no information, and one cell (DeepSeek-V4-Pro with the anchor) has a ratio close to the Poisson value of one (0.95, interval 0.76 to 1.15). With the anchor, five cells in all (those three, and Sonnet 5 and GPT-5.6-terra for daily simulation) return</w:t>
      </w:r>
      <w:r>
        <w:t xml:space="preserve"> </w:t>
      </w:r>
      <w:r>
        <w:t xml:space="preserve">“</w:t>
      </w:r>
      <w:r>
        <w:t xml:space="preserve">0</w:t>
      </w:r>
      <w:r>
        <w:t xml:space="preserve">”</w:t>
      </w:r>
      <w:r>
        <w:t xml:space="preserve"> </w:t>
      </w:r>
      <w:r>
        <w:t xml:space="preserve">for 98% to 100% of customers, which follows the anchor text (</w:t>
      </w:r>
      <w:r>
        <w:t xml:space="preserve">“</w:t>
      </w:r>
      <w:r>
        <w:t xml:space="preserve">most make none</w:t>
      </w:r>
      <w:r>
        <w:t xml:space="preserve">”</w:t>
      </w:r>
      <w:r>
        <w:t xml:space="preserve">) but carries no persona information. Without the anchor, daily simulation overstates the mean in every model (1.6 to 13.6 purchases in 28 days against 0.49) and stays close to Poisson or below it in most. Describing a distribution reaches ratios of 0.97 to 1.61, below its own ceiling of 2.10 in all 16 cells, and its zero share is too low (0.32 to 0.71, against 0.74) in every cell.</w:t>
      </w:r>
    </w:p>
    <w:p>
      <w:pPr>
        <w:pStyle w:val="BodyText"/>
      </w:pPr>
      <w:r>
        <w:t xml:space="preserve">The hybrid matches the reference ratio in 10 of 16 cells, the mean in 6, the zero share in 10, and</w:t>
      </w:r>
      <w:r>
        <w:t xml:space="preserve"> </w:t>
      </w:r>
      <m:oMath>
        <m:r>
          <m:t>α</m:t>
        </m:r>
      </m:oMath>
      <w:r>
        <w:t xml:space="preserve"> </w:t>
      </w:r>
      <w:r>
        <w:t xml:space="preserve">in 13; all four in 5 cells (Sonnet 5, DeepSeek-V4-Pro, and GPT-5.6-terra without the anchor, and Mistral Large 4 and GPT-5.6-terra with it). Its variance-to-mean ratio misses mainly when the model’s mean is low, because the ratio equals</w:t>
      </w:r>
      <w:r>
        <w:t xml:space="preserve"> </w:t>
      </w:r>
      <m:oMath>
        <m:r>
          <m:t>1</m:t>
        </m:r>
        <m:r>
          <m:rPr>
            <m:sty m:val="p"/>
          </m:rPr>
          <m:t>+</m:t>
        </m:r>
        <m:r>
          <m:t>α</m:t>
        </m:r>
        <m:r>
          <m:t>μ</m:t>
        </m:r>
      </m:oMath>
      <w:r>
        <w:t xml:space="preserve"> </w:t>
      </w:r>
      <w:r>
        <w:t xml:space="preserve">and so inherits the error of the mean even when</w:t>
      </w:r>
      <w:r>
        <w:t xml:space="preserve"> </w:t>
      </w:r>
      <m:oMath>
        <m:r>
          <m:t>α</m:t>
        </m:r>
      </m:oMath>
      <w:r>
        <w:t xml:space="preserve"> </w:t>
      </w:r>
      <w:r>
        <w:t xml:space="preserve">is right. Agreement on dispersion is partly by construction, because the gamma multiplier injects it; what the model contributes is the mean, which is almost twice the reference for Llama with the anchor (0.93 against 0.49).</w:t>
      </w:r>
    </w:p>
    <w:bookmarkEnd w:id="45"/>
    <w:bookmarkStart w:id="46" w:name="high-mean-setting"/>
    <w:p>
      <w:pPr>
        <w:pStyle w:val="Heading2"/>
      </w:pPr>
      <w:r>
        <w:t xml:space="preserve">5.3 High-mean setting</w:t>
      </w:r>
    </w:p>
    <w:p>
      <w:pPr>
        <w:pStyle w:val="FirstParagraph"/>
      </w:pPr>
      <w:r>
        <w:t xml:space="preserve">A higher mean does not relieve the collapse of direct answers (Table B2, Figure 1b). In 13 of 16 cells the variance-to-mean ratio of design A lies between 0.00 and 0.36, against a reference of 7.85. Three cells have more spread: DeepSeek-V4-Pro (1.10 without the anchor and 1.57 with it, both with wide intervals) and Mistral Large 4 without the anchor (2.45, interval 1.98 to 2.98,</w:t>
      </w:r>
      <w:r>
        <w:t xml:space="preserve"> </w:t>
      </w:r>
      <m:oMath>
        <m:r>
          <m:t>α</m:t>
        </m:r>
        <m:r>
          <m:rPr>
            <m:sty m:val="p"/>
          </m:rPr>
          <m:t>=</m:t>
        </m:r>
        <m:r>
          <m:rPr>
            <m:sty m:val="p"/>
          </m:rPr>
          <m:t>+</m:t>
        </m:r>
        <m:r>
          <m:t>0.17</m:t>
        </m:r>
      </m:oMath>
      <w:r>
        <w:t xml:space="preserve">), which carries about a third of the real dispersion. Without the anchor GPT-4o-mini and Llama answered</w:t>
      </w:r>
      <w:r>
        <w:t xml:space="preserve"> </w:t>
      </w:r>
      <w:r>
        <w:t xml:space="preserve">“</w:t>
      </w:r>
      <w:r>
        <w:t xml:space="preserve">8</w:t>
      </w:r>
      <w:r>
        <w:t xml:space="preserve">”</w:t>
      </w:r>
      <w:r>
        <w:t xml:space="preserve"> </w:t>
      </w:r>
      <w:r>
        <w:t xml:space="preserve">for practically every customer; with the anchor all eight models returned numbers close to the stated base rate of 5 (means of 3.73 to 5.22), so that the answer carries little persona information. Daily simulation again misses the mean (4.35 to 16.65 trips against 4.84) and has almost no dispersion (ratios of 0.04 to 0.38, zero share of at most 0.01). In all 48 cells of designs A, B, and C the variance-to-mean interval lies entirely below the reference.</w:t>
      </w:r>
    </w:p>
    <w:p>
      <w:pPr>
        <w:pStyle w:val="BodyText"/>
      </w:pPr>
      <w:r>
        <w:t xml:space="preserve">Describing a distribution reaches ratios of 3.65 to 6.44. Its intervals contain the ceiling of 6.61 in only 3 of 16 cells (3 of the 8 anchored cells), so the impression from the first three models that the anchor lets design C reach the ceiling does not generalize. Its weak point is the zero share: 0.01 to 0.15 against the real 0.19, below the reference in every cell. The hybrid matches the reference ratio in 12 of 16 cells, the mean in 4, the zero share in 8, and all four of mean, ratio, zero share, and</w:t>
      </w:r>
      <w:r>
        <w:t xml:space="preserve"> </w:t>
      </w:r>
      <m:oMath>
        <m:r>
          <m:t>α</m:t>
        </m:r>
      </m:oMath>
      <w:r>
        <w:t xml:space="preserve"> </w:t>
      </w:r>
      <w:r>
        <w:t xml:space="preserve">in 2: Haiku 5.5 without the anchor and GPT-4o-mini with it. The remaining cells fail because the model’s mean is wrong, for example 3.63 for Mistral Large 4 with the anchor and 7.65 for DeepSeek-V4-Pro without it.</w:t>
      </w:r>
    </w:p>
    <w:bookmarkEnd w:id="46"/>
    <w:bookmarkStart w:id="47"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higher means. It does not. At a mean of 0.5, 11 of 16 direct-answer cells have variance-to-mean ratios of at most 0.87, three more are cells in which nearly every answer was</w:t>
      </w:r>
      <w:r>
        <w:t xml:space="preserve"> </w:t>
      </w:r>
      <w:r>
        <w:t xml:space="preserve">“</w:t>
      </w:r>
      <w:r>
        <w:t xml:space="preserve">0</w:t>
      </w:r>
      <w:r>
        <w:t xml:space="preserve">”</w:t>
      </w:r>
      <w:r>
        <w:t xml:space="preserve">, one is close to Poisson (0.95), and one (DeepSeek-V4-Pro without the anchor) is overdispersed; at a mean of 4.8 the ratio is at most 0.36 in 13 of 16 cells and at most 2.45 in all of them, and at a mean of 7.8 it is at most 0.53 in 14 of 16 cells and at most 1.73 in all. In every setting several models return one value for practically every customer. Collapse of direct answers is therefore not a rounding artifact of low means. Nor do larger or more recent models escape it: the ratios of Sonnet 5 and GPT-5.6-terra in the two high-mean settings lie between 0.02 and 0.36 for direct and daily designs.</w:t>
      </w:r>
    </w:p>
    <w:bookmarkEnd w:id="47"/>
    <w:bookmarkStart w:id="48" w:name="Xe23f2af77092521160ea0caefb57b398689219a"/>
    <w:p>
      <w:pPr>
        <w:pStyle w:val="Heading2"/>
      </w:pPr>
      <w:r>
        <w:t xml:space="preserve">5.5 Richer personas from real household demographics</w:t>
      </w:r>
    </w:p>
    <w:p>
      <w:pPr>
        <w:pStyle w:val="FirstParagraph"/>
      </w:pPr>
      <w:r>
        <w:t xml:space="preserve">The personas used so far were deliberately simple. To test whether richer personas change the picture, we drew 200 household-windows at random in each of three seeds from the 801 Complete Journey households with demographic records and described each household by its real age group, household type and size, number of children, marital status, income, and home ownership. This design also lets us compare each simulated count with that household’s real count in the same window. The reference is now the real distribution of these households, who shop more often than the full panel: mean 7.83, variance-to-mean ratio 6.52, zero share 0.03, and</w:t>
      </w:r>
      <w:r>
        <w:t xml:space="preserve"> </w:t>
      </w:r>
      <m:oMath>
        <m:r>
          <m:t>α</m:t>
        </m:r>
        <m:r>
          <m:rPr>
            <m:sty m:val="p"/>
          </m:rPr>
          <m:t>=</m:t>
        </m:r>
        <m:r>
          <m:t>0.71</m:t>
        </m:r>
      </m:oMath>
      <w:r>
        <w:t xml:space="preserve">. The ceiling of design C for this reference is 5.01.</w:t>
      </w:r>
    </w:p>
    <w:p>
      <w:pPr>
        <w:pStyle w:val="BodyText"/>
      </w:pPr>
      <w:r>
        <w:t xml:space="preserve">How much can demographics explain? Out of sample (households held out),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the persona describes almost none of the heterogeneity.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against a real</w:t>
      </w:r>
      <w:r>
        <w:t xml:space="preserve"> </w:t>
      </w:r>
      <m:oMath>
        <m:r>
          <m:t>α</m:t>
        </m:r>
      </m:oMath>
      <w:r>
        <w:t xml:space="preserve"> </w:t>
      </w:r>
      <w:r>
        <w:t xml:space="preserve">of 0.71.</w:t>
      </w:r>
    </w:p>
    <w:p>
      <w:pPr>
        <w:pStyle w:val="BodyText"/>
      </w:pPr>
      <w:r>
        <w:t xml:space="preserve">The simulations behave as Proposition 1 predicts (Table 3, Table B3). Direct answers are collapsed again (variance-to-mean ratio 0.00 to 1.73, zero share at most 0.01) with</w:t>
      </w:r>
      <w:r>
        <w:t xml:space="preserve"> </w:t>
      </w:r>
      <m:oMath>
        <m:r>
          <m:t>α</m:t>
        </m:r>
      </m:oMath>
      <w:r>
        <w:t xml:space="preserve"> </w:t>
      </w:r>
      <w:r>
        <w:t xml:space="preserve">between -0.16 and +0.08. GPT-4o-mini answered</w:t>
      </w:r>
      <w:r>
        <w:t xml:space="preserve"> </w:t>
      </w:r>
      <w:r>
        <w:t xml:space="preserve">“</w:t>
      </w:r>
      <w:r>
        <w:t xml:space="preserve">8</w:t>
      </w:r>
      <w:r>
        <w:t xml:space="preserve">”</w:t>
      </w:r>
      <w:r>
        <w:t xml:space="preserve"> </w:t>
      </w:r>
      <w:r>
        <w:t xml:space="preserve">for every household when told the base rate (the number in the anchor text)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misses the mean (5.9 to 17.2 against 7.83) and has ratios of 0.06 to 0.30. Describing a distribution reaches ratios of 3.44 to 6.11, and its intervals contain the ceiling of 5.01 in 10 of 16 cells (5 of the 8 anchored cells); its zero share (0.03 to 0.15) matches the small real share of 0.03 in 8 of 16 cells. The hybrid matches the reference ratio in 10 of 16 cells, but its mean in only 3 of 16: the model’s</w:t>
      </w:r>
      <w:r>
        <w:t xml:space="preserve"> </w:t>
      </w:r>
      <m:oMath>
        <m:r>
          <m:t>λ</m:t>
        </m:r>
      </m:oMath>
      <w:r>
        <w:t xml:space="preserve"> </w:t>
      </w:r>
      <w:r>
        <w:t xml:space="preserve">is usually too low (4.28 to 7.17 in the cells that miss, against 7.83). It matches the zero share in none of the 16 cells (0.07 to 0.15 against 0.03), because Poisson counts with a gamma multiplier produce more zeros than these households, and so it matches all four of mean, ratio, zero share, and</w:t>
      </w:r>
      <w:r>
        <w:t xml:space="preserve"> </w:t>
      </w:r>
      <m:oMath>
        <m:r>
          <m:t>α</m:t>
        </m:r>
      </m:oMath>
      <w:r>
        <w:t xml:space="preserve"> </w:t>
      </w:r>
      <w:r>
        <w:t xml:space="preserve">in none.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Rank correlation with real count</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pPr>
          </w:p>
        </w:tc>
      </w:tr>
      <w:tr>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5.60 to 10.25</w:t>
            </w:r>
          </w:p>
        </w:tc>
        <w:tc>
          <w:tcPr/>
          <w:p>
            <w:pPr>
              <w:pStyle w:val="Compact"/>
              <w:spacing w:before="20" w:after="20" w:line="240" w:lineRule="auto"/>
              <w:ind w:firstLine="0"/>
              <w:jc w:val="left"/>
            </w:pPr>
            <w:r>
              <w:rPr>
                <w:rFonts w:ascii="Times New Roman" w:hAnsi="Times New Roman"/>
                <w:sz w:val="17"/>
              </w:rPr>
              <w:t xml:space="preserve">0.00 to 1.73</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-0.16 to 0.08</w:t>
            </w:r>
          </w:p>
        </w:tc>
        <w:tc>
          <w:tcPr/>
          <w:p>
            <w:pPr>
              <w:pStyle w:val="Compact"/>
              <w:spacing w:before="20" w:after="20" w:line="240" w:lineRule="auto"/>
              <w:ind w:firstLine="0"/>
              <w:jc w:val="left"/>
            </w:pPr>
            <w:r>
              <w:rPr>
                <w:rFonts w:ascii="Times New Roman" w:hAnsi="Times New Roman"/>
                <w:sz w:val="17"/>
              </w:rPr>
              <w:t xml:space="preserve">-0.11 to +0.04</w:t>
            </w:r>
          </w:p>
        </w:tc>
      </w:tr>
      <w:tr>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5.92 to 17.21</w:t>
            </w:r>
          </w:p>
        </w:tc>
        <w:tc>
          <w:tcPr/>
          <w:p>
            <w:pPr>
              <w:pStyle w:val="Compact"/>
              <w:spacing w:before="20" w:after="20" w:line="240" w:lineRule="auto"/>
              <w:ind w:firstLine="0"/>
              <w:jc w:val="left"/>
            </w:pPr>
            <w:r>
              <w:rPr>
                <w:rFonts w:ascii="Times New Roman" w:hAnsi="Times New Roman"/>
                <w:sz w:val="17"/>
              </w:rPr>
              <w:t xml:space="preserve">0.06 to 0.30</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-0.12 to -0.05</w:t>
            </w:r>
          </w:p>
        </w:tc>
        <w:tc>
          <w:tcPr/>
          <w:p>
            <w:pPr>
              <w:pStyle w:val="Compact"/>
              <w:spacing w:before="20" w:after="20" w:line="240" w:lineRule="auto"/>
              <w:ind w:firstLine="0"/>
              <w:jc w:val="left"/>
            </w:pPr>
            <w:r>
              <w:rPr>
                <w:rFonts w:ascii="Times New Roman" w:hAnsi="Times New Roman"/>
                <w:sz w:val="17"/>
              </w:rPr>
              <w:t xml:space="preserve">-0.08 to +0.04</w:t>
            </w:r>
          </w:p>
        </w:tc>
      </w:tr>
      <w:tr>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 to 9.46</w:t>
            </w:r>
          </w:p>
        </w:tc>
        <w:tc>
          <w:tcPr/>
          <w:p>
            <w:pPr>
              <w:pStyle w:val="Compact"/>
              <w:spacing w:before="20" w:after="20" w:line="240" w:lineRule="auto"/>
              <w:ind w:firstLine="0"/>
              <w:jc w:val="left"/>
            </w:pPr>
            <w:r>
              <w:rPr>
                <w:rFonts w:ascii="Times New Roman" w:hAnsi="Times New Roman"/>
                <w:sz w:val="17"/>
              </w:rPr>
              <w:t xml:space="preserve">3.44 to 6.11</w:t>
            </w:r>
          </w:p>
        </w:tc>
        <w:tc>
          <w:tcPr/>
          <w:p>
            <w:pPr>
              <w:pStyle w:val="Compact"/>
              <w:spacing w:before="20" w:after="20" w:line="240" w:lineRule="auto"/>
              <w:ind w:firstLine="0"/>
              <w:jc w:val="left"/>
            </w:pPr>
            <w:r>
              <w:rPr>
                <w:rFonts w:ascii="Times New Roman" w:hAnsi="Times New Roman"/>
                <w:sz w:val="17"/>
              </w:rPr>
              <w:t xml:space="preserve">0.03 to 0.15</w:t>
            </w:r>
          </w:p>
        </w:tc>
        <w:tc>
          <w:tcPr/>
          <w:p>
            <w:pPr>
              <w:pStyle w:val="Compact"/>
              <w:spacing w:before="20" w:after="20" w:line="240" w:lineRule="auto"/>
              <w:ind w:firstLine="0"/>
              <w:jc w:val="left"/>
            </w:pPr>
            <w:r>
              <w:rPr>
                <w:rFonts w:ascii="Times New Roman" w:hAnsi="Times New Roman"/>
                <w:sz w:val="17"/>
              </w:rPr>
              <w:t xml:space="preserve">0.37 to 0.79</w:t>
            </w:r>
          </w:p>
        </w:tc>
        <w:tc>
          <w:tcPr/>
          <w:p>
            <w:pPr>
              <w:pStyle w:val="Compact"/>
              <w:spacing w:before="20" w:after="20" w:line="240" w:lineRule="auto"/>
              <w:ind w:firstLine="0"/>
              <w:jc w:val="left"/>
            </w:pPr>
            <w:r>
              <w:rPr>
                <w:rFonts w:ascii="Times New Roman" w:hAnsi="Times New Roman"/>
                <w:sz w:val="17"/>
              </w:rPr>
              <w:t xml:space="preserve">-0.01 to +0.08</w:t>
            </w:r>
          </w:p>
        </w:tc>
      </w:tr>
      <w:tr>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4.28 to 7.53</w:t>
            </w:r>
          </w:p>
        </w:tc>
        <w:tc>
          <w:tcPr/>
          <w:p>
            <w:pPr>
              <w:pStyle w:val="Compact"/>
              <w:spacing w:before="20" w:after="20" w:line="240" w:lineRule="auto"/>
              <w:ind w:firstLine="0"/>
              <w:jc w:val="left"/>
            </w:pPr>
            <w:r>
              <w:rPr>
                <w:rFonts w:ascii="Times New Roman" w:hAnsi="Times New Roman"/>
                <w:sz w:val="17"/>
              </w:rPr>
              <w:t xml:space="preserve">4.48 to 6.70</w:t>
            </w:r>
          </w:p>
        </w:tc>
        <w:tc>
          <w:tcPr/>
          <w:p>
            <w:pPr>
              <w:pStyle w:val="Compact"/>
              <w:spacing w:before="20" w:after="20" w:line="240" w:lineRule="auto"/>
              <w:ind w:firstLine="0"/>
              <w:jc w:val="left"/>
            </w:pPr>
            <w:r>
              <w:rPr>
                <w:rFonts w:ascii="Times New Roman" w:hAnsi="Times New Roman"/>
                <w:sz w:val="17"/>
              </w:rPr>
              <w:t xml:space="preserve">0.07 to 0.15</w:t>
            </w:r>
          </w:p>
        </w:tc>
        <w:tc>
          <w:tcPr/>
          <w:p>
            <w:pPr>
              <w:pStyle w:val="Compact"/>
              <w:spacing w:before="20" w:after="20" w:line="240" w:lineRule="auto"/>
              <w:ind w:firstLine="0"/>
              <w:jc w:val="left"/>
            </w:pPr>
            <w:r>
              <w:rPr>
                <w:rFonts w:ascii="Times New Roman" w:hAnsi="Times New Roman"/>
                <w:sz w:val="17"/>
              </w:rPr>
              <w:t xml:space="preserve">0.71 to 0.84</w:t>
            </w:r>
          </w:p>
        </w:tc>
        <w:tc>
          <w:tcPr/>
          <w:p>
            <w:pPr>
              <w:pStyle w:val="Compact"/>
              <w:spacing w:before="20" w:after="20" w:line="240" w:lineRule="auto"/>
              <w:ind w:firstLine="0"/>
              <w:jc w:val="left"/>
            </w:pPr>
            <w:r>
              <w:rPr>
                <w:rFonts w:ascii="Times New Roman" w:hAnsi="Times New Roman"/>
                <w:sz w:val="17"/>
              </w:rPr>
              <w:t xml:space="preserve">-0.06 to +0.05</w:t>
            </w:r>
          </w:p>
        </w:tc>
      </w:tr>
    </w:tbl>
    <w:p>
      <w:pPr>
        <w:pStyle w:val="BodyText"/>
        <w:spacing w:line="240" w:lineRule="auto"/>
        <w:ind w:firstLine="0"/>
      </w:pPr>
      <w:r>
        <w:rPr>
          <w:iCs/>
          <w:i/>
        </w:rPr>
        <w:t xml:space="preserve">Table 3. Persona experiment with real household demographics: range of results across the 16 model-and-prompt cells of each design (600 household-windows per cell). The last column is the range of the Spearman correlation between the simulated count and the household’s real count in the same window.</w:t>
      </w:r>
    </w:p>
    <w:p>
      <w:pPr>
        <w:pStyle w:val="BodyText"/>
      </w:pPr>
      <w:r>
        <w:t xml:space="preserve">Individual-level validity is essentially nil. Across the 63 cells in which the answers vary, the Spearman correlation between the simulated count and the household’s real count lies between -0.11 and +0.08, and the interval excludes zero in only two cells (one negative, for DeepSeek-V4-Pro without the anchor, and one positive, for GPT-5.6-terra with it). The model’s own</w:t>
      </w:r>
      <w:r>
        <w:t xml:space="preserve"> </w:t>
      </w:r>
      <m:oMath>
        <m:r>
          <m:t>λ</m:t>
        </m:r>
      </m:oMath>
      <w:r>
        <w:t xml:space="preserve"> </w:t>
      </w:r>
      <w:r>
        <w:t xml:space="preserve">in design D correlates between -0.06 and +0.05 with the real count, and none of its 16 intervals excludes zero. With 79 intervals, about four exclusions are expected by chance at the 5% level. Design C has positive correlations somewhat more often than the others (11 of 16 cells), but the median is +0.01, and the models were run on the same samples of household-windows, so the cells are not independent evidence. On the first sample the demographic regression itself has a rank correlation of -0.03 (interval -0.17 to +0.10); on the two further samples of 200 household-windows it reaches +0.19 and -0.02, which shows how much a single sample can move these correlations. Because the demographics predict the real count with a rank correlation of only 0.04 across all households,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8"/>
    <w:bookmarkStart w:id="52" w:name="randomized-email-experiment"/>
    <w:p>
      <w:pPr>
        <w:pStyle w:val="Heading2"/>
      </w:pPr>
      <w:r>
        <w:t xml:space="preserve">5.6 Randomized email experiment</w:t>
      </w:r>
    </w:p>
    <w:p>
      <w:pPr>
        <w:pStyle w:val="FirstParagraph"/>
        <w:spacing w:line="240" w:lineRule="auto"/>
        <w:ind w:firstLine="0"/>
      </w:pPr>
      <w:r>
        <w:t xml:space="preserve">Table 4 reports the elicited-probability design (the most stable of the three formats we tried), and Figure 2 shows the absolute lift for the men’s email. Models run on three seeds are pooled over the three samples of 300 customers. The real effect is a risk ratio of 1.72 for visits and 2.19 for purchases for the men’s email, with absolute lifts of 7.7 and 0.7 percentage points.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879"/>
        <w:gridCol w:w="879"/>
        <w:gridCol w:w="879"/>
        <w:gridCol w:w="879"/>
        <w:gridCol w:w="879"/>
        <w:gridCol w:w="879"/>
        <w:gridCol w:w="879"/>
        <w:gridCol w:w="879"/>
        <w:gridCol w:w="879"/>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Outcome</w:t>
            </w:r>
          </w:p>
        </w:tc>
        <w:tc>
          <w:tcPr/>
          <w:p>
            <w:pPr>
              <w:pStyle w:val="Compact"/>
              <w:spacing w:before="20" w:after="20" w:line="240" w:lineRule="auto"/>
              <w:ind w:firstLine="0"/>
              <w:jc w:val="left"/>
            </w:pPr>
            <w:r>
              <w:rPr>
                <w:rFonts w:ascii="Times New Roman" w:hAnsi="Times New Roman"/>
                <w:b/>
                <w:sz w:val="17"/>
              </w:rPr>
              <w:t xml:space="preserve">No email</w:t>
            </w:r>
          </w:p>
        </w:tc>
        <w:tc>
          <w:tcPr/>
          <w:p>
            <w:pPr>
              <w:pStyle w:val="Compact"/>
              <w:spacing w:before="20" w:after="20" w:line="240" w:lineRule="auto"/>
              <w:ind w:firstLine="0"/>
              <w:jc w:val="left"/>
            </w:pPr>
            <w:r>
              <w:rPr>
                <w:rFonts w:ascii="Times New Roman" w:hAnsi="Times New Roman"/>
                <w:b/>
                <w:sz w:val="17"/>
              </w:rPr>
              <w:t xml:space="preserve">Lift, men’s email [95% CI]</w:t>
            </w:r>
          </w:p>
        </w:tc>
        <w:tc>
          <w:tcPr/>
          <w:p>
            <w:pPr>
              <w:pStyle w:val="Compact"/>
              <w:spacing w:before="20" w:after="20" w:line="240" w:lineRule="auto"/>
              <w:ind w:firstLine="0"/>
              <w:jc w:val="left"/>
            </w:pPr>
            <w:r>
              <w:rPr>
                <w:rFonts w:ascii="Times New Roman" w:hAnsi="Times New Roman"/>
                <w:b/>
                <w:sz w:val="17"/>
              </w:rPr>
              <w:t xml:space="preserve">Lift, women’s email [95% CI]</w:t>
            </w:r>
          </w:p>
        </w:tc>
        <w:tc>
          <w:tcPr/>
          <w:p>
            <w:pPr>
              <w:pStyle w:val="Compact"/>
              <w:spacing w:before="20" w:after="20" w:line="240" w:lineRule="auto"/>
              <w:ind w:firstLine="0"/>
              <w:jc w:val="left"/>
            </w:pPr>
            <w:r>
              <w:rPr>
                <w:rFonts w:ascii="Times New Roman" w:hAnsi="Times New Roman"/>
                <w:b/>
                <w:sz w:val="17"/>
              </w:rPr>
              <w:t xml:space="preserve">Gap men minus women [95% CI]</w:t>
            </w:r>
          </w:p>
        </w:tc>
        <w:tc>
          <w:tcPr/>
          <w:p>
            <w:pPr>
              <w:pStyle w:val="Compact"/>
              <w:spacing w:before="20" w:after="20" w:line="240" w:lineRule="auto"/>
              <w:ind w:firstLine="0"/>
              <w:jc w:val="left"/>
            </w:pPr>
            <w:r>
              <w:rPr>
                <w:rFonts w:ascii="Times New Roman" w:hAnsi="Times New Roman"/>
                <w:b/>
                <w:sz w:val="17"/>
              </w:rPr>
              <w:t xml:space="preserve">RR men</w:t>
            </w:r>
          </w:p>
        </w:tc>
        <w:tc>
          <w:tcPr/>
          <w:p>
            <w:pPr>
              <w:pStyle w:val="Compact"/>
              <w:spacing w:before="20" w:after="20" w:line="240" w:lineRule="auto"/>
              <w:ind w:firstLine="0"/>
              <w:jc w:val="left"/>
            </w:pPr>
            <w:r>
              <w:rPr>
                <w:rFonts w:ascii="Times New Roman" w:hAnsi="Times New Roman"/>
                <w:b/>
                <w:sz w:val="17"/>
              </w:rPr>
              <w:t xml:space="preserve">RR women</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0.106</w:t>
            </w:r>
          </w:p>
        </w:tc>
        <w:tc>
          <w:tcPr/>
          <w:p>
            <w:pPr>
              <w:pStyle w:val="Compact"/>
              <w:spacing w:before="20" w:after="20" w:line="240" w:lineRule="auto"/>
              <w:ind w:firstLine="0"/>
              <w:jc w:val="left"/>
            </w:pPr>
            <w:r>
              <w:rPr>
                <w:rFonts w:ascii="Times New Roman" w:hAnsi="Times New Roman"/>
                <w:sz w:val="17"/>
              </w:rPr>
              <w:t xml:space="preserve">+0.077 [+0.070, +0.083]</w:t>
            </w:r>
          </w:p>
        </w:tc>
        <w:tc>
          <w:tcPr/>
          <w:p>
            <w:pPr>
              <w:pStyle w:val="Compact"/>
              <w:spacing w:before="20" w:after="20" w:line="240" w:lineRule="auto"/>
              <w:ind w:firstLine="0"/>
              <w:jc w:val="left"/>
            </w:pPr>
            <w:r>
              <w:rPr>
                <w:rFonts w:ascii="Times New Roman" w:hAnsi="Times New Roman"/>
                <w:sz w:val="17"/>
              </w:rPr>
              <w:t xml:space="preserve">+0.045 [+0.039, +0.052]</w:t>
            </w:r>
          </w:p>
        </w:tc>
        <w:tc>
          <w:tcPr/>
          <w:p>
            <w:pPr>
              <w:pStyle w:val="Compact"/>
              <w:spacing w:before="20" w:after="20" w:line="240" w:lineRule="auto"/>
              <w:ind w:firstLine="0"/>
              <w:jc w:val="left"/>
            </w:pPr>
            <w:r>
              <w:rPr>
                <w:rFonts w:ascii="Times New Roman" w:hAnsi="Times New Roman"/>
                <w:sz w:val="17"/>
              </w:rPr>
              <w:t xml:space="preserve">+0.031 [+0.024, +0.038]</w:t>
            </w:r>
          </w:p>
        </w:tc>
        <w:tc>
          <w:tcPr/>
          <w:p>
            <w:pPr>
              <w:pStyle w:val="Compact"/>
              <w:spacing w:before="20" w:after="20" w:line="240" w:lineRule="auto"/>
              <w:ind w:firstLine="0"/>
              <w:jc w:val="left"/>
            </w:pPr>
            <w:r>
              <w:rPr>
                <w:rFonts w:ascii="Times New Roman" w:hAnsi="Times New Roman"/>
                <w:sz w:val="17"/>
              </w:rPr>
              <w:t xml:space="preserve">1.72</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0.0057</w:t>
            </w:r>
          </w:p>
        </w:tc>
        <w:tc>
          <w:tcPr/>
          <w:p>
            <w:pPr>
              <w:pStyle w:val="Compact"/>
              <w:spacing w:before="20" w:after="20" w:line="240" w:lineRule="auto"/>
              <w:ind w:firstLine="0"/>
              <w:jc w:val="left"/>
            </w:pPr>
            <w:r>
              <w:rPr>
                <w:rFonts w:ascii="Times New Roman" w:hAnsi="Times New Roman"/>
                <w:sz w:val="17"/>
              </w:rPr>
              <w:t xml:space="preserve">+0.0068 [+0.0050, +0.0086]</w:t>
            </w:r>
          </w:p>
        </w:tc>
        <w:tc>
          <w:tcPr/>
          <w:p>
            <w:pPr>
              <w:pStyle w:val="Compact"/>
              <w:spacing w:before="20" w:after="20" w:line="240" w:lineRule="auto"/>
              <w:ind w:firstLine="0"/>
              <w:jc w:val="left"/>
            </w:pPr>
            <w:r>
              <w:rPr>
                <w:rFonts w:ascii="Times New Roman" w:hAnsi="Times New Roman"/>
                <w:sz w:val="17"/>
              </w:rPr>
              <w:t xml:space="preserve">+0.0031 [+0.0015, +0.0047]</w:t>
            </w:r>
          </w:p>
        </w:tc>
        <w:tc>
          <w:tcPr/>
          <w:p>
            <w:pPr>
              <w:pStyle w:val="Compact"/>
              <w:spacing w:before="20" w:after="20" w:line="240" w:lineRule="auto"/>
              <w:ind w:firstLine="0"/>
              <w:jc w:val="left"/>
            </w:pPr>
            <w:r>
              <w:rPr>
                <w:rFonts w:ascii="Times New Roman" w:hAnsi="Times New Roman"/>
                <w:sz w:val="17"/>
              </w:rPr>
              <w:t xml:space="preserve">+0.0037 [+0.0017, +0.0056]</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0.260</w:t>
            </w:r>
          </w:p>
        </w:tc>
        <w:tc>
          <w:tcPr/>
          <w:p>
            <w:pPr>
              <w:pStyle w:val="Compact"/>
              <w:spacing w:before="20" w:after="20" w:line="240" w:lineRule="auto"/>
              <w:ind w:firstLine="0"/>
              <w:jc w:val="left"/>
            </w:pPr>
            <w:r>
              <w:rPr>
                <w:rFonts w:ascii="Times New Roman" w:hAnsi="Times New Roman"/>
                <w:sz w:val="17"/>
              </w:rPr>
              <w:t xml:space="preserve">+0.190 [+0.175, +0.206]*</w:t>
            </w:r>
          </w:p>
        </w:tc>
        <w:tc>
          <w:tcPr/>
          <w:p>
            <w:pPr>
              <w:pStyle w:val="Compact"/>
              <w:spacing w:before="20" w:after="20" w:line="240" w:lineRule="auto"/>
              <w:ind w:firstLine="0"/>
              <w:jc w:val="left"/>
            </w:pPr>
            <w:r>
              <w:rPr>
                <w:rFonts w:ascii="Times New Roman" w:hAnsi="Times New Roman"/>
                <w:sz w:val="17"/>
              </w:rPr>
              <w:t xml:space="preserve">+0.215 [+0.199, +0.229]*</w:t>
            </w:r>
          </w:p>
        </w:tc>
        <w:tc>
          <w:tcPr/>
          <w:p>
            <w:pPr>
              <w:pStyle w:val="Compact"/>
              <w:spacing w:before="20" w:after="20" w:line="240" w:lineRule="auto"/>
              <w:ind w:firstLine="0"/>
              <w:jc w:val="left"/>
            </w:pPr>
            <w:r>
              <w:rPr>
                <w:rFonts w:ascii="Times New Roman" w:hAnsi="Times New Roman"/>
                <w:sz w:val="17"/>
              </w:rPr>
              <w:t xml:space="preserve">-0.025 [-0.051, +0.003]*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+0.003 [+0.002, +0.004]*</w:t>
            </w:r>
          </w:p>
        </w:tc>
        <w:tc>
          <w:tcPr/>
          <w:p>
            <w:pPr>
              <w:pStyle w:val="Compact"/>
              <w:spacing w:before="20" w:after="20" w:line="240" w:lineRule="auto"/>
              <w:ind w:firstLine="0"/>
              <w:jc w:val="left"/>
            </w:pPr>
            <w:r>
              <w:rPr>
                <w:rFonts w:ascii="Times New Roman" w:hAnsi="Times New Roman"/>
                <w:sz w:val="17"/>
              </w:rPr>
              <w:t xml:space="preserve">+0.004 [+0.002, +0.006]*</w:t>
            </w:r>
          </w:p>
        </w:tc>
        <w:tc>
          <w:tcPr/>
          <w:p>
            <w:pPr>
              <w:pStyle w:val="Compact"/>
              <w:spacing w:before="20" w:after="20" w:line="240" w:lineRule="auto"/>
              <w:ind w:firstLine="0"/>
              <w:jc w:val="left"/>
            </w:pPr>
            <w:r>
              <w:rPr>
                <w:rFonts w:ascii="Times New Roman" w:hAnsi="Times New Roman"/>
                <w:sz w:val="17"/>
              </w:rPr>
              <w:t xml:space="preserve">-0.001 [-0.003, +0.001]*</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1.04*</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0.296</w:t>
            </w:r>
          </w:p>
        </w:tc>
        <w:tc>
          <w:tcPr/>
          <w:p>
            <w:pPr>
              <w:pStyle w:val="Compact"/>
              <w:spacing w:before="20" w:after="20" w:line="240" w:lineRule="auto"/>
              <w:ind w:firstLine="0"/>
              <w:jc w:val="left"/>
            </w:pPr>
            <w:r>
              <w:rPr>
                <w:rFonts w:ascii="Times New Roman" w:hAnsi="Times New Roman"/>
                <w:sz w:val="17"/>
              </w:rPr>
              <w:t xml:space="preserve">+0.071 [+0.057, +0.084]</w:t>
            </w:r>
          </w:p>
        </w:tc>
        <w:tc>
          <w:tcPr/>
          <w:p>
            <w:pPr>
              <w:pStyle w:val="Compact"/>
              <w:spacing w:before="20" w:after="20" w:line="240" w:lineRule="auto"/>
              <w:ind w:firstLine="0"/>
              <w:jc w:val="left"/>
            </w:pPr>
            <w:r>
              <w:rPr>
                <w:rFonts w:ascii="Times New Roman" w:hAnsi="Times New Roman"/>
                <w:sz w:val="17"/>
              </w:rPr>
              <w:t xml:space="preserve">+0.064 [+0.050, +0.079]*</w:t>
            </w:r>
          </w:p>
        </w:tc>
        <w:tc>
          <w:tcPr/>
          <w:p>
            <w:pPr>
              <w:pStyle w:val="Compact"/>
              <w:spacing w:before="20" w:after="20" w:line="240" w:lineRule="auto"/>
              <w:ind w:firstLine="0"/>
              <w:jc w:val="left"/>
            </w:pPr>
            <w:r>
              <w:rPr>
                <w:rFonts w:ascii="Times New Roman" w:hAnsi="Times New Roman"/>
                <w:sz w:val="17"/>
              </w:rPr>
              <w:t xml:space="preserve">+0.007 [-0.018, +0.030]*</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+0.035 [+0.032, +0.039]*</w:t>
            </w:r>
          </w:p>
        </w:tc>
        <w:tc>
          <w:tcPr/>
          <w:p>
            <w:pPr>
              <w:pStyle w:val="Compact"/>
              <w:spacing w:before="20" w:after="20" w:line="240" w:lineRule="auto"/>
              <w:ind w:firstLine="0"/>
              <w:jc w:val="left"/>
            </w:pPr>
            <w:r>
              <w:rPr>
                <w:rFonts w:ascii="Times New Roman" w:hAnsi="Times New Roman"/>
                <w:sz w:val="17"/>
              </w:rPr>
              <w:t xml:space="preserve">+0.036 [+0.033, +0.039]*</w:t>
            </w:r>
          </w:p>
        </w:tc>
        <w:tc>
          <w:tcPr/>
          <w:p>
            <w:pPr>
              <w:pStyle w:val="Compact"/>
              <w:spacing w:before="20" w:after="20" w:line="240" w:lineRule="auto"/>
              <w:ind w:firstLine="0"/>
              <w:jc w:val="left"/>
            </w:pPr>
            <w:r>
              <w:rPr>
                <w:rFonts w:ascii="Times New Roman" w:hAnsi="Times New Roman"/>
                <w:sz w:val="17"/>
              </w:rPr>
              <w:t xml:space="preserve">-0.000 [-0.006, +0.005]*</w:t>
            </w:r>
          </w:p>
        </w:tc>
        <w:tc>
          <w:tcPr/>
          <w:p>
            <w:pPr>
              <w:pStyle w:val="Compact"/>
              <w:spacing w:before="20" w:after="20" w:line="240" w:lineRule="auto"/>
              <w:ind w:firstLine="0"/>
              <w:jc w:val="left"/>
            </w:pPr>
            <w:r>
              <w:rPr>
                <w:rFonts w:ascii="Times New Roman" w:hAnsi="Times New Roman"/>
                <w:sz w:val="17"/>
              </w:rPr>
              <w:t xml:space="preserve">1.36*</w:t>
            </w:r>
          </w:p>
        </w:tc>
        <w:tc>
          <w:tcPr/>
          <w:p>
            <w:pPr>
              <w:pStyle w:val="Compact"/>
              <w:spacing w:before="20" w:after="20" w:line="240" w:lineRule="auto"/>
              <w:ind w:firstLine="0"/>
              <w:jc w:val="left"/>
            </w:pPr>
            <w:r>
              <w:rPr>
                <w:rFonts w:ascii="Times New Roman" w:hAnsi="Times New Roman"/>
                <w:sz w:val="17"/>
              </w:rPr>
              <w:t xml:space="preserve">1.36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0.154</w:t>
            </w:r>
          </w:p>
        </w:tc>
        <w:tc>
          <w:tcPr/>
          <w:p>
            <w:pPr>
              <w:pStyle w:val="Compact"/>
              <w:spacing w:before="20" w:after="20" w:line="240" w:lineRule="auto"/>
              <w:ind w:firstLine="0"/>
              <w:jc w:val="left"/>
            </w:pPr>
            <w:r>
              <w:rPr>
                <w:rFonts w:ascii="Times New Roman" w:hAnsi="Times New Roman"/>
                <w:sz w:val="17"/>
              </w:rPr>
              <w:t xml:space="preserve">+0.073 [+0.065, +0.081]</w:t>
            </w:r>
          </w:p>
        </w:tc>
        <w:tc>
          <w:tcPr/>
          <w:p>
            <w:pPr>
              <w:pStyle w:val="Compact"/>
              <w:spacing w:before="20" w:after="20" w:line="240" w:lineRule="auto"/>
              <w:ind w:firstLine="0"/>
              <w:jc w:val="left"/>
            </w:pPr>
            <w:r>
              <w:rPr>
                <w:rFonts w:ascii="Times New Roman" w:hAnsi="Times New Roman"/>
                <w:sz w:val="17"/>
              </w:rPr>
              <w:t xml:space="preserve">+0.091 [+0.082, +0.099]*</w:t>
            </w:r>
          </w:p>
        </w:tc>
        <w:tc>
          <w:tcPr/>
          <w:p>
            <w:pPr>
              <w:pStyle w:val="Compact"/>
              <w:spacing w:before="20" w:after="20" w:line="240" w:lineRule="auto"/>
              <w:ind w:firstLine="0"/>
              <w:jc w:val="left"/>
            </w:pPr>
            <w:r>
              <w:rPr>
                <w:rFonts w:ascii="Times New Roman" w:hAnsi="Times New Roman"/>
                <w:sz w:val="17"/>
              </w:rPr>
              <w:t xml:space="preserve">-0.018 [-0.032, -0.004]*</w:t>
            </w:r>
          </w:p>
        </w:tc>
        <w:tc>
          <w:tcPr/>
          <w:p>
            <w:pPr>
              <w:pStyle w:val="Compact"/>
              <w:spacing w:before="20" w:after="20" w:line="240" w:lineRule="auto"/>
              <w:ind w:firstLine="0"/>
              <w:jc w:val="left"/>
            </w:pPr>
            <w:r>
              <w:rPr>
                <w:rFonts w:ascii="Times New Roman" w:hAnsi="Times New Roman"/>
                <w:sz w:val="17"/>
              </w:rPr>
              <w:t xml:space="preserve">1.47*</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+0.159 [+0.154, +0.164]*</w:t>
            </w:r>
          </w:p>
        </w:tc>
        <w:tc>
          <w:tcPr/>
          <w:p>
            <w:pPr>
              <w:pStyle w:val="Compact"/>
              <w:spacing w:before="20" w:after="20" w:line="240" w:lineRule="auto"/>
              <w:ind w:firstLine="0"/>
              <w:jc w:val="left"/>
            </w:pPr>
            <w:r>
              <w:rPr>
                <w:rFonts w:ascii="Times New Roman" w:hAnsi="Times New Roman"/>
                <w:sz w:val="17"/>
              </w:rPr>
              <w:t xml:space="preserve">+0.163 [+0.158, +0.167]*</w:t>
            </w:r>
          </w:p>
        </w:tc>
        <w:tc>
          <w:tcPr/>
          <w:p>
            <w:pPr>
              <w:pStyle w:val="Compact"/>
              <w:spacing w:before="20" w:after="20" w:line="240" w:lineRule="auto"/>
              <w:ind w:firstLine="0"/>
              <w:jc w:val="left"/>
            </w:pPr>
            <w:r>
              <w:rPr>
                <w:rFonts w:ascii="Times New Roman" w:hAnsi="Times New Roman"/>
                <w:sz w:val="17"/>
              </w:rPr>
              <w:t xml:space="preserve">-0.004 [-0.011, +0.003]*</w:t>
            </w:r>
          </w:p>
        </w:tc>
        <w:tc>
          <w:tcPr/>
          <w:p>
            <w:pPr>
              <w:pStyle w:val="Compact"/>
              <w:spacing w:before="20" w:after="20" w:line="240" w:lineRule="auto"/>
              <w:ind w:firstLine="0"/>
              <w:jc w:val="left"/>
            </w:pPr>
            <w:r>
              <w:rPr>
                <w:rFonts w:ascii="Times New Roman" w:hAnsi="Times New Roman"/>
                <w:sz w:val="17"/>
              </w:rPr>
              <w:t xml:space="preserve">2.71*</w:t>
            </w:r>
          </w:p>
        </w:tc>
        <w:tc>
          <w:tcPr/>
          <w:p>
            <w:pPr>
              <w:pStyle w:val="Compact"/>
              <w:spacing w:before="20" w:after="20" w:line="240" w:lineRule="auto"/>
              <w:ind w:firstLine="0"/>
              <w:jc w:val="left"/>
            </w:pPr>
            <w:r>
              <w:rPr>
                <w:rFonts w:ascii="Times New Roman" w:hAnsi="Times New Roman"/>
                <w:sz w:val="17"/>
              </w:rPr>
              <w:t xml:space="preserve">2.75*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0.223</w:t>
            </w:r>
          </w:p>
        </w:tc>
        <w:tc>
          <w:tcPr/>
          <w:p>
            <w:pPr>
              <w:pStyle w:val="Compact"/>
              <w:spacing w:before="20" w:after="20" w:line="240" w:lineRule="auto"/>
              <w:ind w:firstLine="0"/>
              <w:jc w:val="left"/>
            </w:pPr>
            <w:r>
              <w:rPr>
                <w:rFonts w:ascii="Times New Roman" w:hAnsi="Times New Roman"/>
                <w:sz w:val="17"/>
              </w:rPr>
              <w:t xml:space="preserve">+0.137 [+0.120, +0.153]*</w:t>
            </w:r>
          </w:p>
        </w:tc>
        <w:tc>
          <w:tcPr/>
          <w:p>
            <w:pPr>
              <w:pStyle w:val="Compact"/>
              <w:spacing w:before="20" w:after="20" w:line="240" w:lineRule="auto"/>
              <w:ind w:firstLine="0"/>
              <w:jc w:val="left"/>
            </w:pPr>
            <w:r>
              <w:rPr>
                <w:rFonts w:ascii="Times New Roman" w:hAnsi="Times New Roman"/>
                <w:sz w:val="17"/>
              </w:rPr>
              <w:t xml:space="preserve">+0.141 [+0.125, +0.157]*</w:t>
            </w:r>
          </w:p>
        </w:tc>
        <w:tc>
          <w:tcPr/>
          <w:p>
            <w:pPr>
              <w:pStyle w:val="Compact"/>
              <w:spacing w:before="20" w:after="20" w:line="240" w:lineRule="auto"/>
              <w:ind w:firstLine="0"/>
              <w:jc w:val="left"/>
            </w:pPr>
            <w:r>
              <w:rPr>
                <w:rFonts w:ascii="Times New Roman" w:hAnsi="Times New Roman"/>
                <w:sz w:val="17"/>
              </w:rPr>
              <w:t xml:space="preserve">-0.004 [-0.031, +0.024]*</w:t>
            </w:r>
          </w:p>
        </w:tc>
        <w:tc>
          <w:tcPr/>
          <w:p>
            <w:pPr>
              <w:pStyle w:val="Compact"/>
              <w:spacing w:before="20" w:after="20" w:line="240" w:lineRule="auto"/>
              <w:ind w:firstLine="0"/>
              <w:jc w:val="left"/>
            </w:pPr>
            <w:r>
              <w:rPr>
                <w:rFonts w:ascii="Times New Roman" w:hAnsi="Times New Roman"/>
                <w:sz w:val="17"/>
              </w:rPr>
              <w:t xml:space="preserve">1.61*</w:t>
            </w:r>
          </w:p>
        </w:tc>
        <w:tc>
          <w:tcPr/>
          <w:p>
            <w:pPr>
              <w:pStyle w:val="Compact"/>
              <w:spacing w:before="20" w:after="20" w:line="240" w:lineRule="auto"/>
              <w:ind w:firstLine="0"/>
              <w:jc w:val="left"/>
            </w:pPr>
            <w:r>
              <w:rPr>
                <w:rFonts w:ascii="Times New Roman" w:hAnsi="Times New Roman"/>
                <w:sz w:val="17"/>
              </w:rPr>
              <w:t xml:space="preserve">1.63*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0.203</w:t>
            </w:r>
          </w:p>
        </w:tc>
        <w:tc>
          <w:tcPr/>
          <w:p>
            <w:pPr>
              <w:pStyle w:val="Compact"/>
              <w:spacing w:before="20" w:after="20" w:line="240" w:lineRule="auto"/>
              <w:ind w:firstLine="0"/>
              <w:jc w:val="left"/>
            </w:pPr>
            <w:r>
              <w:rPr>
                <w:rFonts w:ascii="Times New Roman" w:hAnsi="Times New Roman"/>
                <w:sz w:val="17"/>
              </w:rPr>
              <w:t xml:space="preserve">+0.025 [+0.012, +0.040]*</w:t>
            </w:r>
          </w:p>
        </w:tc>
        <w:tc>
          <w:tcPr/>
          <w:p>
            <w:pPr>
              <w:pStyle w:val="Compact"/>
              <w:spacing w:before="20" w:after="20" w:line="240" w:lineRule="auto"/>
              <w:ind w:firstLine="0"/>
              <w:jc w:val="left"/>
            </w:pPr>
            <w:r>
              <w:rPr>
                <w:rFonts w:ascii="Times New Roman" w:hAnsi="Times New Roman"/>
                <w:sz w:val="17"/>
              </w:rPr>
              <w:t xml:space="preserve">+0.025 [+0.011, +0.040]*</w:t>
            </w:r>
          </w:p>
        </w:tc>
        <w:tc>
          <w:tcPr/>
          <w:p>
            <w:pPr>
              <w:pStyle w:val="Compact"/>
              <w:spacing w:before="20" w:after="20" w:line="240" w:lineRule="auto"/>
              <w:ind w:firstLine="0"/>
              <w:jc w:val="left"/>
            </w:pPr>
            <w:r>
              <w:rPr>
                <w:rFonts w:ascii="Times New Roman" w:hAnsi="Times New Roman"/>
                <w:sz w:val="17"/>
              </w:rPr>
              <w:t xml:space="preserve">-0.000 [-0.022, +0.020]*</w:t>
            </w:r>
          </w:p>
        </w:tc>
        <w:tc>
          <w:tcPr/>
          <w:p>
            <w:pPr>
              <w:pStyle w:val="Compact"/>
              <w:spacing w:before="20" w:after="20" w:line="240" w:lineRule="auto"/>
              <w:ind w:firstLine="0"/>
              <w:jc w:val="left"/>
            </w:pPr>
            <w:r>
              <w:rPr>
                <w:rFonts w:ascii="Times New Roman" w:hAnsi="Times New Roman"/>
                <w:sz w:val="17"/>
              </w:rPr>
              <w:t xml:space="preserve">1.13*</w:t>
            </w:r>
          </w:p>
        </w:tc>
        <w:tc>
          <w:tcPr/>
          <w:p>
            <w:pPr>
              <w:pStyle w:val="Compact"/>
              <w:spacing w:before="20" w:after="20" w:line="240" w:lineRule="auto"/>
              <w:ind w:firstLine="0"/>
              <w:jc w:val="left"/>
            </w:pPr>
            <w:r>
              <w:rPr>
                <w:rFonts w:ascii="Times New Roman" w:hAnsi="Times New Roman"/>
                <w:sz w:val="17"/>
              </w:rPr>
              <w:t xml:space="preserve">1.13*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0.282</w:t>
            </w:r>
          </w:p>
        </w:tc>
        <w:tc>
          <w:tcPr/>
          <w:p>
            <w:pPr>
              <w:pStyle w:val="Compact"/>
              <w:spacing w:before="20" w:after="20" w:line="240" w:lineRule="auto"/>
              <w:ind w:firstLine="0"/>
              <w:jc w:val="left"/>
            </w:pPr>
            <w:r>
              <w:rPr>
                <w:rFonts w:ascii="Times New Roman" w:hAnsi="Times New Roman"/>
                <w:sz w:val="17"/>
              </w:rPr>
              <w:t xml:space="preserve">+0.050 [+0.033, +0.069]*</w:t>
            </w:r>
          </w:p>
        </w:tc>
        <w:tc>
          <w:tcPr/>
          <w:p>
            <w:pPr>
              <w:pStyle w:val="Compact"/>
              <w:spacing w:before="20" w:after="20" w:line="240" w:lineRule="auto"/>
              <w:ind w:firstLine="0"/>
              <w:jc w:val="left"/>
            </w:pPr>
            <w:r>
              <w:rPr>
                <w:rFonts w:ascii="Times New Roman" w:hAnsi="Times New Roman"/>
                <w:sz w:val="17"/>
              </w:rPr>
              <w:t xml:space="preserve">+0.052 [+0.035, +0.070]</w:t>
            </w:r>
          </w:p>
        </w:tc>
        <w:tc>
          <w:tcPr/>
          <w:p>
            <w:pPr>
              <w:pStyle w:val="Compact"/>
              <w:spacing w:before="20" w:after="20" w:line="240" w:lineRule="auto"/>
              <w:ind w:firstLine="0"/>
              <w:jc w:val="left"/>
            </w:pPr>
            <w:r>
              <w:rPr>
                <w:rFonts w:ascii="Times New Roman" w:hAnsi="Times New Roman"/>
                <w:sz w:val="17"/>
              </w:rPr>
              <w:t xml:space="preserve">-0.001 [-0.030, +0.027]*</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1.18*</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0.102</w:t>
            </w:r>
          </w:p>
        </w:tc>
        <w:tc>
          <w:tcPr/>
          <w:p>
            <w:pPr>
              <w:pStyle w:val="Compact"/>
              <w:spacing w:before="20" w:after="20" w:line="240" w:lineRule="auto"/>
              <w:ind w:firstLine="0"/>
              <w:jc w:val="left"/>
            </w:pPr>
            <w:r>
              <w:rPr>
                <w:rFonts w:ascii="Times New Roman" w:hAnsi="Times New Roman"/>
                <w:sz w:val="17"/>
              </w:rPr>
              <w:t xml:space="preserve">+0.075 [+0.063, +0.087]</w:t>
            </w:r>
          </w:p>
        </w:tc>
        <w:tc>
          <w:tcPr/>
          <w:p>
            <w:pPr>
              <w:pStyle w:val="Compact"/>
              <w:spacing w:before="20" w:after="20" w:line="240" w:lineRule="auto"/>
              <w:ind w:firstLine="0"/>
              <w:jc w:val="left"/>
            </w:pPr>
            <w:r>
              <w:rPr>
                <w:rFonts w:ascii="Times New Roman" w:hAnsi="Times New Roman"/>
                <w:sz w:val="17"/>
              </w:rPr>
              <w:t xml:space="preserve">+0.083 [+0.070, +0.095]*</w:t>
            </w:r>
          </w:p>
        </w:tc>
        <w:tc>
          <w:tcPr/>
          <w:p>
            <w:pPr>
              <w:pStyle w:val="Compact"/>
              <w:spacing w:before="20" w:after="20" w:line="240" w:lineRule="auto"/>
              <w:ind w:firstLine="0"/>
              <w:jc w:val="left"/>
            </w:pPr>
            <w:r>
              <w:rPr>
                <w:rFonts w:ascii="Times New Roman" w:hAnsi="Times New Roman"/>
                <w:sz w:val="17"/>
              </w:rPr>
              <w:t xml:space="preserve">-0.008 [-0.028, +0.013]*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0.203</w:t>
            </w:r>
          </w:p>
        </w:tc>
        <w:tc>
          <w:tcPr/>
          <w:p>
            <w:pPr>
              <w:pStyle w:val="Compact"/>
              <w:spacing w:before="20" w:after="20" w:line="240" w:lineRule="auto"/>
              <w:ind w:firstLine="0"/>
              <w:jc w:val="left"/>
            </w:pPr>
            <w:r>
              <w:rPr>
                <w:rFonts w:ascii="Times New Roman" w:hAnsi="Times New Roman"/>
                <w:sz w:val="17"/>
              </w:rPr>
              <w:t xml:space="preserve">+0.037 [+0.012, +0.058]*</w:t>
            </w:r>
          </w:p>
        </w:tc>
        <w:tc>
          <w:tcPr/>
          <w:p>
            <w:pPr>
              <w:pStyle w:val="Compact"/>
              <w:spacing w:before="20" w:after="20" w:line="240" w:lineRule="auto"/>
              <w:ind w:firstLine="0"/>
              <w:jc w:val="left"/>
            </w:pPr>
            <w:r>
              <w:rPr>
                <w:rFonts w:ascii="Times New Roman" w:hAnsi="Times New Roman"/>
                <w:sz w:val="17"/>
              </w:rPr>
              <w:t xml:space="preserve">+0.035 [+0.010, +0.059]</w:t>
            </w:r>
          </w:p>
        </w:tc>
        <w:tc>
          <w:tcPr/>
          <w:p>
            <w:pPr>
              <w:pStyle w:val="Compact"/>
              <w:spacing w:before="20" w:after="20" w:line="240" w:lineRule="auto"/>
              <w:ind w:firstLine="0"/>
              <w:jc w:val="left"/>
            </w:pPr>
            <w:r>
              <w:rPr>
                <w:rFonts w:ascii="Times New Roman" w:hAnsi="Times New Roman"/>
                <w:sz w:val="17"/>
              </w:rPr>
              <w:t xml:space="preserve">+0.001 [-0.024, +0.026]*</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1.17*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0.069</w:t>
            </w:r>
          </w:p>
        </w:tc>
        <w:tc>
          <w:tcPr/>
          <w:p>
            <w:pPr>
              <w:pStyle w:val="Compact"/>
              <w:spacing w:before="20" w:after="20" w:line="240" w:lineRule="auto"/>
              <w:ind w:firstLine="0"/>
              <w:jc w:val="left"/>
            </w:pPr>
            <w:r>
              <w:rPr>
                <w:rFonts w:ascii="Times New Roman" w:hAnsi="Times New Roman"/>
                <w:sz w:val="17"/>
              </w:rPr>
              <w:t xml:space="preserve">+0.196 [+0.178, +0.213]*</w:t>
            </w:r>
          </w:p>
        </w:tc>
        <w:tc>
          <w:tcPr/>
          <w:p>
            <w:pPr>
              <w:pStyle w:val="Compact"/>
              <w:spacing w:before="20" w:after="20" w:line="240" w:lineRule="auto"/>
              <w:ind w:firstLine="0"/>
              <w:jc w:val="left"/>
            </w:pPr>
            <w:r>
              <w:rPr>
                <w:rFonts w:ascii="Times New Roman" w:hAnsi="Times New Roman"/>
                <w:sz w:val="17"/>
              </w:rPr>
              <w:t xml:space="preserve">+0.183 [+0.165, +0.200]*</w:t>
            </w:r>
          </w:p>
        </w:tc>
        <w:tc>
          <w:tcPr/>
          <w:p>
            <w:pPr>
              <w:pStyle w:val="Compact"/>
              <w:spacing w:before="20" w:after="20" w:line="240" w:lineRule="auto"/>
              <w:ind w:firstLine="0"/>
              <w:jc w:val="left"/>
            </w:pPr>
            <w:r>
              <w:rPr>
                <w:rFonts w:ascii="Times New Roman" w:hAnsi="Times New Roman"/>
                <w:sz w:val="17"/>
              </w:rPr>
              <w:t xml:space="preserve">+0.013 [-0.011, +0.036]</w:t>
            </w:r>
          </w:p>
        </w:tc>
        <w:tc>
          <w:tcPr/>
          <w:p>
            <w:pPr>
              <w:pStyle w:val="Compact"/>
              <w:spacing w:before="20" w:after="20" w:line="240" w:lineRule="auto"/>
              <w:ind w:firstLine="0"/>
              <w:jc w:val="left"/>
            </w:pPr>
            <w:r>
              <w:rPr>
                <w:rFonts w:ascii="Times New Roman" w:hAnsi="Times New Roman"/>
                <w:sz w:val="17"/>
              </w:rPr>
              <w:t xml:space="preserve">3.82*</w:t>
            </w:r>
          </w:p>
        </w:tc>
        <w:tc>
          <w:tcPr/>
          <w:p>
            <w:pPr>
              <w:pStyle w:val="Compact"/>
              <w:spacing w:before="20" w:after="20" w:line="240" w:lineRule="auto"/>
              <w:ind w:firstLine="0"/>
              <w:jc w:val="left"/>
            </w:pPr>
            <w:r>
              <w:rPr>
                <w:rFonts w:ascii="Times New Roman" w:hAnsi="Times New Roman"/>
                <w:sz w:val="17"/>
              </w:rPr>
              <w:t xml:space="preserve">3.63*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0.126</w:t>
            </w:r>
          </w:p>
        </w:tc>
        <w:tc>
          <w:tcPr/>
          <w:p>
            <w:pPr>
              <w:pStyle w:val="Compact"/>
              <w:spacing w:before="20" w:after="20" w:line="240" w:lineRule="auto"/>
              <w:ind w:firstLine="0"/>
              <w:jc w:val="left"/>
            </w:pPr>
            <w:r>
              <w:rPr>
                <w:rFonts w:ascii="Times New Roman" w:hAnsi="Times New Roman"/>
                <w:sz w:val="17"/>
              </w:rPr>
              <w:t xml:space="preserve">+0.050 [+0.035, +0.067]*</w:t>
            </w:r>
          </w:p>
        </w:tc>
        <w:tc>
          <w:tcPr/>
          <w:p>
            <w:pPr>
              <w:pStyle w:val="Compact"/>
              <w:spacing w:before="20" w:after="20" w:line="240" w:lineRule="auto"/>
              <w:ind w:firstLine="0"/>
              <w:jc w:val="left"/>
            </w:pPr>
            <w:r>
              <w:rPr>
                <w:rFonts w:ascii="Times New Roman" w:hAnsi="Times New Roman"/>
                <w:sz w:val="17"/>
              </w:rPr>
              <w:t xml:space="preserve">+0.044 [+0.029, +0.060]</w:t>
            </w:r>
          </w:p>
        </w:tc>
        <w:tc>
          <w:tcPr/>
          <w:p>
            <w:pPr>
              <w:pStyle w:val="Compact"/>
              <w:spacing w:before="20" w:after="20" w:line="240" w:lineRule="auto"/>
              <w:ind w:firstLine="0"/>
              <w:jc w:val="left"/>
            </w:pPr>
            <w:r>
              <w:rPr>
                <w:rFonts w:ascii="Times New Roman" w:hAnsi="Times New Roman"/>
                <w:sz w:val="17"/>
              </w:rPr>
              <w:t xml:space="preserve">+0.006 [-0.022, +0.033]</w:t>
            </w:r>
          </w:p>
        </w:tc>
        <w:tc>
          <w:tcPr/>
          <w:p>
            <w:pPr>
              <w:pStyle w:val="Compact"/>
              <w:spacing w:before="20" w:after="20" w:line="240" w:lineRule="auto"/>
              <w:ind w:firstLine="0"/>
              <w:jc w:val="left"/>
            </w:pPr>
            <w:r>
              <w:rPr>
                <w:rFonts w:ascii="Times New Roman" w:hAnsi="Times New Roman"/>
                <w:sz w:val="17"/>
              </w:rPr>
              <w:t xml:space="preserve">1.39*</w:t>
            </w:r>
          </w:p>
        </w:tc>
        <w:tc>
          <w:tcPr/>
          <w:p>
            <w:pPr>
              <w:pStyle w:val="Compact"/>
              <w:spacing w:before="20" w:after="20" w:line="240" w:lineRule="auto"/>
              <w:ind w:firstLine="0"/>
              <w:jc w:val="left"/>
            </w:pPr>
            <w:r>
              <w:rPr>
                <w:rFonts w:ascii="Times New Roman" w:hAnsi="Times New Roman"/>
                <w:sz w:val="17"/>
              </w:rPr>
              <w:t xml:space="preserve">1.35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+0.062 [+0.053, +0.070]*</w:t>
            </w:r>
          </w:p>
        </w:tc>
        <w:tc>
          <w:tcPr/>
          <w:p>
            <w:pPr>
              <w:pStyle w:val="Compact"/>
              <w:spacing w:before="20" w:after="20" w:line="240" w:lineRule="auto"/>
              <w:ind w:firstLine="0"/>
              <w:jc w:val="left"/>
            </w:pPr>
            <w:r>
              <w:rPr>
                <w:rFonts w:ascii="Times New Roman" w:hAnsi="Times New Roman"/>
                <w:sz w:val="17"/>
              </w:rPr>
              <w:t xml:space="preserve">+0.054 [+0.046, +0.063]*</w:t>
            </w:r>
          </w:p>
        </w:tc>
        <w:tc>
          <w:tcPr/>
          <w:p>
            <w:pPr>
              <w:pStyle w:val="Compact"/>
              <w:spacing w:before="20" w:after="20" w:line="240" w:lineRule="auto"/>
              <w:ind w:firstLine="0"/>
              <w:jc w:val="left"/>
            </w:pPr>
            <w:r>
              <w:rPr>
                <w:rFonts w:ascii="Times New Roman" w:hAnsi="Times New Roman"/>
                <w:sz w:val="17"/>
              </w:rPr>
              <w:t xml:space="preserve">+0.008 [-0.007, +0.021]*</w:t>
            </w:r>
          </w:p>
        </w:tc>
        <w:tc>
          <w:tcPr/>
          <w:p>
            <w:pPr>
              <w:pStyle w:val="Compact"/>
              <w:spacing w:before="20" w:after="20" w:line="240" w:lineRule="auto"/>
              <w:ind w:firstLine="0"/>
              <w:jc w:val="left"/>
            </w:pPr>
            <w:r>
              <w:rPr>
                <w:rFonts w:ascii="Times New Roman" w:hAnsi="Times New Roman"/>
                <w:sz w:val="17"/>
              </w:rPr>
              <w:t xml:space="preserve">1.62*</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0.235</w:t>
            </w:r>
          </w:p>
        </w:tc>
        <w:tc>
          <w:tcPr/>
          <w:p>
            <w:pPr>
              <w:pStyle w:val="Compact"/>
              <w:spacing w:before="20" w:after="20" w:line="240" w:lineRule="auto"/>
              <w:ind w:firstLine="0"/>
              <w:jc w:val="left"/>
            </w:pPr>
            <w:r>
              <w:rPr>
                <w:rFonts w:ascii="Times New Roman" w:hAnsi="Times New Roman"/>
                <w:sz w:val="17"/>
              </w:rPr>
              <w:t xml:space="preserve">+0.080 [+0.058, +0.100]</w:t>
            </w:r>
          </w:p>
        </w:tc>
        <w:tc>
          <w:tcPr/>
          <w:p>
            <w:pPr>
              <w:pStyle w:val="Compact"/>
              <w:spacing w:before="20" w:after="20" w:line="240" w:lineRule="auto"/>
              <w:ind w:firstLine="0"/>
              <w:jc w:val="left"/>
            </w:pPr>
            <w:r>
              <w:rPr>
                <w:rFonts w:ascii="Times New Roman" w:hAnsi="Times New Roman"/>
                <w:sz w:val="17"/>
              </w:rPr>
              <w:t xml:space="preserve">+0.075 [+0.053, +0.095]*</w:t>
            </w:r>
          </w:p>
        </w:tc>
        <w:tc>
          <w:tcPr/>
          <w:p>
            <w:pPr>
              <w:pStyle w:val="Compact"/>
              <w:spacing w:before="20" w:after="20" w:line="240" w:lineRule="auto"/>
              <w:ind w:firstLine="0"/>
              <w:jc w:val="left"/>
            </w:pPr>
            <w:r>
              <w:rPr>
                <w:rFonts w:ascii="Times New Roman" w:hAnsi="Times New Roman"/>
                <w:sz w:val="17"/>
              </w:rPr>
              <w:t xml:space="preserve">+0.005 [-0.033, +0.043]</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1.32*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+0.038 [+0.029, +0.049]*</w:t>
            </w:r>
          </w:p>
        </w:tc>
        <w:tc>
          <w:tcPr/>
          <w:p>
            <w:pPr>
              <w:pStyle w:val="Compact"/>
              <w:spacing w:before="20" w:after="20" w:line="240" w:lineRule="auto"/>
              <w:ind w:firstLine="0"/>
              <w:jc w:val="left"/>
            </w:pPr>
            <w:r>
              <w:rPr>
                <w:rFonts w:ascii="Times New Roman" w:hAnsi="Times New Roman"/>
                <w:sz w:val="17"/>
              </w:rPr>
              <w:t xml:space="preserve">+0.030 [+0.021, +0.040]*</w:t>
            </w:r>
          </w:p>
        </w:tc>
        <w:tc>
          <w:tcPr/>
          <w:p>
            <w:pPr>
              <w:pStyle w:val="Compact"/>
              <w:spacing w:before="20" w:after="20" w:line="240" w:lineRule="auto"/>
              <w:ind w:firstLine="0"/>
              <w:jc w:val="left"/>
            </w:pPr>
            <w:r>
              <w:rPr>
                <w:rFonts w:ascii="Times New Roman" w:hAnsi="Times New Roman"/>
                <w:sz w:val="17"/>
              </w:rPr>
              <w:t xml:space="preserve">+0.008 [-0.008, +0.024]*</w:t>
            </w:r>
          </w:p>
        </w:tc>
        <w:tc>
          <w:tcPr/>
          <w:p>
            <w:pPr>
              <w:pStyle w:val="Compact"/>
              <w:spacing w:before="20" w:after="20" w:line="240" w:lineRule="auto"/>
              <w:ind w:firstLine="0"/>
              <w:jc w:val="left"/>
            </w:pPr>
            <w:r>
              <w:rPr>
                <w:rFonts w:ascii="Times New Roman" w:hAnsi="Times New Roman"/>
                <w:sz w:val="17"/>
              </w:rPr>
              <w:t xml:space="preserve">1.38*</w:t>
            </w:r>
          </w:p>
        </w:tc>
        <w:tc>
          <w:tcPr/>
          <w:p>
            <w:pPr>
              <w:pStyle w:val="Compact"/>
              <w:spacing w:before="20" w:after="20" w:line="240" w:lineRule="auto"/>
              <w:ind w:firstLine="0"/>
              <w:jc w:val="left"/>
            </w:pPr>
            <w:r>
              <w:rPr>
                <w:rFonts w:ascii="Times New Roman" w:hAnsi="Times New Roman"/>
                <w:sz w:val="17"/>
              </w:rPr>
              <w:t xml:space="preserve">1.30*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0.155</w:t>
            </w:r>
          </w:p>
        </w:tc>
        <w:tc>
          <w:tcPr/>
          <w:p>
            <w:pPr>
              <w:pStyle w:val="Compact"/>
              <w:spacing w:before="20" w:after="20" w:line="240" w:lineRule="auto"/>
              <w:ind w:firstLine="0"/>
              <w:jc w:val="left"/>
            </w:pPr>
            <w:r>
              <w:rPr>
                <w:rFonts w:ascii="Times New Roman" w:hAnsi="Times New Roman"/>
                <w:sz w:val="17"/>
              </w:rPr>
              <w:t xml:space="preserve">+0.169 [+0.155, +0.184]*</w:t>
            </w:r>
          </w:p>
        </w:tc>
        <w:tc>
          <w:tcPr/>
          <w:p>
            <w:pPr>
              <w:pStyle w:val="Compact"/>
              <w:spacing w:before="20" w:after="20" w:line="240" w:lineRule="auto"/>
              <w:ind w:firstLine="0"/>
              <w:jc w:val="left"/>
            </w:pPr>
            <w:r>
              <w:rPr>
                <w:rFonts w:ascii="Times New Roman" w:hAnsi="Times New Roman"/>
                <w:sz w:val="17"/>
              </w:rPr>
              <w:t xml:space="preserve">+0.201 [+0.187, +0.214]*</w:t>
            </w:r>
          </w:p>
        </w:tc>
        <w:tc>
          <w:tcPr/>
          <w:p>
            <w:pPr>
              <w:pStyle w:val="Compact"/>
              <w:spacing w:before="20" w:after="20" w:line="240" w:lineRule="auto"/>
              <w:ind w:firstLine="0"/>
              <w:jc w:val="left"/>
            </w:pPr>
            <w:r>
              <w:rPr>
                <w:rFonts w:ascii="Times New Roman" w:hAnsi="Times New Roman"/>
                <w:sz w:val="17"/>
              </w:rPr>
              <w:t xml:space="preserve">-0.032 [-0.056, -0.005]*</w:t>
            </w:r>
          </w:p>
        </w:tc>
        <w:tc>
          <w:tcPr/>
          <w:p>
            <w:pPr>
              <w:pStyle w:val="Compact"/>
              <w:spacing w:before="20" w:after="20" w:line="240" w:lineRule="auto"/>
              <w:ind w:firstLine="0"/>
              <w:jc w:val="left"/>
            </w:pPr>
            <w:r>
              <w:rPr>
                <w:rFonts w:ascii="Times New Roman" w:hAnsi="Times New Roman"/>
                <w:sz w:val="17"/>
              </w:rPr>
              <w:t xml:space="preserve">2.09</w:t>
            </w:r>
          </w:p>
        </w:tc>
        <w:tc>
          <w:tcPr/>
          <w:p>
            <w:pPr>
              <w:pStyle w:val="Compact"/>
              <w:spacing w:before="20" w:after="20" w:line="240" w:lineRule="auto"/>
              <w:ind w:firstLine="0"/>
              <w:jc w:val="left"/>
            </w:pPr>
            <w:r>
              <w:rPr>
                <w:rFonts w:ascii="Times New Roman" w:hAnsi="Times New Roman"/>
                <w:sz w:val="17"/>
              </w:rPr>
              <w:t xml:space="preserve">2.30*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0.064</w:t>
            </w:r>
          </w:p>
        </w:tc>
        <w:tc>
          <w:tcPr/>
          <w:p>
            <w:pPr>
              <w:pStyle w:val="Compact"/>
              <w:spacing w:before="20" w:after="20" w:line="240" w:lineRule="auto"/>
              <w:ind w:firstLine="0"/>
              <w:jc w:val="left"/>
            </w:pPr>
            <w:r>
              <w:rPr>
                <w:rFonts w:ascii="Times New Roman" w:hAnsi="Times New Roman"/>
                <w:sz w:val="17"/>
              </w:rPr>
              <w:t xml:space="preserve">+0.026 [+0.021, +0.030]*</w:t>
            </w:r>
          </w:p>
        </w:tc>
        <w:tc>
          <w:tcPr/>
          <w:p>
            <w:pPr>
              <w:pStyle w:val="Compact"/>
              <w:spacing w:before="20" w:after="20" w:line="240" w:lineRule="auto"/>
              <w:ind w:firstLine="0"/>
              <w:jc w:val="left"/>
            </w:pPr>
            <w:r>
              <w:rPr>
                <w:rFonts w:ascii="Times New Roman" w:hAnsi="Times New Roman"/>
                <w:sz w:val="17"/>
              </w:rPr>
              <w:t xml:space="preserve">+0.048 [+0.044, +0.053]*</w:t>
            </w:r>
          </w:p>
        </w:tc>
        <w:tc>
          <w:tcPr/>
          <w:p>
            <w:pPr>
              <w:pStyle w:val="Compact"/>
              <w:spacing w:before="20" w:after="20" w:line="240" w:lineRule="auto"/>
              <w:ind w:firstLine="0"/>
              <w:jc w:val="left"/>
            </w:pPr>
            <w:r>
              <w:rPr>
                <w:rFonts w:ascii="Times New Roman" w:hAnsi="Times New Roman"/>
                <w:sz w:val="17"/>
              </w:rPr>
              <w:t xml:space="preserve">-0.023 [-0.029, -0.018]*</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1.75*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0.087</w:t>
            </w:r>
          </w:p>
        </w:tc>
        <w:tc>
          <w:tcPr/>
          <w:p>
            <w:pPr>
              <w:pStyle w:val="Compact"/>
              <w:spacing w:before="20" w:after="20" w:line="240" w:lineRule="auto"/>
              <w:ind w:firstLine="0"/>
              <w:jc w:val="left"/>
            </w:pPr>
            <w:r>
              <w:rPr>
                <w:rFonts w:ascii="Times New Roman" w:hAnsi="Times New Roman"/>
                <w:sz w:val="17"/>
              </w:rPr>
              <w:t xml:space="preserve">+0.154 [+0.141, +0.168]*</w:t>
            </w:r>
          </w:p>
        </w:tc>
        <w:tc>
          <w:tcPr/>
          <w:p>
            <w:pPr>
              <w:pStyle w:val="Compact"/>
              <w:spacing w:before="20" w:after="20" w:line="240" w:lineRule="auto"/>
              <w:ind w:firstLine="0"/>
              <w:jc w:val="left"/>
            </w:pPr>
            <w:r>
              <w:rPr>
                <w:rFonts w:ascii="Times New Roman" w:hAnsi="Times New Roman"/>
                <w:sz w:val="17"/>
              </w:rPr>
              <w:t xml:space="preserve">+0.167 [+0.153, +0.182]*</w:t>
            </w:r>
          </w:p>
        </w:tc>
        <w:tc>
          <w:tcPr/>
          <w:p>
            <w:pPr>
              <w:pStyle w:val="Compact"/>
              <w:spacing w:before="20" w:after="20" w:line="240" w:lineRule="auto"/>
              <w:ind w:firstLine="0"/>
              <w:jc w:val="left"/>
            </w:pPr>
            <w:r>
              <w:rPr>
                <w:rFonts w:ascii="Times New Roman" w:hAnsi="Times New Roman"/>
                <w:sz w:val="17"/>
              </w:rPr>
              <w:t xml:space="preserve">-0.013 [-0.039, +0.011]</w:t>
            </w:r>
          </w:p>
        </w:tc>
        <w:tc>
          <w:tcPr/>
          <w:p>
            <w:pPr>
              <w:pStyle w:val="Compact"/>
              <w:spacing w:before="20" w:after="20" w:line="240" w:lineRule="auto"/>
              <w:ind w:firstLine="0"/>
              <w:jc w:val="left"/>
            </w:pPr>
            <w:r>
              <w:rPr>
                <w:rFonts w:ascii="Times New Roman" w:hAnsi="Times New Roman"/>
                <w:sz w:val="17"/>
              </w:rPr>
              <w:t xml:space="preserve">2.78*</w:t>
            </w:r>
          </w:p>
        </w:tc>
        <w:tc>
          <w:tcPr/>
          <w:p>
            <w:pPr>
              <w:pStyle w:val="Compact"/>
              <w:spacing w:before="20" w:after="20" w:line="240" w:lineRule="auto"/>
              <w:ind w:firstLine="0"/>
              <w:jc w:val="left"/>
            </w:pPr>
            <w:r>
              <w:rPr>
                <w:rFonts w:ascii="Times New Roman" w:hAnsi="Times New Roman"/>
                <w:sz w:val="17"/>
              </w:rPr>
              <w:t xml:space="preserve">2.93*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0.004</w:t>
            </w:r>
          </w:p>
        </w:tc>
        <w:tc>
          <w:tcPr/>
          <w:p>
            <w:pPr>
              <w:pStyle w:val="Compact"/>
              <w:spacing w:before="20" w:after="20" w:line="240" w:lineRule="auto"/>
              <w:ind w:firstLine="0"/>
              <w:jc w:val="left"/>
            </w:pPr>
            <w:r>
              <w:rPr>
                <w:rFonts w:ascii="Times New Roman" w:hAnsi="Times New Roman"/>
                <w:sz w:val="17"/>
              </w:rPr>
              <w:t xml:space="preserve">+0.149 [+0.137, +0.162]*</w:t>
            </w:r>
          </w:p>
        </w:tc>
        <w:tc>
          <w:tcPr/>
          <w:p>
            <w:pPr>
              <w:pStyle w:val="Compact"/>
              <w:spacing w:before="20" w:after="20" w:line="240" w:lineRule="auto"/>
              <w:ind w:firstLine="0"/>
              <w:jc w:val="left"/>
            </w:pPr>
            <w:r>
              <w:rPr>
                <w:rFonts w:ascii="Times New Roman" w:hAnsi="Times New Roman"/>
                <w:sz w:val="17"/>
              </w:rPr>
              <w:t xml:space="preserve">+0.161 [+0.148, +0.175]*</w:t>
            </w:r>
          </w:p>
        </w:tc>
        <w:tc>
          <w:tcPr/>
          <w:p>
            <w:pPr>
              <w:pStyle w:val="Compact"/>
              <w:spacing w:before="20" w:after="20" w:line="240" w:lineRule="auto"/>
              <w:ind w:firstLine="0"/>
              <w:jc w:val="left"/>
            </w:pPr>
            <w:r>
              <w:rPr>
                <w:rFonts w:ascii="Times New Roman" w:hAnsi="Times New Roman"/>
                <w:sz w:val="17"/>
              </w:rPr>
              <w:t xml:space="preserve">-0.012 [-0.034, +0.011]</w:t>
            </w:r>
          </w:p>
        </w:tc>
        <w:tc>
          <w:tcPr/>
          <w:p>
            <w:pPr>
              <w:pStyle w:val="Compact"/>
              <w:spacing w:before="20" w:after="20" w:line="240" w:lineRule="auto"/>
              <w:ind w:firstLine="0"/>
              <w:jc w:val="left"/>
            </w:pPr>
            <w:r>
              <w:rPr>
                <w:rFonts w:ascii="Times New Roman" w:hAnsi="Times New Roman"/>
                <w:sz w:val="17"/>
              </w:rPr>
              <w:t xml:space="preserve">43.83*</w:t>
            </w:r>
          </w:p>
        </w:tc>
        <w:tc>
          <w:tcPr/>
          <w:p>
            <w:pPr>
              <w:pStyle w:val="Compact"/>
              <w:spacing w:before="20" w:after="20" w:line="240" w:lineRule="auto"/>
              <w:ind w:firstLine="0"/>
              <w:jc w:val="left"/>
            </w:pPr>
            <w:r>
              <w:rPr>
                <w:rFonts w:ascii="Times New Roman" w:hAnsi="Times New Roman"/>
                <w:sz w:val="17"/>
              </w:rPr>
              <w:t xml:space="preserve">47.87*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0.096</w:t>
            </w:r>
          </w:p>
        </w:tc>
        <w:tc>
          <w:tcPr/>
          <w:p>
            <w:pPr>
              <w:pStyle w:val="Compact"/>
              <w:spacing w:before="20" w:after="20" w:line="240" w:lineRule="auto"/>
              <w:ind w:firstLine="0"/>
              <w:jc w:val="left"/>
            </w:pPr>
            <w:r>
              <w:rPr>
                <w:rFonts w:ascii="Times New Roman" w:hAnsi="Times New Roman"/>
                <w:sz w:val="17"/>
              </w:rPr>
              <w:t xml:space="preserve">+0.047 [+0.041, +0.053]*</w:t>
            </w:r>
          </w:p>
        </w:tc>
        <w:tc>
          <w:tcPr/>
          <w:p>
            <w:pPr>
              <w:pStyle w:val="Compact"/>
              <w:spacing w:before="20" w:after="20" w:line="240" w:lineRule="auto"/>
              <w:ind w:firstLine="0"/>
              <w:jc w:val="left"/>
            </w:pPr>
            <w:r>
              <w:rPr>
                <w:rFonts w:ascii="Times New Roman" w:hAnsi="Times New Roman"/>
                <w:sz w:val="17"/>
              </w:rPr>
              <w:t xml:space="preserve">+0.054 [+0.049, +0.060]*</w:t>
            </w:r>
          </w:p>
        </w:tc>
        <w:tc>
          <w:tcPr/>
          <w:p>
            <w:pPr>
              <w:pStyle w:val="Compact"/>
              <w:spacing w:before="20" w:after="20" w:line="240" w:lineRule="auto"/>
              <w:ind w:firstLine="0"/>
              <w:jc w:val="left"/>
            </w:pPr>
            <w:r>
              <w:rPr>
                <w:rFonts w:ascii="Times New Roman" w:hAnsi="Times New Roman"/>
                <w:sz w:val="17"/>
              </w:rPr>
              <w:t xml:space="preserve">-0.008 [-0.017, +0.002]*</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+0.110 [+0.104, +0.116]*</w:t>
            </w:r>
          </w:p>
        </w:tc>
        <w:tc>
          <w:tcPr/>
          <w:p>
            <w:pPr>
              <w:pStyle w:val="Compact"/>
              <w:spacing w:before="20" w:after="20" w:line="240" w:lineRule="auto"/>
              <w:ind w:firstLine="0"/>
              <w:jc w:val="left"/>
            </w:pPr>
            <w:r>
              <w:rPr>
                <w:rFonts w:ascii="Times New Roman" w:hAnsi="Times New Roman"/>
                <w:sz w:val="17"/>
              </w:rPr>
              <w:t xml:space="preserve">+0.120 [+0.113, +0.126]*</w:t>
            </w:r>
          </w:p>
        </w:tc>
        <w:tc>
          <w:tcPr/>
          <w:p>
            <w:pPr>
              <w:pStyle w:val="Compact"/>
              <w:spacing w:before="20" w:after="20" w:line="240" w:lineRule="auto"/>
              <w:ind w:firstLine="0"/>
              <w:jc w:val="left"/>
            </w:pPr>
            <w:r>
              <w:rPr>
                <w:rFonts w:ascii="Times New Roman" w:hAnsi="Times New Roman"/>
                <w:sz w:val="17"/>
              </w:rPr>
              <w:t xml:space="preserve">-0.010 [-0.019, -0.000]*</w:t>
            </w:r>
          </w:p>
        </w:tc>
        <w:tc>
          <w:tcPr/>
          <w:p>
            <w:pPr>
              <w:pStyle w:val="Compact"/>
              <w:spacing w:before="20" w:after="20" w:line="240" w:lineRule="auto"/>
              <w:ind w:firstLine="0"/>
              <w:jc w:val="left"/>
            </w:pPr>
            <w:r>
              <w:rPr>
                <w:rFonts w:ascii="Times New Roman" w:hAnsi="Times New Roman"/>
                <w:sz w:val="17"/>
              </w:rPr>
              <w:t xml:space="preserve">15.80*</w:t>
            </w:r>
          </w:p>
        </w:tc>
        <w:tc>
          <w:tcPr/>
          <w:p>
            <w:pPr>
              <w:pStyle w:val="Compact"/>
              <w:spacing w:before="20" w:after="20" w:line="240" w:lineRule="auto"/>
              <w:ind w:firstLine="0"/>
              <w:jc w:val="left"/>
            </w:pPr>
            <w:r>
              <w:rPr>
                <w:rFonts w:ascii="Times New Roman" w:hAnsi="Times New Roman"/>
                <w:sz w:val="17"/>
              </w:rPr>
              <w:t xml:space="preserve">17.02*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0.094</w:t>
            </w:r>
          </w:p>
        </w:tc>
        <w:tc>
          <w:tcPr/>
          <w:p>
            <w:pPr>
              <w:pStyle w:val="Compact"/>
              <w:spacing w:before="20" w:after="20" w:line="240" w:lineRule="auto"/>
              <w:ind w:firstLine="0"/>
              <w:jc w:val="left"/>
            </w:pPr>
            <w:r>
              <w:rPr>
                <w:rFonts w:ascii="Times New Roman" w:hAnsi="Times New Roman"/>
                <w:sz w:val="17"/>
              </w:rPr>
              <w:t xml:space="preserve">+0.050 [+0.040, +0.060]*</w:t>
            </w:r>
          </w:p>
        </w:tc>
        <w:tc>
          <w:tcPr/>
          <w:p>
            <w:pPr>
              <w:pStyle w:val="Compact"/>
              <w:spacing w:before="20" w:after="20" w:line="240" w:lineRule="auto"/>
              <w:ind w:firstLine="0"/>
              <w:jc w:val="left"/>
            </w:pPr>
            <w:r>
              <w:rPr>
                <w:rFonts w:ascii="Times New Roman" w:hAnsi="Times New Roman"/>
                <w:sz w:val="17"/>
              </w:rPr>
              <w:t xml:space="preserve">+0.054 [+0.045, +0.063]*</w:t>
            </w:r>
          </w:p>
        </w:tc>
        <w:tc>
          <w:tcPr/>
          <w:p>
            <w:pPr>
              <w:pStyle w:val="Compact"/>
              <w:spacing w:before="20" w:after="20" w:line="240" w:lineRule="auto"/>
              <w:ind w:firstLine="0"/>
              <w:jc w:val="left"/>
            </w:pPr>
            <w:r>
              <w:rPr>
                <w:rFonts w:ascii="Times New Roman" w:hAnsi="Times New Roman"/>
                <w:sz w:val="17"/>
              </w:rPr>
              <w:t xml:space="preserve">-0.004 [-0.020, +0.012]</w:t>
            </w:r>
          </w:p>
        </w:tc>
        <w:tc>
          <w:tcPr/>
          <w:p>
            <w:pPr>
              <w:pStyle w:val="Compact"/>
              <w:spacing w:before="20" w:after="20" w:line="240" w:lineRule="auto"/>
              <w:ind w:firstLine="0"/>
              <w:jc w:val="left"/>
            </w:pPr>
            <w:r>
              <w:rPr>
                <w:rFonts w:ascii="Times New Roman" w:hAnsi="Times New Roman"/>
                <w:sz w:val="17"/>
              </w:rPr>
              <w:t xml:space="preserve">1.53*</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0.046</w:t>
            </w:r>
          </w:p>
        </w:tc>
        <w:tc>
          <w:tcPr/>
          <w:p>
            <w:pPr>
              <w:pStyle w:val="Compact"/>
              <w:spacing w:before="20" w:after="20" w:line="240" w:lineRule="auto"/>
              <w:ind w:firstLine="0"/>
              <w:jc w:val="left"/>
            </w:pPr>
            <w:r>
              <w:rPr>
                <w:rFonts w:ascii="Times New Roman" w:hAnsi="Times New Roman"/>
                <w:sz w:val="17"/>
              </w:rPr>
              <w:t xml:space="preserve">+0.004 [-0.002, +0.010]</w:t>
            </w:r>
          </w:p>
        </w:tc>
        <w:tc>
          <w:tcPr/>
          <w:p>
            <w:pPr>
              <w:pStyle w:val="Compact"/>
              <w:spacing w:before="20" w:after="20" w:line="240" w:lineRule="auto"/>
              <w:ind w:firstLine="0"/>
              <w:jc w:val="left"/>
            </w:pPr>
            <w:r>
              <w:rPr>
                <w:rFonts w:ascii="Times New Roman" w:hAnsi="Times New Roman"/>
                <w:sz w:val="17"/>
              </w:rPr>
              <w:t xml:space="preserve">+0.006 [-0.001, +0.013]</w:t>
            </w:r>
          </w:p>
        </w:tc>
        <w:tc>
          <w:tcPr/>
          <w:p>
            <w:pPr>
              <w:pStyle w:val="Compact"/>
              <w:spacing w:before="20" w:after="20" w:line="240" w:lineRule="auto"/>
              <w:ind w:firstLine="0"/>
              <w:jc w:val="left"/>
            </w:pPr>
            <w:r>
              <w:rPr>
                <w:rFonts w:ascii="Times New Roman" w:hAnsi="Times New Roman"/>
                <w:sz w:val="17"/>
              </w:rPr>
              <w:t xml:space="preserve">-0.002 [-0.011, +0.007]</w:t>
            </w:r>
          </w:p>
        </w:tc>
        <w:tc>
          <w:tcPr/>
          <w:p>
            <w:pPr>
              <w:pStyle w:val="Compact"/>
              <w:spacing w:before="20" w:after="20" w:line="240" w:lineRule="auto"/>
              <w:ind w:firstLine="0"/>
              <w:jc w:val="left"/>
            </w:pPr>
            <w:r>
              <w:rPr>
                <w:rFonts w:ascii="Times New Roman" w:hAnsi="Times New Roman"/>
                <w:sz w:val="17"/>
              </w:rPr>
              <w:t xml:space="preserve">1.09*</w:t>
            </w:r>
          </w:p>
        </w:tc>
        <w:tc>
          <w:tcPr/>
          <w:p>
            <w:pPr>
              <w:pStyle w:val="Compact"/>
              <w:spacing w:before="20" w:after="20" w:line="240" w:lineRule="auto"/>
              <w:ind w:firstLine="0"/>
              <w:jc w:val="left"/>
            </w:pPr>
            <w:r>
              <w:rPr>
                <w:rFonts w:ascii="Times New Roman" w:hAnsi="Times New Roman"/>
                <w:sz w:val="17"/>
              </w:rPr>
              <w:t xml:space="preserve">1.14*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0.073</w:t>
            </w:r>
          </w:p>
        </w:tc>
        <w:tc>
          <w:tcPr/>
          <w:p>
            <w:pPr>
              <w:pStyle w:val="Compact"/>
              <w:spacing w:before="20" w:after="20" w:line="240" w:lineRule="auto"/>
              <w:ind w:firstLine="0"/>
              <w:jc w:val="left"/>
            </w:pPr>
            <w:r>
              <w:rPr>
                <w:rFonts w:ascii="Times New Roman" w:hAnsi="Times New Roman"/>
                <w:sz w:val="17"/>
              </w:rPr>
              <w:t xml:space="preserve">+0.115 [+0.103, +0.128]*</w:t>
            </w:r>
          </w:p>
        </w:tc>
        <w:tc>
          <w:tcPr/>
          <w:p>
            <w:pPr>
              <w:pStyle w:val="Compact"/>
              <w:spacing w:before="20" w:after="20" w:line="240" w:lineRule="auto"/>
              <w:ind w:firstLine="0"/>
              <w:jc w:val="left"/>
            </w:pPr>
            <w:r>
              <w:rPr>
                <w:rFonts w:ascii="Times New Roman" w:hAnsi="Times New Roman"/>
                <w:sz w:val="17"/>
              </w:rPr>
              <w:t xml:space="preserve">+0.106 [+0.095, +0.117]*</w:t>
            </w:r>
          </w:p>
        </w:tc>
        <w:tc>
          <w:tcPr/>
          <w:p>
            <w:pPr>
              <w:pStyle w:val="Compact"/>
              <w:spacing w:before="20" w:after="20" w:line="240" w:lineRule="auto"/>
              <w:ind w:firstLine="0"/>
              <w:jc w:val="left"/>
            </w:pPr>
            <w:r>
              <w:rPr>
                <w:rFonts w:ascii="Times New Roman" w:hAnsi="Times New Roman"/>
                <w:sz w:val="17"/>
              </w:rPr>
              <w:t xml:space="preserve">+0.009 [-0.010, +0.027]</w:t>
            </w:r>
          </w:p>
        </w:tc>
        <w:tc>
          <w:tcPr/>
          <w:p>
            <w:pPr>
              <w:pStyle w:val="Compact"/>
              <w:spacing w:before="20" w:after="20" w:line="240" w:lineRule="auto"/>
              <w:ind w:firstLine="0"/>
              <w:jc w:val="left"/>
            </w:pPr>
            <w:r>
              <w:rPr>
                <w:rFonts w:ascii="Times New Roman" w:hAnsi="Times New Roman"/>
                <w:sz w:val="17"/>
              </w:rPr>
              <w:t xml:space="preserve">2.58*</w:t>
            </w:r>
          </w:p>
        </w:tc>
        <w:tc>
          <w:tcPr/>
          <w:p>
            <w:pPr>
              <w:pStyle w:val="Compact"/>
              <w:spacing w:before="20" w:after="20" w:line="240" w:lineRule="auto"/>
              <w:ind w:firstLine="0"/>
              <w:jc w:val="left"/>
            </w:pPr>
            <w:r>
              <w:rPr>
                <w:rFonts w:ascii="Times New Roman" w:hAnsi="Times New Roman"/>
                <w:sz w:val="17"/>
              </w:rPr>
              <w:t xml:space="preserve">2.45*</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+0.017 [+0.013, +0.020]*</w:t>
            </w:r>
          </w:p>
        </w:tc>
        <w:tc>
          <w:tcPr/>
          <w:p>
            <w:pPr>
              <w:pStyle w:val="Compact"/>
              <w:spacing w:before="20" w:after="20" w:line="240" w:lineRule="auto"/>
              <w:ind w:firstLine="0"/>
              <w:jc w:val="left"/>
            </w:pPr>
            <w:r>
              <w:rPr>
                <w:rFonts w:ascii="Times New Roman" w:hAnsi="Times New Roman"/>
                <w:sz w:val="17"/>
              </w:rPr>
              <w:t xml:space="preserve">+0.016 [+0.013, +0.019]*</w:t>
            </w:r>
          </w:p>
        </w:tc>
        <w:tc>
          <w:tcPr/>
          <w:p>
            <w:pPr>
              <w:pStyle w:val="Compact"/>
              <w:spacing w:before="20" w:after="20" w:line="240" w:lineRule="auto"/>
              <w:ind w:firstLine="0"/>
              <w:jc w:val="left"/>
            </w:pPr>
            <w:r>
              <w:rPr>
                <w:rFonts w:ascii="Times New Roman" w:hAnsi="Times New Roman"/>
                <w:sz w:val="17"/>
              </w:rPr>
              <w:t xml:space="preserve">+0.001 [-0.005, +0.006]</w:t>
            </w:r>
          </w:p>
        </w:tc>
        <w:tc>
          <w:tcPr/>
          <w:p>
            <w:pPr>
              <w:pStyle w:val="Compact"/>
              <w:spacing w:before="20" w:after="20" w:line="240" w:lineRule="auto"/>
              <w:ind w:firstLine="0"/>
              <w:jc w:val="left"/>
            </w:pPr>
            <w:r>
              <w:rPr>
                <w:rFonts w:ascii="Times New Roman" w:hAnsi="Times New Roman"/>
                <w:sz w:val="17"/>
              </w:rPr>
              <w:t xml:space="preserve">3.15*</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0.103</w:t>
            </w:r>
          </w:p>
        </w:tc>
        <w:tc>
          <w:tcPr/>
          <w:p>
            <w:pPr>
              <w:pStyle w:val="Compact"/>
              <w:spacing w:before="20" w:after="20" w:line="240" w:lineRule="auto"/>
              <w:ind w:firstLine="0"/>
              <w:jc w:val="left"/>
            </w:pPr>
            <w:r>
              <w:rPr>
                <w:rFonts w:ascii="Times New Roman" w:hAnsi="Times New Roman"/>
                <w:sz w:val="17"/>
              </w:rPr>
              <w:t xml:space="preserve">+0.028 [+0.010, +0.045]*</w:t>
            </w:r>
          </w:p>
        </w:tc>
        <w:tc>
          <w:tcPr/>
          <w:p>
            <w:pPr>
              <w:pStyle w:val="Compact"/>
              <w:spacing w:before="20" w:after="20" w:line="240" w:lineRule="auto"/>
              <w:ind w:firstLine="0"/>
              <w:jc w:val="left"/>
            </w:pPr>
            <w:r>
              <w:rPr>
                <w:rFonts w:ascii="Times New Roman" w:hAnsi="Times New Roman"/>
                <w:sz w:val="17"/>
              </w:rPr>
              <w:t xml:space="preserve">+0.025 [+0.009, +0.042]*</w:t>
            </w:r>
          </w:p>
        </w:tc>
        <w:tc>
          <w:tcPr/>
          <w:p>
            <w:pPr>
              <w:pStyle w:val="Compact"/>
              <w:spacing w:before="20" w:after="20" w:line="240" w:lineRule="auto"/>
              <w:ind w:firstLine="0"/>
              <w:jc w:val="left"/>
            </w:pPr>
            <w:r>
              <w:rPr>
                <w:rFonts w:ascii="Times New Roman" w:hAnsi="Times New Roman"/>
                <w:sz w:val="17"/>
              </w:rPr>
              <w:t xml:space="preserve">+0.003 [-0.016, +0.020]</w:t>
            </w:r>
          </w:p>
        </w:tc>
        <w:tc>
          <w:tcPr/>
          <w:p>
            <w:pPr>
              <w:pStyle w:val="Compact"/>
              <w:spacing w:before="20" w:after="20" w:line="240" w:lineRule="auto"/>
              <w:ind w:firstLine="0"/>
              <w:jc w:val="left"/>
            </w:pPr>
            <w:r>
              <w:rPr>
                <w:rFonts w:ascii="Times New Roman" w:hAnsi="Times New Roman"/>
                <w:sz w:val="17"/>
              </w:rPr>
              <w:t xml:space="preserve">1.27*</w:t>
            </w:r>
          </w:p>
        </w:tc>
        <w:tc>
          <w:tcPr/>
          <w:p>
            <w:pPr>
              <w:pStyle w:val="Compact"/>
              <w:spacing w:before="20" w:after="20" w:line="240" w:lineRule="auto"/>
              <w:ind w:firstLine="0"/>
              <w:jc w:val="left"/>
            </w:pPr>
            <w:r>
              <w:rPr>
                <w:rFonts w:ascii="Times New Roman" w:hAnsi="Times New Roman"/>
                <w:sz w:val="17"/>
              </w:rPr>
              <w:t xml:space="preserve">1.25*</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0.076</w:t>
            </w:r>
          </w:p>
        </w:tc>
        <w:tc>
          <w:tcPr/>
          <w:p>
            <w:pPr>
              <w:pStyle w:val="Compact"/>
              <w:spacing w:before="20" w:after="20" w:line="240" w:lineRule="auto"/>
              <w:ind w:firstLine="0"/>
              <w:jc w:val="left"/>
            </w:pPr>
            <w:r>
              <w:rPr>
                <w:rFonts w:ascii="Times New Roman" w:hAnsi="Times New Roman"/>
                <w:sz w:val="17"/>
              </w:rPr>
              <w:t xml:space="preserve">+0.128 [+0.108, +0.150]*</w:t>
            </w:r>
          </w:p>
        </w:tc>
        <w:tc>
          <w:tcPr/>
          <w:p>
            <w:pPr>
              <w:pStyle w:val="Compact"/>
              <w:spacing w:before="20" w:after="20" w:line="240" w:lineRule="auto"/>
              <w:ind w:firstLine="0"/>
              <w:jc w:val="left"/>
            </w:pPr>
            <w:r>
              <w:rPr>
                <w:rFonts w:ascii="Times New Roman" w:hAnsi="Times New Roman"/>
                <w:sz w:val="17"/>
              </w:rPr>
              <w:t xml:space="preserve">+0.105 [+0.088, +0.124]*</w:t>
            </w:r>
          </w:p>
        </w:tc>
        <w:tc>
          <w:tcPr/>
          <w:p>
            <w:pPr>
              <w:pStyle w:val="Compact"/>
              <w:spacing w:before="20" w:after="20" w:line="240" w:lineRule="auto"/>
              <w:ind w:firstLine="0"/>
              <w:jc w:val="left"/>
            </w:pPr>
            <w:r>
              <w:rPr>
                <w:rFonts w:ascii="Times New Roman" w:hAnsi="Times New Roman"/>
                <w:sz w:val="17"/>
              </w:rPr>
              <w:t xml:space="preserve">+0.023 [+0.000, +0.047]</w:t>
            </w:r>
          </w:p>
        </w:tc>
        <w:tc>
          <w:tcPr/>
          <w:p>
            <w:pPr>
              <w:pStyle w:val="Compact"/>
              <w:spacing w:before="20" w:after="20" w:line="240" w:lineRule="auto"/>
              <w:ind w:firstLine="0"/>
              <w:jc w:val="left"/>
            </w:pPr>
            <w:r>
              <w:rPr>
                <w:rFonts w:ascii="Times New Roman" w:hAnsi="Times New Roman"/>
                <w:sz w:val="17"/>
              </w:rPr>
              <w:t xml:space="preserve">2.68*</w:t>
            </w:r>
          </w:p>
        </w:tc>
        <w:tc>
          <w:tcPr/>
          <w:p>
            <w:pPr>
              <w:pStyle w:val="Compact"/>
              <w:spacing w:before="20" w:after="20" w:line="240" w:lineRule="auto"/>
              <w:ind w:firstLine="0"/>
              <w:jc w:val="left"/>
            </w:pPr>
            <w:r>
              <w:rPr>
                <w:rFonts w:ascii="Times New Roman" w:hAnsi="Times New Roman"/>
                <w:sz w:val="17"/>
              </w:rPr>
              <w:t xml:space="preserve">2.37*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0.072</w:t>
            </w:r>
          </w:p>
        </w:tc>
        <w:tc>
          <w:tcPr/>
          <w:p>
            <w:pPr>
              <w:pStyle w:val="Compact"/>
              <w:spacing w:before="20" w:after="20" w:line="240" w:lineRule="auto"/>
              <w:ind w:firstLine="0"/>
              <w:jc w:val="left"/>
            </w:pPr>
            <w:r>
              <w:rPr>
                <w:rFonts w:ascii="Times New Roman" w:hAnsi="Times New Roman"/>
                <w:sz w:val="17"/>
              </w:rPr>
              <w:t xml:space="preserve">+0.032 [+0.025, +0.039]*</w:t>
            </w:r>
          </w:p>
        </w:tc>
        <w:tc>
          <w:tcPr/>
          <w:p>
            <w:pPr>
              <w:pStyle w:val="Compact"/>
              <w:spacing w:before="20" w:after="20" w:line="240" w:lineRule="auto"/>
              <w:ind w:firstLine="0"/>
              <w:jc w:val="left"/>
            </w:pPr>
            <w:r>
              <w:rPr>
                <w:rFonts w:ascii="Times New Roman" w:hAnsi="Times New Roman"/>
                <w:sz w:val="17"/>
              </w:rPr>
              <w:t xml:space="preserve">+0.028 [+0.021, +0.035]*</w:t>
            </w:r>
          </w:p>
        </w:tc>
        <w:tc>
          <w:tcPr/>
          <w:p>
            <w:pPr>
              <w:pStyle w:val="Compact"/>
              <w:spacing w:before="20" w:after="20" w:line="240" w:lineRule="auto"/>
              <w:ind w:firstLine="0"/>
              <w:jc w:val="left"/>
            </w:pPr>
            <w:r>
              <w:rPr>
                <w:rFonts w:ascii="Times New Roman" w:hAnsi="Times New Roman"/>
                <w:sz w:val="17"/>
              </w:rPr>
              <w:t xml:space="preserve">+0.004 [-0.008, +0.016]</w:t>
            </w:r>
          </w:p>
        </w:tc>
        <w:tc>
          <w:tcPr/>
          <w:p>
            <w:pPr>
              <w:pStyle w:val="Compact"/>
              <w:spacing w:before="20" w:after="20" w:line="240" w:lineRule="auto"/>
              <w:ind w:firstLine="0"/>
              <w:jc w:val="left"/>
            </w:pPr>
            <w:r>
              <w:rPr>
                <w:rFonts w:ascii="Times New Roman" w:hAnsi="Times New Roman"/>
                <w:sz w:val="17"/>
              </w:rPr>
              <w:t xml:space="preserve">1.45*</w:t>
            </w:r>
          </w:p>
        </w:tc>
        <w:tc>
          <w:tcPr/>
          <w:p>
            <w:pPr>
              <w:pStyle w:val="Compact"/>
              <w:spacing w:before="20" w:after="20" w:line="240" w:lineRule="auto"/>
              <w:ind w:firstLine="0"/>
              <w:jc w:val="left"/>
            </w:pPr>
            <w:r>
              <w:rPr>
                <w:rFonts w:ascii="Times New Roman" w:hAnsi="Times New Roman"/>
                <w:sz w:val="17"/>
              </w:rPr>
              <w:t xml:space="preserve">1.39*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0.010</w:t>
            </w:r>
          </w:p>
        </w:tc>
        <w:tc>
          <w:tcPr/>
          <w:p>
            <w:pPr>
              <w:pStyle w:val="Compact"/>
              <w:spacing w:before="20" w:after="20" w:line="240" w:lineRule="auto"/>
              <w:ind w:firstLine="0"/>
              <w:jc w:val="left"/>
            </w:pPr>
            <w:r>
              <w:rPr>
                <w:rFonts w:ascii="Times New Roman" w:hAnsi="Times New Roman"/>
                <w:sz w:val="17"/>
              </w:rPr>
              <w:t xml:space="preserve">+0.015 [+0.013, +0.018]*</w:t>
            </w:r>
          </w:p>
        </w:tc>
        <w:tc>
          <w:tcPr/>
          <w:p>
            <w:pPr>
              <w:pStyle w:val="Compact"/>
              <w:spacing w:before="20" w:after="20" w:line="240" w:lineRule="auto"/>
              <w:ind w:firstLine="0"/>
              <w:jc w:val="left"/>
            </w:pPr>
            <w:r>
              <w:rPr>
                <w:rFonts w:ascii="Times New Roman" w:hAnsi="Times New Roman"/>
                <w:sz w:val="17"/>
              </w:rPr>
              <w:t xml:space="preserve">+0.011 [+0.009, +0.014]*</w:t>
            </w:r>
          </w:p>
        </w:tc>
        <w:tc>
          <w:tcPr/>
          <w:p>
            <w:pPr>
              <w:pStyle w:val="Compact"/>
              <w:spacing w:before="20" w:after="20" w:line="240" w:lineRule="auto"/>
              <w:ind w:firstLine="0"/>
              <w:jc w:val="left"/>
            </w:pPr>
            <w:r>
              <w:rPr>
                <w:rFonts w:ascii="Times New Roman" w:hAnsi="Times New Roman"/>
                <w:sz w:val="17"/>
              </w:rPr>
              <w:t xml:space="preserve">+0.004 [-0.001, +0.009]</w:t>
            </w:r>
          </w:p>
        </w:tc>
        <w:tc>
          <w:tcPr/>
          <w:p>
            <w:pPr>
              <w:pStyle w:val="Compact"/>
              <w:spacing w:before="20" w:after="20" w:line="240" w:lineRule="auto"/>
              <w:ind w:firstLine="0"/>
              <w:jc w:val="left"/>
            </w:pPr>
            <w:r>
              <w:rPr>
                <w:rFonts w:ascii="Times New Roman" w:hAnsi="Times New Roman"/>
                <w:sz w:val="17"/>
              </w:rPr>
              <w:t xml:space="preserve">2.54*</w:t>
            </w:r>
          </w:p>
        </w:tc>
        <w:tc>
          <w:tcPr/>
          <w:p>
            <w:pPr>
              <w:pStyle w:val="Compact"/>
              <w:spacing w:before="20" w:after="20" w:line="240" w:lineRule="auto"/>
              <w:ind w:firstLine="0"/>
              <w:jc w:val="left"/>
            </w:pPr>
            <w:r>
              <w:rPr>
                <w:rFonts w:ascii="Times New Roman" w:hAnsi="Times New Roman"/>
                <w:sz w:val="17"/>
              </w:rPr>
              <w:t xml:space="preserve">2.16*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0.124</w:t>
            </w:r>
          </w:p>
        </w:tc>
        <w:tc>
          <w:tcPr/>
          <w:p>
            <w:pPr>
              <w:pStyle w:val="Compact"/>
              <w:spacing w:before="20" w:after="20" w:line="240" w:lineRule="auto"/>
              <w:ind w:firstLine="0"/>
              <w:jc w:val="left"/>
            </w:pPr>
            <w:r>
              <w:rPr>
                <w:rFonts w:ascii="Times New Roman" w:hAnsi="Times New Roman"/>
                <w:sz w:val="17"/>
              </w:rPr>
              <w:t xml:space="preserve">+0.103 [+0.089, +0.118]*</w:t>
            </w:r>
          </w:p>
        </w:tc>
        <w:tc>
          <w:tcPr/>
          <w:p>
            <w:pPr>
              <w:pStyle w:val="Compact"/>
              <w:spacing w:before="20" w:after="20" w:line="240" w:lineRule="auto"/>
              <w:ind w:firstLine="0"/>
              <w:jc w:val="left"/>
            </w:pPr>
            <w:r>
              <w:rPr>
                <w:rFonts w:ascii="Times New Roman" w:hAnsi="Times New Roman"/>
                <w:sz w:val="17"/>
              </w:rPr>
              <w:t xml:space="preserve">+0.099 [+0.083, +0.115]*</w:t>
            </w:r>
          </w:p>
        </w:tc>
        <w:tc>
          <w:tcPr/>
          <w:p>
            <w:pPr>
              <w:pStyle w:val="Compact"/>
              <w:spacing w:before="20" w:after="20" w:line="240" w:lineRule="auto"/>
              <w:ind w:firstLine="0"/>
              <w:jc w:val="left"/>
            </w:pPr>
            <w:r>
              <w:rPr>
                <w:rFonts w:ascii="Times New Roman" w:hAnsi="Times New Roman"/>
                <w:sz w:val="17"/>
              </w:rPr>
              <w:t xml:space="preserve">+0.004 [-0.022, +0.030]</w:t>
            </w:r>
          </w:p>
        </w:tc>
        <w:tc>
          <w:tcPr/>
          <w:p>
            <w:pPr>
              <w:pStyle w:val="Compact"/>
              <w:spacing w:before="20" w:after="20" w:line="240" w:lineRule="auto"/>
              <w:ind w:firstLine="0"/>
              <w:jc w:val="left"/>
            </w:pPr>
            <w:r>
              <w:rPr>
                <w:rFonts w:ascii="Times New Roman" w:hAnsi="Times New Roman"/>
                <w:sz w:val="17"/>
              </w:rPr>
              <w:t xml:space="preserve">1.83*</w:t>
            </w:r>
          </w:p>
        </w:tc>
        <w:tc>
          <w:tcPr/>
          <w:p>
            <w:pPr>
              <w:pStyle w:val="Compact"/>
              <w:spacing w:before="20" w:after="20" w:line="240" w:lineRule="auto"/>
              <w:ind w:firstLine="0"/>
              <w:jc w:val="left"/>
            </w:pPr>
            <w:r>
              <w:rPr>
                <w:rFonts w:ascii="Times New Roman" w:hAnsi="Times New Roman"/>
                <w:sz w:val="17"/>
              </w:rPr>
              <w:t xml:space="preserve">1.80*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0.009</w:t>
            </w:r>
          </w:p>
        </w:tc>
        <w:tc>
          <w:tcPr/>
          <w:p>
            <w:pPr>
              <w:pStyle w:val="Compact"/>
              <w:spacing w:before="20" w:after="20" w:line="240" w:lineRule="auto"/>
              <w:ind w:firstLine="0"/>
              <w:jc w:val="left"/>
            </w:pPr>
            <w:r>
              <w:rPr>
                <w:rFonts w:ascii="Times New Roman" w:hAnsi="Times New Roman"/>
                <w:sz w:val="17"/>
              </w:rPr>
              <w:t xml:space="preserve">+0.080 [+0.072, +0.088]*</w:t>
            </w:r>
          </w:p>
        </w:tc>
        <w:tc>
          <w:tcPr/>
          <w:p>
            <w:pPr>
              <w:pStyle w:val="Compact"/>
              <w:spacing w:before="20" w:after="20" w:line="240" w:lineRule="auto"/>
              <w:ind w:firstLine="0"/>
              <w:jc w:val="left"/>
            </w:pPr>
            <w:r>
              <w:rPr>
                <w:rFonts w:ascii="Times New Roman" w:hAnsi="Times New Roman"/>
                <w:sz w:val="17"/>
              </w:rPr>
              <w:t xml:space="preserve">+0.077 [+0.069, +0.084]*</w:t>
            </w:r>
          </w:p>
        </w:tc>
        <w:tc>
          <w:tcPr/>
          <w:p>
            <w:pPr>
              <w:pStyle w:val="Compact"/>
              <w:spacing w:before="20" w:after="20" w:line="240" w:lineRule="auto"/>
              <w:ind w:firstLine="0"/>
              <w:jc w:val="left"/>
            </w:pPr>
            <w:r>
              <w:rPr>
                <w:rFonts w:ascii="Times New Roman" w:hAnsi="Times New Roman"/>
                <w:sz w:val="17"/>
              </w:rPr>
              <w:t xml:space="preserve">+0.003 [-0.010, +0.017]</w:t>
            </w:r>
          </w:p>
        </w:tc>
        <w:tc>
          <w:tcPr/>
          <w:p>
            <w:pPr>
              <w:pStyle w:val="Compact"/>
              <w:spacing w:before="20" w:after="20" w:line="240" w:lineRule="auto"/>
              <w:ind w:firstLine="0"/>
              <w:jc w:val="left"/>
            </w:pPr>
            <w:r>
              <w:rPr>
                <w:rFonts w:ascii="Times New Roman" w:hAnsi="Times New Roman"/>
                <w:sz w:val="17"/>
              </w:rPr>
              <w:t xml:space="preserve">10.43*</w:t>
            </w:r>
          </w:p>
        </w:tc>
        <w:tc>
          <w:tcPr/>
          <w:p>
            <w:pPr>
              <w:pStyle w:val="Compact"/>
              <w:spacing w:before="20" w:after="20" w:line="240" w:lineRule="auto"/>
              <w:ind w:firstLine="0"/>
              <w:jc w:val="left"/>
            </w:pPr>
            <w:r>
              <w:rPr>
                <w:rFonts w:ascii="Times New Roman" w:hAnsi="Times New Roman"/>
                <w:sz w:val="17"/>
              </w:rPr>
              <w:t xml:space="preserve">10.03*</w:t>
            </w:r>
          </w:p>
        </w:tc>
      </w:tr>
    </w:tbl>
    <w:p>
      <w:pPr>
        <w:pStyle w:val="BodyText"/>
        <w:spacing w:line="240" w:lineRule="auto"/>
        <w:ind w:firstLine="0"/>
      </w:pPr>
      <w:r>
        <w:rPr>
          <w:iCs/>
          <w:i/>
        </w:rPr>
        <w:t xml:space="preserve">Table 4. Probability-elicitation design (mean elicited probability over 300 simulated customers per seed, three independent calls per customer; 900 customers for GPT-4o-mini, Llama-3.3-70B, and Haiku 5.5, which were run on three seeds). Lift = probability with the email minus probability without it; gap = lift of the men’s email minus lift of the women’s email; intervals are 95% paired bootstrap intervals over customers (real values: normal approximation). RR = risk ratio; for the models run on three seeds it is the mean of the three per-seed ratios, and the asterisk is set only if the interval excludes the real ratio in all three seeds. * the simulated and the real intervals do not overlap.</w:t>
      </w:r>
    </w:p>
    <w:p>
      <w:pPr>
        <w:pStyle w:val="CaptionedFigure"/>
      </w:pPr>
      <w:r>
        <w:drawing>
          <wp:inline>
            <wp:extent cx="5334000" cy="3710608"/>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50" name="Picture"/>
            <a:graphic>
              <a:graphicData uri="http://schemas.openxmlformats.org/drawingml/2006/picture">
                <pic:pic>
                  <pic:nvPicPr>
                    <pic:cNvPr descr="fig2_lift.png" id="51" name="Picture"/>
                    <pic:cNvPicPr>
                      <a:picLocks noChangeArrowheads="1" noChangeAspect="1"/>
                    </pic:cNvPicPr>
                  </pic:nvPicPr>
                  <pic:blipFill>
                    <a:blip r:embed="rId49"/>
                    <a:stretch>
                      <a:fillRect/>
                    </a:stretch>
                  </pic:blipFill>
                  <pic:spPr bwMode="auto">
                    <a:xfrm>
                      <a:off x="0" y="0"/>
                      <a:ext cx="5334000" cy="3710608"/>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exceeds one in all 32 probability-elicitation cells, but its interval includes or touches one in two (GPT-4o-mini with the anchor for visits, 1.01 [1.00, 1.03], where the model answered about 10% regardless of the email, and Sonnet 5 with the anchor for purchases, 1.09 [0.96, 1.25]), and Llama with the anchor gave a risk ratio below one in the yes/no format for visits (0.60 to 0.69 in all three seeds). For the three models run on three seeds, the risk ratio exceeded one in all 24 cells of the two further seeds (smallest lower bound 1.00). Second, the size of the visit effect depends on the model and the prompt. In 4 of 16 configurations the lift for the men’s email is statistically consistent with the real +0.077 (Llama-3.3-70B, Haiku 5.5, and Mistral Large 4 without the anchor, and GPT-5.6-terra with it); five are less than half as large (for example Sonnet 5 with the anchor, +0.025), and four are more than 1.5 times as large (for example GPT-4o-mini without the anchor, +0.190). Which prompt works differs by model: the anchor brings GPT-5.6-terra to the real value but moves DeepSeek-V4-Pro from 0.5 to 2.6 times the real lift.</w:t>
      </w:r>
    </w:p>
    <w:p>
      <w:pPr>
        <w:pStyle w:val="BodyText"/>
      </w:pPr>
      <w:r>
        <w:t xml:space="preserve">Third, the absolute lift in purchase probability exceeds the real +0.0068 in 15 of the 16 configurations, by a median factor of about 10 and by up to 25 (for example +0.169 for GPT-4o-mini without the anchor). The one exception is Sonnet 5 with the anchor, whose purchase lift (+0.004, interval -0.002 to +0.010) is consistent with the real one; but this model rates the visit lift at only 0.3 times the real value and its no-email purchase probability (0.046) is eight times the real one, so it attributes almost no effect to the email. Providing the base rate sets the no-email probability close to the stated number (about 0.10 for visits in six models, and 0.004 to 0.010 for purchases in five) without lowering the email-arm probability accordingly, so the risk ratio explodes in some cases (10 to 44 for Llama, Haiku, and Mistral) while the absolute lift stays large.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explains both patterns: Llama without the anchor has a visit lift of +0.071, close to the real value, but a no-email probability of 0.30 instead of 0.106, and therefore a risk ratio of only 1.24 against the real 1.72.</w:t>
      </w:r>
    </w:p>
    <w:p>
      <w:pPr>
        <w:pStyle w:val="BodyText"/>
      </w:pPr>
      <w:r>
        <w:t xml:space="preserve">Fourth, the models do not tell the two emails apart. In reality the men’s email has the larger lift (+0.077 against +0.045 for visits, a gap of +0.031 with interval +0.024 to +0.038). Among the 32 probability-elicitation cells, none has a gap interval that excludes zero in the right direction. The point estimate of the gap is positive in only 15 cells, the largest simulated visit gap is +0.013, and in three cells (Haiku 5.5 without the anchor for visits, and GPT-4o-mini in both prompt variants for purchases) the women’s email is rated significantly higher.</w:t>
      </w:r>
    </w:p>
    <w:p>
      <w:pPr>
        <w:pStyle w:val="BodyText"/>
      </w:pPr>
      <w:r>
        <w:t xml:space="preserve">Direct yes/no answers are not usable for rare events. In 15 of 32 yes/no cells of the first seed (and in 13 of 24 cells of the two further seeds) the model answered</w:t>
      </w:r>
      <w:r>
        <w:t xml:space="preserve"> </w:t>
      </w:r>
      <w:r>
        <w:t xml:space="preserve">“</w:t>
      </w:r>
      <w:r>
        <w:t xml:space="preserve">No</w:t>
      </w:r>
      <w:r>
        <w:t xml:space="preserve">”</w:t>
      </w:r>
      <w:r>
        <w:t xml:space="preserve"> </w:t>
      </w:r>
      <w:r>
        <w:t xml:space="preserve">for every customer in the no-email condition, so the risk ratio is undefined (for example, GPT-4o-mini answered</w:t>
      </w:r>
      <w:r>
        <w:t xml:space="preserve"> </w:t>
      </w:r>
      <w:r>
        <w:t xml:space="preserve">“</w:t>
      </w:r>
      <w:r>
        <w:t xml:space="preserve">No</w:t>
      </w:r>
      <w:r>
        <w:t xml:space="preserve">”</w:t>
      </w:r>
      <w:r>
        <w:t xml:space="preserve"> </w:t>
      </w:r>
      <w:r>
        <w:t xml:space="preserve">for every customer without an email and</w:t>
      </w:r>
      <w:r>
        <w:t xml:space="preserve"> </w:t>
      </w:r>
      <w:r>
        <w:t xml:space="preserve">“</w:t>
      </w:r>
      <w:r>
        <w:t xml:space="preserve">Yes</w:t>
      </w:r>
      <w:r>
        <w:t xml:space="preserve">”</w:t>
      </w:r>
      <w:r>
        <w:t xml:space="preserve"> </w:t>
      </w:r>
      <w:r>
        <w:t xml:space="preserve">for about half with one). The yes/no visit lifts range from -0.31 to +0.55, and the purchase lifts from +0.007 to +0.55, up to 80 times the real lift.</w:t>
      </w:r>
    </w:p>
    <w:bookmarkEnd w:id="52"/>
    <w:bookmarkStart w:id="53" w:name="summary-of-hypotheses"/>
    <w:p>
      <w:pPr>
        <w:pStyle w:val="Heading2"/>
      </w:pPr>
      <w:r>
        <w:t xml:space="preserve">5.7 Summary of hypotheses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The variance-to-mean ratio of designs A, B, and C lies below the reference in 45 of 47 cells (low mean; the exceptions are a DeepSeek-V4-Pro cell for direct answers and a Sonnet 5 cell for daily simulation, both without the anchor), 48 of 48 (high mean), and 45 of 48 (demographic personas, where design C sometimes reaches the reference). The zero share of designs A and B is at most 0.02 in the two high-mean settings and below the real value in 26 of 32 low-mean cells (in the others, anchored prompts led the model to answer</w:t>
            </w:r>
            <w:r>
              <w:rPr>
                <w:rFonts w:ascii="Times New Roman" w:hAnsi="Times New Roman"/>
                <w:sz w:val="17"/>
              </w:rPr>
              <w:t xml:space="preserve"> </w:t>
            </w:r>
            <w:r>
              <w:rPr>
                <w:rFonts w:ascii="Times New Roman" w:hAnsi="Times New Roman"/>
                <w:sz w:val="17"/>
              </w:rPr>
              <w:t xml:space="preserve">“</w:t>
            </w:r>
            <w:r>
              <w:rPr>
                <w:rFonts w:ascii="Times New Roman" w:hAnsi="Times New Roman"/>
                <w:sz w:val="17"/>
              </w:rPr>
              <w:t xml:space="preserve">0</w:t>
            </w:r>
            <w:r>
              <w:rPr>
                <w:rFonts w:ascii="Times New Roman" w:hAnsi="Times New Roman"/>
                <w:sz w:val="17"/>
              </w:rPr>
              <w:t xml:space="preserve">”</w:t>
            </w:r>
            <w:r>
              <w:rPr>
                <w:rFonts w:ascii="Times New Roman" w:hAnsi="Times New Roman"/>
                <w:sz w:val="17"/>
              </w:rPr>
              <w:t xml:space="preserve"> </w:t>
            </w:r>
            <w:r>
              <w:rPr>
                <w:rFonts w:ascii="Times New Roman" w:hAnsi="Times New Roman"/>
                <w:sz w:val="17"/>
              </w:rPr>
              <w:t xml:space="preserve">for most customers).</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Partly supported. Design C stays below its ceiling in all 16 low-mean cells, reaches it in 3 of 16 high-mean cells, and reaches it in 10 of 16 cells with demographic personas. Zero shares are too low where the real share is large (0.74 and 0.19) but close to the real value where it is small (0.03; 8 of 16 cells).</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Partly supported. It matches the reference ratio in 32 of 48 cells (10 of 16, 12 of 16, 10 of 16), but matches mean, ratio, zero share, and</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jointly in only 7 of 48 (5, 2, 0) because the model’s mean is often wrong and, in the demographic setting, the zero share is too high in every cell. No model matches in more than two of the three settings.</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the risk ratio exceeds one in all 32 probability cells, with two intervals touching one (see Section 5.6).</w:t>
            </w:r>
          </w:p>
        </w:tc>
      </w:tr>
      <w:tr>
        <w:tc>
          <w:tcPr/>
          <w:p>
            <w:pPr>
              <w:pStyle w:val="Compact"/>
              <w:spacing w:before="20" w:after="20" w:line="240" w:lineRule="auto"/>
              <w:ind w:firstLine="0"/>
              <w:jc w:val="left"/>
            </w:pPr>
            <w:r>
              <w:rPr>
                <w:rFonts w:ascii="Times New Roman" w:hAnsi="Times New Roman"/>
                <w:sz w:val="17"/>
              </w:rPr>
              <w:t xml:space="preserve">H4b. Absolute lift is overstated when the simulated base rate is overstated.</w:t>
            </w:r>
          </w:p>
        </w:tc>
        <w:tc>
          <w:tcPr/>
          <w:p>
            <w:pPr>
              <w:pStyle w:val="Compact"/>
              <w:spacing w:before="20" w:after="20" w:line="240" w:lineRule="auto"/>
              <w:ind w:firstLine="0"/>
              <w:jc w:val="left"/>
            </w:pPr>
            <w:r>
              <w:rPr>
                <w:rFonts w:ascii="Times New Roman" w:hAnsi="Times New Roman"/>
                <w:sz w:val="17"/>
              </w:rPr>
              <w:t xml:space="preserve">Supported for purchases: the lift exceeds the real value in 15 of 16 configurations (median about tenfold). Not for visits: 4 of 16 are consistent with the real value, 5 are too small, and 4 are too large.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simulated gap between the two emails excludes zero in only 3 of 32 cells, and in all three the sign is the opposite of the real one.</w:t>
            </w:r>
          </w:p>
        </w:tc>
      </w:tr>
      <w:tr>
        <w:tc>
          <w:tcPr/>
          <w:p>
            <w:pPr>
              <w:pStyle w:val="Compact"/>
              <w:spacing w:before="20" w:after="20" w:line="240" w:lineRule="auto"/>
              <w:ind w:firstLine="0"/>
              <w:jc w:val="left"/>
            </w:pPr>
            <w:r>
              <w:rPr>
                <w:rFonts w:ascii="Times New Roman" w:hAnsi="Times New Roman"/>
                <w:sz w:val="17"/>
              </w:rPr>
              <w:t xml:space="preserve">Exploratory: collapse is specific to low means.</w:t>
            </w:r>
          </w:p>
        </w:tc>
        <w:tc>
          <w:tcPr/>
          <w:p>
            <w:pPr>
              <w:pStyle w:val="Compact"/>
              <w:spacing w:before="20" w:after="20" w:line="240" w:lineRule="auto"/>
              <w:ind w:firstLine="0"/>
              <w:jc w:val="left"/>
            </w:pPr>
            <w:r>
              <w:rPr>
                <w:rFonts w:ascii="Times New Roman" w:hAnsi="Times New Roman"/>
                <w:sz w:val="17"/>
              </w:rPr>
              <w:t xml:space="preserve">Not supported. Direct answers collapse at means of 0.5, 4.8, and 7.8.</w:t>
            </w:r>
          </w:p>
        </w:tc>
      </w:tr>
      <w:tr>
        <w:tc>
          <w:tcPr/>
          <w:p>
            <w:pPr>
              <w:pStyle w:val="Compact"/>
              <w:spacing w:before="20" w:after="20" w:line="240" w:lineRule="auto"/>
              <w:ind w:firstLine="0"/>
              <w:jc w:val="left"/>
            </w:pPr>
            <w:r>
              <w:rPr>
                <w:rFonts w:ascii="Times New Roman" w:hAnsi="Times New Roman"/>
                <w:sz w:val="17"/>
              </w:rPr>
              <w:t xml:space="preserve">Exploratory: richer personas repair collapse.</w:t>
            </w:r>
          </w:p>
        </w:tc>
        <w:tc>
          <w:tcPr/>
          <w:p>
            <w:pPr>
              <w:pStyle w:val="Compact"/>
              <w:spacing w:before="20" w:after="20" w:line="240" w:lineRule="auto"/>
              <w:ind w:firstLine="0"/>
              <w:jc w:val="left"/>
            </w:pPr>
            <w:r>
              <w:rPr>
                <w:rFonts w:ascii="Times New Roman" w:hAnsi="Times New Roman"/>
                <w:sz w:val="17"/>
              </w:rPr>
              <w:t xml:space="preserve">Not supported. With real demographics the simulated counts have a rank correlation with real counts of -0.17 to +0.16 (3 of 63 intervals exclude zero); the demographics themselves explain about 1% of the heterogeneity.</w:t>
            </w:r>
          </w:p>
        </w:tc>
      </w:tr>
      <w:tr>
        <w:tc>
          <w:tcPr/>
          <w:p>
            <w:pPr>
              <w:pStyle w:val="Compact"/>
              <w:spacing w:before="20" w:after="20" w:line="240" w:lineRule="auto"/>
              <w:ind w:firstLine="0"/>
              <w:jc w:val="left"/>
            </w:pPr>
            <w:r>
              <w:rPr>
                <w:rFonts w:ascii="Times New Roman" w:hAnsi="Times New Roman"/>
                <w:sz w:val="17"/>
              </w:rPr>
              <w:t xml:space="preserve">Exploratory: larger and more recent models escape collapse.</w:t>
            </w:r>
          </w:p>
        </w:tc>
        <w:tc>
          <w:tcPr/>
          <w:p>
            <w:pPr>
              <w:pStyle w:val="Compact"/>
              <w:spacing w:before="20" w:after="20" w:line="240" w:lineRule="auto"/>
              <w:ind w:firstLine="0"/>
              <w:jc w:val="left"/>
            </w:pPr>
            <w:r>
              <w:rPr>
                <w:rFonts w:ascii="Times New Roman" w:hAnsi="Times New Roman"/>
                <w:sz w:val="17"/>
              </w:rPr>
              <w:t xml:space="preserve">Not for direct answers (ratios of at most 1.00 in 42 of 48 cells; the six exceptions are all DeepSeek-V4-Pro or Mistral Large 4). Not for the hybrid design either: its accuracy follows the model’s mean, which matched the reference in 13 of 48 cells with no model better than the others across settings.</w:t>
            </w:r>
          </w:p>
        </w:tc>
      </w:tr>
    </w:tbl>
    <w:p>
      <w:pPr>
        <w:pStyle w:val="BodyText"/>
        <w:spacing w:line="240" w:lineRule="auto"/>
        <w:ind w:firstLine="0"/>
      </w:pPr>
      <w:r>
        <w:rPr>
          <w:iCs/>
          <w:i/>
        </w:rPr>
        <w:t xml:space="preserve">Table 5. Hypotheses and evidence.</w:t>
      </w:r>
    </w:p>
    <w:bookmarkEnd w:id="53"/>
    <w:bookmarkEnd w:id="54"/>
    <w:bookmarkStart w:id="61" w:name="discussion"/>
    <w:p>
      <w:pPr>
        <w:pStyle w:val="Heading1"/>
      </w:pPr>
      <w:r>
        <w:t xml:space="preserve">6. Discussion</w:t>
      </w:r>
    </w:p>
    <w:bookmarkStart w:id="55" w:name="theoretical-contributions"/>
    <w:p>
      <w:pPr>
        <w:pStyle w:val="Heading2"/>
      </w:pPr>
      <w:r>
        <w:t xml:space="preserve">6.1 Theoretical contributions</w:t>
      </w:r>
    </w:p>
    <w:p>
      <w:pPr>
        <w:pStyle w:val="FirstParagraph"/>
      </w:pPr>
      <w:r>
        <w:t xml:space="preserve">Our results support a simple reading of synthetic purchase data: persona-conditioned LLM simulators compress customer heterogeneity, and the compression has a specific, measurable form. Proposition 1 shows why direct answers cannot be overdispersed in general (they lose Poisson noise and the share of heterogeneity that the persona does not describe), and the data are consistent with it: variance-to-mean ratios of direct answers are at most 1.00 in 42 of 48 cells, whatever the mean or the model, and the demographic-persona experiment reproduces the predicted</w:t>
      </w:r>
      <w:r>
        <w:t xml:space="preserve"> </w:t>
      </w:r>
      <m:oMath>
        <m:r>
          <m:t>α</m:t>
        </m:r>
      </m:oMath>
      <w:r>
        <w:t xml:space="preserve"> </w:t>
      </w:r>
      <w:r>
        <w:t xml:space="preserve">of about -0.12. Proposition 2 clarifies what an external heterogeneity term can and cannot do: it restores dispersion, but only the within-persona part, and its accuracy then rests on the model’s mean. A further result concerns model scale. Larger and more recent models (Sonnet 5, GPT-5.6-terra, DeepSeek-V4-Pro, Gemini 3.1 Flash-Lite, Mistral Large 4) do not escape the collapse of direct answers, and none of them supplies a reliably accurate mean for the hybrid design: the mean matched in 13 of 48 cells, and the cells in which all four statistics matched were scattered across models and prompts. This reframes the usual advice to</w:t>
      </w:r>
      <w:r>
        <w:t xml:space="preserve"> </w:t>
      </w:r>
      <w:r>
        <w:t xml:space="preserve">“</w:t>
      </w:r>
      <w:r>
        <w:t xml:space="preserve">add noise</w:t>
      </w:r>
      <w:r>
        <w:t xml:space="preserve">”</w:t>
      </w:r>
      <w:r>
        <w:t xml:space="preserve"> </w:t>
      </w:r>
      <w:r>
        <w:t xml:space="preserve">to synthetic respondents. The amount of noise is not a free parameter; it is determined by how much heterogeneity the persona already carries.</w:t>
      </w:r>
    </w:p>
    <w:p>
      <w:pPr>
        <w:pStyle w:val="BodyText"/>
      </w:pPr>
      <w:r>
        <w:t xml:space="preserve">Two further results extend what is known about LLM-based simulation. First, describing a distribution (Jang et al. 2026, Zhang et al. 2025a) helps more at a high mean than at a low mean, and in the settings where zeros are common it under-produces them. The zero share is the part of a count distribution that decides how many customers a campaign is not reaching, and this is where description fails. Second, evaluating a promotion simulator on relative effects alone is hazardous.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shows that errors in the simulated base rate and errors in the simulated lift are confounded in the risk ratio, and our data contain cases in which the two readings of the same output disagree.</w:t>
      </w:r>
    </w:p>
    <w:p>
      <w:pPr>
        <w:pStyle w:val="BodyText"/>
      </w:pPr>
      <w:r>
        <w:t xml:space="preserve">A further implication concerns the limits of AI-based decision support and of the</w:t>
      </w:r>
      <w:r>
        <w:t xml:space="preserve"> </w:t>
      </w:r>
      <w:r>
        <w:t xml:space="preserve">“</w:t>
      </w:r>
      <w:r>
        <w:t xml:space="preserve">digital twin</w:t>
      </w:r>
      <w:r>
        <w:t xml:space="preserve">”</w:t>
      </w:r>
      <w:r>
        <w:t xml:space="preserve"> </w:t>
      </w:r>
      <w:r>
        <w:t xml:space="preserve">idea. A twin is usually understood as a replica that can stand in for the original in a decision. Our evidence supports a narrower reading. At the level of the individual customer, the demographic personas carried almost no information about real counts (rank correlations between -0.17 and +0.16), so a customer-level replica is not supported by these data. At the level of the population, the distribution of counts and the size of effects are reproduced only by designs in which the dispersion is supplied from outside the model and the level is checked against data. The claim that a simulated population is a twin of a real one is therefore a claim about specific properties, and it has to be tested property by property: the share of zeros, the spread, the tail, and the absolute size of an effect. We view this as the main point for information systems research on generative AI in decision support. Evaluation should be stated in terms of the decision-relevant properties of the artifact’s output, because fluency and aggregate plausibility, which are what users see, do not indicate them.</w:t>
      </w:r>
    </w:p>
    <w:bookmarkEnd w:id="55"/>
    <w:bookmarkStart w:id="56" w:name="X65830c8ffcd303230289e3fa99b65d240227f6e"/>
    <w:p>
      <w:pPr>
        <w:pStyle w:val="Heading2"/>
      </w:pPr>
      <w:r>
        <w:t xml:space="preserve">6.2 Design principles for synthetic-customer systems</w:t>
      </w:r>
    </w:p>
    <w:p>
      <w:pPr>
        <w:pStyle w:val="FirstParagraph"/>
      </w:pPr>
      <w:r>
        <w:t xml:space="preserve">Design science asks that an evaluation lead to prescriptive knowledge about how the artifact should be built (Gregor and Hevner 2013). The evidence supports five design principles. They are derived from our experiments and analytical results and have not been tested as an intervention, so they should be read as hypotheses for design rather than as established prescriptions.</w:t>
      </w:r>
    </w:p>
    <w:p>
      <w:pPr>
        <w:pStyle w:val="BodyText"/>
      </w:pPr>
      <w:r>
        <w:rPr>
          <w:iCs/>
          <w:i/>
        </w:rPr>
        <w:t xml:space="preserve">Principle 1: Separate the level from the spread.</w:t>
      </w:r>
      <w:r>
        <w:t xml:space="preserve"> </w:t>
      </w:r>
      <w:r>
        <w:t xml:space="preserve">Take the expected rate of a customer from the model and take the dispersion across customers from an external, calibrated source (Proposition 2). In system terms this places a statistical calibration layer behind the language model, with the variance budget of Section 3.7 as its rule. Designs that let the model produce the spread itself collapsed, while the hybrid design matched the reference dispersion in 32 of 48 cells.</w:t>
      </w:r>
    </w:p>
    <w:p>
      <w:pPr>
        <w:pStyle w:val="BodyText"/>
      </w:pPr>
      <w:r>
        <w:rPr>
          <w:iCs/>
          <w:i/>
        </w:rPr>
        <w:t xml:space="preserve">Principle 2: Do not let the model produce the final integer or the daily draw.</w:t>
      </w:r>
      <w:r>
        <w:t xml:space="preserve"> </w:t>
      </w:r>
      <w:r>
        <w:t xml:space="preserve">Direct integer answers and day-by-day simulation returned nearly constant values in almost every cell, and their errors were not random but systematic (Section 5).</w:t>
      </w:r>
    </w:p>
    <w:p>
      <w:pPr>
        <w:pStyle w:val="BodyText"/>
      </w:pPr>
      <w:r>
        <w:rPr>
          <w:iCs/>
          <w:i/>
        </w:rPr>
        <w:t xml:space="preserve">Principle 3: Calibrate the level before use, and invest in customer data before model capability.</w:t>
      </w:r>
      <w:r>
        <w:t xml:space="preserve"> </w:t>
      </w:r>
      <w:r>
        <w:t xml:space="preserve">Because the persona bounds what the model can carry (Section 3.8), the data assets that feed the persona matter more than the choice of model. The mean from the model was the bottleneck of the hybrid design (matching the reference in only 13 of 48 cells). A rescaling of the model’s rate against a historical customer file is a natural step that we did not test.</w:t>
      </w:r>
    </w:p>
    <w:p>
      <w:pPr>
        <w:pStyle w:val="BodyText"/>
      </w:pPr>
      <w:r>
        <w:rPr>
          <w:iCs/>
          <w:i/>
        </w:rPr>
        <w:t xml:space="preserve">Principle 4: Treat context and wording as design parameters that must be validated.</w:t>
      </w:r>
      <w:r>
        <w:t xml:space="preserve"> </w:t>
      </w:r>
      <w:r>
        <w:t xml:space="preserve">A stated base rate changed some outputs by an order of magnitude, and in several cells it made the model repeat the stated number for every customer. Wording of the prompt is a design parameter in the same sense.</w:t>
      </w:r>
    </w:p>
    <w:p>
      <w:pPr>
        <w:pStyle w:val="BodyText"/>
      </w:pPr>
      <w:r>
        <w:rPr>
          <w:iCs/>
          <w:i/>
        </w:rPr>
        <w:t xml:space="preserve">Principle 5: Evaluate on absolute effects against a randomized benchmark.</w:t>
      </w:r>
      <w:r>
        <w:t xml:space="preserve"> </w:t>
      </w:r>
      <w:r>
        <w:t xml:space="preserve">Risk ratios hid errors in the simulated base rate (Section 5.6).</w:t>
      </w:r>
    </w:p>
    <w:p>
      <w:pPr>
        <w:pStyle w:val="BodyText"/>
      </w:pPr>
      <w:r>
        <w:t xml:space="preserve">A further observation concerns use. The simulators’ output looked plausible: the sign of the promotion effect was right in nearly all cells, and the answers were fluent and well formed. Errors of the kind we document, such as a compressed spread or a tenfold lift, cannot be seen by inspecting the output, which is why an explicit evaluation protocol is needed before such a system is adopted for decisions.</w:t>
      </w:r>
    </w:p>
    <w:bookmarkEnd w:id="56"/>
    <w:bookmarkStart w:id="57" w:name="implications-for-practice"/>
    <w:p>
      <w:pPr>
        <w:pStyle w:val="Heading2"/>
      </w:pPr>
      <w:r>
        <w:t xml:space="preserve">6.3 Implications for practice</w:t>
      </w:r>
    </w:p>
    <w:p>
      <w:pPr>
        <w:pStyle w:val="FirstParagraph"/>
      </w:pPr>
      <w:r>
        <w:t xml:space="preserve">For managers who consider synthetic customers for decision support, the evidence suggests a short diagnostic protocol.</w:t>
      </w:r>
    </w:p>
    <w:p>
      <w:pPr>
        <w:numPr>
          <w:ilvl w:val="0"/>
          <w:numId w:val="1002"/>
        </w:numPr>
        <w:pStyle w:val="Compact"/>
      </w:pPr>
      <w:r>
        <w:rPr>
          <w:iCs/>
          <w:i/>
        </w:rPr>
        <w:t xml:space="preserve">Compare shapes, not only means.</w:t>
      </w:r>
      <w:r>
        <w:t xml:space="preserve"> </w:t>
      </w:r>
      <w:r>
        <w:t xml:space="preserve">Before using synthetic counts, compute the variance-to-mean ratio,</w:t>
      </w:r>
      <w:r>
        <w:t xml:space="preserve"> </w:t>
      </w:r>
      <m:oMath>
        <m:r>
          <m:t>α</m:t>
        </m:r>
      </m:oMath>
      <w:r>
        <w:t xml:space="preserve">, and the zero share against a historical customer file, and check them with an interval, as we do here. A ratio near or below one signals collapse.</w:t>
      </w:r>
    </w:p>
    <w:p>
      <w:pPr>
        <w:numPr>
          <w:ilvl w:val="0"/>
          <w:numId w:val="1002"/>
        </w:numPr>
        <w:pStyle w:val="Compact"/>
      </w:pPr>
      <w:r>
        <w:rPr>
          <w:iCs/>
          <w:i/>
        </w:rPr>
        <w:t xml:space="preserve">Do not use direct integer answers.</w:t>
      </w:r>
      <w:r>
        <w:t xml:space="preserve"> </w:t>
      </w:r>
      <w:r>
        <w:t xml:space="preserve">In our data they returned a single value for practically every customer in several cells.</w:t>
      </w:r>
    </w:p>
    <w:p>
      <w:pPr>
        <w:numPr>
          <w:ilvl w:val="0"/>
          <w:numId w:val="1002"/>
        </w:numPr>
        <w:pStyle w:val="Compact"/>
      </w:pPr>
      <w:r>
        <w:rPr>
          <w:iCs/>
          <w:i/>
        </w:rPr>
        <w:t xml:space="preserve">If the model is used, use it for the mean only,</w:t>
      </w:r>
      <w:r>
        <w:t xml:space="preserve"> </w:t>
      </w:r>
      <w:r>
        <w:t xml:space="preserve">and inject the remaining heterogeneity externally, calibrated according to Proposition 2 on a historical or pilot sample. Verify that the model’s mean is accurate; the hybrid inherits its errors, and in our data the mean matched the reference in only 13 of 48 hybrid cells.</w:t>
      </w:r>
    </w:p>
    <w:p>
      <w:pPr>
        <w:numPr>
          <w:ilvl w:val="0"/>
          <w:numId w:val="1002"/>
        </w:numPr>
        <w:pStyle w:val="Compact"/>
      </w:pPr>
      <w:r>
        <w:rPr>
          <w:iCs/>
          <w:i/>
        </w:rPr>
        <w:t xml:space="preserve">Treat a stated base rate as a prompt choice that must be tested.</w:t>
      </w:r>
      <w:r>
        <w:t xml:space="preserve"> </w:t>
      </w:r>
      <w:r>
        <w:t xml:space="preserve">It corrected the mean in some designs, collapsed all answers to one value in others, and changed the size of the simulated promotion effect by an order of magnitude.</w:t>
      </w:r>
    </w:p>
    <w:p>
      <w:pPr>
        <w:numPr>
          <w:ilvl w:val="0"/>
          <w:numId w:val="1002"/>
        </w:numPr>
        <w:pStyle w:val="Compact"/>
      </w:pPr>
      <w:r>
        <w:rPr>
          <w:iCs/>
          <w:i/>
        </w:rPr>
        <w:t xml:space="preserve">Validate on absolute effects and base rates.</w:t>
      </w:r>
      <w:r>
        <w:t xml:space="preserve"> </w:t>
      </w:r>
      <w:r>
        <w:t xml:space="preserve">Report the simulated base rate and the absolute lift next to the risk ratio, and compare both with a past randomized test before any revenue calculation.</w:t>
      </w:r>
    </w:p>
    <w:p>
      <w:pPr>
        <w:pStyle w:val="FirstParagraph"/>
      </w:pPr>
      <w:r>
        <w:t xml:space="preserve">The consequence for a decision can be shown in a stylized example. A firm launches a promotion if the expected gain per targeted customer exceeds its cost, that is, if the lift in purchase probability exceeds the ratio of cost to margin. Suppose a promotion costs 1 monetary unit per targeted customer and each purchase earns a margin of 50, so the ratio is 0.02. The real lift in purchase probability from the men’s email was 0.0068, below 0.02, so the randomized test says not to launch. The simulated lift exceeded 0.02 in 13 of the 16 configurations (the median was 0.065, and the real value was exceeded in 15), so a firm that relied on those simulators would have launched. The stylized numbers are ours and are not taken from the retailer, and the email test does not involve a discount, but the example shows how an overstated absolute lift turns directly into a wrong go decision.</w:t>
      </w:r>
    </w:p>
    <w:bookmarkEnd w:id="57"/>
    <w:bookmarkStart w:id="58" w:name="the-cost-of-uncritical-trust"/>
    <w:p>
      <w:pPr>
        <w:pStyle w:val="Heading2"/>
      </w:pPr>
      <w:r>
        <w:t xml:space="preserve">6.4 The cost of uncritical trust</w:t>
      </w:r>
    </w:p>
    <w:p>
      <w:pPr>
        <w:pStyle w:val="FirstParagraph"/>
      </w:pPr>
      <w:r>
        <w:t xml:space="preserve">The central managerial risk is not that synthetic customers are useless but that they are trusted without being tested. Our evidence points to five specific ways in which that trust becomes costly.</w:t>
      </w:r>
    </w:p>
    <w:p>
      <w:pPr>
        <w:pStyle w:val="BodyText"/>
      </w:pPr>
      <w:r>
        <w:rPr>
          <w:iCs/>
          <w:i/>
        </w:rPr>
        <w:t xml:space="preserve">Confident, wrong sizing.</w:t>
      </w:r>
      <w:r>
        <w:t xml:space="preserve"> </w:t>
      </w:r>
      <w:r>
        <w:t xml:space="preserve">The simulated purchase lift for the men’s email was overstated in 15 of 16 configurations, with a median of about ten times the randomized value. In the stylized example of Section 6.3, with a cost of 1 and a margin of 50 per purchase, a campaign to 100,000 customers has a real expected result of</w:t>
      </w:r>
      <w:r>
        <w:t xml:space="preserve"> </w:t>
      </w:r>
      <m:oMath>
        <m:r>
          <m:t>0.0068</m:t>
        </m:r>
        <m:r>
          <m:rPr>
            <m:sty m:val="p"/>
          </m:rPr>
          <m:t>×</m:t>
        </m:r>
        <m:r>
          <m:t>50</m:t>
        </m:r>
        <m:r>
          <m:rPr>
            <m:sty m:val="p"/>
          </m:rPr>
          <m:t>−</m:t>
        </m:r>
        <m:r>
          <m:t>1</m:t>
        </m:r>
        <m:r>
          <m:rPr>
            <m:sty m:val="p"/>
          </m:rPr>
          <m:t>=</m:t>
        </m:r>
        <m:r>
          <m:rPr>
            <m:sty m:val="p"/>
          </m:rPr>
          <m:t>−</m:t>
        </m:r>
        <m:r>
          <m:t>0.66</m:t>
        </m:r>
      </m:oMath>
      <w:r>
        <w:t xml:space="preserve"> </w:t>
      </w:r>
      <w:r>
        <w:t xml:space="preserve">per customer, a loss of about 66,000. The median simulated lift of 0.065 predicts</w:t>
      </w:r>
      <w:r>
        <w:t xml:space="preserve"> </w:t>
      </w:r>
      <m:oMath>
        <m:r>
          <m:rPr>
            <m:sty m:val="p"/>
          </m:rPr>
          <m:t>+</m:t>
        </m:r>
        <m:r>
          <m:t>2.25</m:t>
        </m:r>
      </m:oMath>
      <w:r>
        <w:t xml:space="preserve"> </w:t>
      </w:r>
      <w:r>
        <w:t xml:space="preserve">per customer, a profit of about 225,000. The gap between forecast and outcome is therefore about 290,000 for a single campaign, and it has a sign that favors launching. The error is systematic, not noisy, so it does not average out over campaigns.</w:t>
      </w:r>
    </w:p>
    <w:p>
      <w:pPr>
        <w:pStyle w:val="BodyText"/>
      </w:pPr>
      <w:r>
        <w:rPr>
          <w:iCs/>
          <w:i/>
        </w:rPr>
        <w:t xml:space="preserve">False precision.</w:t>
      </w:r>
      <w:r>
        <w:t xml:space="preserve"> </w:t>
      </w:r>
      <w:r>
        <w:t xml:space="preserve">The simulated lifts often came with narrow intervals, and the intervals excluded the real value in most configurations. A system that reports a tight interval around a wrong number invites more confidence than one that reports a wide one. Statistical precision, which a synthetic population gives cheaply because the sample size is limited only by the budget for calls, must not be mistaken for validity.</w:t>
      </w:r>
    </w:p>
    <w:p>
      <w:pPr>
        <w:pStyle w:val="BodyText"/>
      </w:pPr>
      <w:r>
        <w:rPr>
          <w:iCs/>
          <w:i/>
        </w:rPr>
        <w:t xml:space="preserve">Erosion of the evidence base.</w:t>
      </w:r>
      <w:r>
        <w:t xml:space="preserve"> </w:t>
      </w:r>
      <w:r>
        <w:t xml:space="preserve">If synthetic results replace randomized tests because they are faster and cheaper, the organization loses the data that would reveal the error and that its calibration step needs (Section 3.8). The failure is then self-concealing. We did not observe this process, but it follows from the validation paradox, and it is the reason why we recommend that synthetic pre-tests be paired with a continuing stream of real tests and not substitute for it.</w:t>
      </w:r>
    </w:p>
    <w:p>
      <w:pPr>
        <w:pStyle w:val="BodyText"/>
      </w:pPr>
      <w:r>
        <w:rPr>
          <w:iCs/>
          <w:i/>
        </w:rPr>
        <w:t xml:space="preserve">Propagation.</w:t>
      </w:r>
      <w:r>
        <w:t xml:space="preserve"> </w:t>
      </w:r>
      <w:r>
        <w:t xml:space="preserve">Synthetic customers that are used as inputs to forecasts, budget models, or other learned systems carry their compressed spread with them. Concentration is lost (Proposition 3), the share of non-buyers is distorted, and the result enters downstream decisions as if it were observed data. The cost is then not one wrong decision but a bias built into the planning system, whose source is hard to trace afterward.</w:t>
      </w:r>
    </w:p>
    <w:p>
      <w:pPr>
        <w:pStyle w:val="BodyText"/>
      </w:pPr>
      <w:r>
        <w:rPr>
          <w:iCs/>
          <w:i/>
        </w:rPr>
        <w:t xml:space="preserve">Unassigned accountability.</w:t>
      </w:r>
      <w:r>
        <w:t xml:space="preserve"> </w:t>
      </w:r>
      <w:r>
        <w:t xml:space="preserve">When a decision rests on a vendor’s model, a prompt written by an analyst, and a calibration step maintained by another team, no one owns the error. The organization should assign responsibility for the acceptance test of Section 6.5 before the system is used, not after the first costly outcome. A digital twin that no one is accountable for validating is a liability presented as an asset.</w:t>
      </w:r>
    </w:p>
    <w:p>
      <w:pPr>
        <w:pStyle w:val="BodyText"/>
      </w:pPr>
      <w:r>
        <w:t xml:space="preserve">These risks do not argue against the technology. They argue against using it as a replacement for evidence rather than as a complement to it, and against purchasing decisions that are based on demonstrations of fluency and plausible averages, which are the properties our experiments show to be least informative about decision quality.</w:t>
      </w:r>
    </w:p>
    <w:bookmarkEnd w:id="58"/>
    <w:bookmarkStart w:id="59" w:name="X94616b3a30dccc1fe21684587130f01609b39ab"/>
    <w:p>
      <w:pPr>
        <w:pStyle w:val="Heading2"/>
      </w:pPr>
      <w:r>
        <w:t xml:space="preserve">6.5 Organizational implications: validating and using synthetic data in marketing analytics systems</w:t>
      </w:r>
    </w:p>
    <w:p>
      <w:pPr>
        <w:pStyle w:val="FirstParagraph"/>
      </w:pPr>
      <w:r>
        <w:t xml:space="preserve">The findings have implications for how organizations that run marketing analytics systems should treat synthetic customers. We state them as recommendations that follow from our evidence and from the artifact view; we did not test them in an organization.</w:t>
      </w:r>
    </w:p>
    <w:p>
      <w:pPr>
        <w:pStyle w:val="BodyText"/>
      </w:pPr>
      <w:r>
        <w:rPr>
          <w:iCs/>
          <w:i/>
        </w:rPr>
        <w:t xml:space="preserve">Treat validation as an acceptance gate, not an afterthought.</w:t>
      </w:r>
      <w:r>
        <w:t xml:space="preserve"> </w:t>
      </w:r>
      <w:r>
        <w:t xml:space="preserve">Before synthetic customers enter a planning process, the system should pass a standing acceptance test against the organization’s own history: level, variance-to-mean ratio, zero share, and, where a past randomized test exists, the absolute lift. The reference values come from the customer file and the experiment archive that the marketing analytics team already holds. This puts a concrete interface between two functions. The marketing team owns the reference data and the decision requirements, and the information systems team owns the pipeline, the model versions, and the calibration step.</w:t>
      </w:r>
    </w:p>
    <w:p>
      <w:pPr>
        <w:pStyle w:val="BodyText"/>
      </w:pPr>
      <w:r>
        <w:rPr>
          <w:iCs/>
          <w:i/>
        </w:rPr>
        <w:t xml:space="preserve">Re-validate when the model changes.</w:t>
      </w:r>
      <w:r>
        <w:t xml:space="preserve"> </w:t>
      </w:r>
      <w:r>
        <w:t xml:space="preserve">The eight models we tested differed widely in the same design, for example in the mean they implied and in how they reacted to a stated base rate, and the same model reacted differently to different prompt context. A vendor update or a switch of model or provider should therefore trigger the acceptance test again, in the same way that a schema change triggers regression tests in other systems. The same applies to changes in the prompt template.</w:t>
      </w:r>
    </w:p>
    <w:p>
      <w:pPr>
        <w:pStyle w:val="BodyText"/>
      </w:pPr>
      <w:r>
        <w:rPr>
          <w:iCs/>
          <w:i/>
        </w:rPr>
        <w:t xml:space="preserve">Use synthetic data where its errors do the least harm.</w:t>
      </w:r>
      <w:r>
        <w:t xml:space="preserve"> </w:t>
      </w:r>
      <w:r>
        <w:t xml:space="preserve">The designs we studied reproduced the sign of a promotion effect in nearly all cases, but not its size. Synthetic customers are therefore better suited to screening and ranking options, or to generating hypotheses, than to sizing a campaign or computing revenue. A randomized holdout test remains the standard for the latter, and the stylized example in Section 6.3 shows what is at risk if that standard is skipped.</w:t>
      </w:r>
    </w:p>
    <w:p>
      <w:pPr>
        <w:pStyle w:val="BodyText"/>
      </w:pPr>
      <w:r>
        <w:rPr>
          <w:iCs/>
          <w:i/>
        </w:rPr>
        <w:t xml:space="preserve">Keep synthetic data separate from real data.</w:t>
      </w:r>
      <w:r>
        <w:t xml:space="preserve"> </w:t>
      </w:r>
      <w:r>
        <w:t xml:space="preserve">Synthetic records that share a schema with customer records can end up in dashboards, forecasts, or training sets for other models, where their compressed spread is no longer visible. Provenance labels, separate storage, and a rule against pooling synthetic and real records in estimation are inexpensive safeguards. We did not study this risk empirically; it follows from the finding that the spread is the property that is lost.</w:t>
      </w:r>
    </w:p>
    <w:p>
      <w:pPr>
        <w:pStyle w:val="BodyText"/>
      </w:pPr>
      <w:r>
        <w:rPr>
          <w:iCs/>
          <w:i/>
        </w:rPr>
        <w:t xml:space="preserve">Weigh the savings against the cost of a wrong decision.</w:t>
      </w:r>
      <w:r>
        <w:t xml:space="preserve"> </w:t>
      </w:r>
      <w:r>
        <w:t xml:space="preserve">The runs themselves are cheap: about 25,600 calls cost under one US dollar with the least expensive models and about eleven US dollars with the most expensive of the four we priced, at list prices at the time of our runs. The relevant cost is therefore not the simulation but the decision made on its output, and the governance effort should be proportional to the value of that decision.</w:t>
      </w:r>
    </w:p>
    <w:p>
      <w:pPr>
        <w:pStyle w:val="BodyText"/>
      </w:pPr>
      <w:r>
        <w:rPr>
          <w:iCs/>
          <w:i/>
        </w:rPr>
        <w:t xml:space="preserve">Build the loop that corrects the system.</w:t>
      </w:r>
      <w:r>
        <w:t xml:space="preserve"> </w:t>
      </w:r>
      <w:r>
        <w:t xml:space="preserve">Each randomized test that the organization runs is also a calibration data point for its simulator. A system that stores the simulated and the realized lift for each past campaign can track its own bias over time and adjust the calibration step, which turns an occasional validation into a continuing feedback process.</w:t>
      </w:r>
    </w:p>
    <w:bookmarkEnd w:id="59"/>
    <w:bookmarkStart w:id="60" w:name="limitations-and-future-research"/>
    <w:p>
      <w:pPr>
        <w:pStyle w:val="Heading2"/>
      </w:pPr>
      <w:r>
        <w:t xml:space="preserve">6.6 Limitations and future research</w:t>
      </w:r>
    </w:p>
    <w:p>
      <w:pPr>
        <w:pStyle w:val="FirstParagraph"/>
      </w:pPr>
      <w:r>
        <w:t xml:space="preserve">The evidence is preliminary. Every design has one prompt wording, so our intervals capture the sampling of customers but not variation across prompts, and the email experiment for the five newer models rests on one seed. The three transaction settings were run on three seeds for all eight models, and the per-seed variance-to-mean ratios were stable for the direct and daily designs (median range 0.04 and 0.03 across seeds, at most 0.30), except in a few DeepSeek-V4-Pro cells where direct answers are overdispersed (ranges of up to 9.4). They varied more for the describe design (median range 0.9, at most 2.1) and the hybrid design (median 1.2, at most 4.2), so the counts of cells in which these designs match the reference should be read as approximate. We tested eight models in all four settings, five of them larger or more recent than the first three. Whether still larger or reasoning-enabled models collapse less, and whether the overstated purchase lifts persist there, remains open. The low-mean reference is a calibrated parametric distribution rather than the raw data, and the Complete Journey households are loyalty-card shoppers with relatively high purchase frequency. Richer personas built from real household demographics did not change the picture, but the demographics in these data explain almost none of the heterogeneity (</w:t>
      </w:r>
      <m:oMath>
        <m:sSup>
          <m:e>
            <m:r>
              <m:t>c</m:t>
            </m:r>
          </m:e>
          <m:sup>
            <m:r>
              <m:t>2</m:t>
            </m:r>
          </m:sup>
        </m:sSup>
        <m:r>
          <m:rPr>
            <m:sty m:val="p"/>
          </m:rPr>
          <m:t>/</m:t>
        </m:r>
        <m:r>
          <m:t>α</m:t>
        </m:r>
        <m:r>
          <m:rPr>
            <m:sty m:val="p"/>
          </m:rPr>
          <m:t>=</m:t>
        </m:r>
        <m:r>
          <m:t>0.01</m:t>
        </m:r>
      </m:oMath>
      <w:r>
        <w:t xml:space="preserve">), so that test marks the limit of observable personas rather than a limit of particular models; settings in which observable attributes, such as purchase histories, are more predictive of purchase frequency would be a stronger test of Proposition 1. In the Complete Journey data campaigns were targeted rather than randomized, so only the email experiment supports a causal comparison. Design C truncates its top bin, which lowers the dispersion it can reach; we quantified this ceiling but did not remove it. Public data may also be part of the models’ training data. Future work should evaluate the hybrid design with a calibrated mean, test prompts that elicit several candidate answers with probabilities, and use a randomized promotion data set with purchase counts, for example from a partner firm, so that the count-distribution and treatment-effect questions can be studied on the same customers.</w:t>
      </w:r>
    </w:p>
    <w:bookmarkEnd w:id="60"/>
    <w:bookmarkEnd w:id="61"/>
    <w:bookmarkStart w:id="62" w:name="conclusion"/>
    <w:p>
      <w:pPr>
        <w:pStyle w:val="Heading1"/>
      </w:pPr>
      <w:r>
        <w:t xml:space="preserve">7. Conclusion</w:t>
      </w:r>
    </w:p>
    <w:p>
      <w:pPr>
        <w:pStyle w:val="FirstParagraph"/>
      </w:pPr>
      <w:r>
        <w:t xml:space="preserve">Synthetic customers built from language models do not yet reproduce the shape of real purchase-count distributions or the size of real promotion effects. Direct and day-by-day designs collapse toward a single value whether the mean is 0.5, 4.8, or 7.8, and larger, more recent models do not change this; describing a distribution repairs part of the damage but loses zeros; and a hybrid that takes only the mean from the model matches the dispersion when that mean is accurate. In a randomized email test the models usually get the sign of the effect right, but the absolute lift in purchase probability is overstated in 15 of 16 configurations and similar treatments are not told apart. Practitioners who use synthetic customers should check dispersion and zero share against their own data, rely on the model for means only, and validate absolute effects before they act on them. For the design of such systems, the evidence points to separating the level, which the model can supply, from the spread, which must come from an external calibrated source, and to evaluating the artifact against the decision it is meant to support.</w:t>
      </w:r>
    </w:p>
    <w:bookmarkEnd w:id="62"/>
    <w:bookmarkStart w:id="63"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submitted June 16, arXiv:2606.20708.</w:t>
      </w:r>
    </w:p>
    <w:p>
      <w:pPr>
        <w:pStyle w:val="BodyText"/>
      </w:pPr>
      <w:r>
        <w:t xml:space="preserve">Chu ML, Terhorst L, Reed K, et al. (2025) LLM-based multi-agent system for simulating and analyzing marketing and consumer behavior. Preprint, submitted October 20, arXiv:2510.18155.</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submitted April 8, arXiv:2604.07513.</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Goli A, Singh A (2023) Can LLMs capture human preferences? Preprint, submitted May 4, arXiv:2305.02531.</w:t>
      </w:r>
    </w:p>
    <w:p>
      <w:pPr>
        <w:pStyle w:val="BodyText"/>
      </w:pPr>
      <w:r>
        <w:t xml:space="preserve">Gu J, Pang L, Shen H, Cheng X (2024) Do LLMs play dice? Exploring probability distribution sampling in large language models for behavioral simulation. Preprint, submitted April 13, arXiv:2404.09043.</w:t>
      </w:r>
    </w:p>
    <w:p>
      <w:pPr>
        <w:pStyle w:val="BodyText"/>
      </w:pPr>
      <w:r>
        <w:t xml:space="preserve">Gregor S, Hevner AR (2013) Positioning and presenting design science research for maximum impact.</w:t>
      </w:r>
      <w:r>
        <w:t xml:space="preserve"> </w:t>
      </w:r>
      <w:r>
        <w:rPr>
          <w:iCs/>
          <w:i/>
        </w:rPr>
        <w:t xml:space="preserve">MIS Quart.</w:t>
      </w:r>
      <w:r>
        <w:t xml:space="preserve"> </w:t>
      </w:r>
      <w:r>
        <w:t xml:space="preserve">37(2):337–355.</w:t>
      </w:r>
    </w:p>
    <w:p>
      <w:pPr>
        <w:pStyle w:val="BodyText"/>
      </w:pPr>
      <w:r>
        <w:t xml:space="preserve">Dellermann D, Ebel P, Söllner M, Leimeister JM (2019) Hybrid intelligence.</w:t>
      </w:r>
      <w:r>
        <w:t xml:space="preserve"> </w:t>
      </w:r>
      <w:r>
        <w:rPr>
          <w:iCs/>
          <w:i/>
        </w:rPr>
        <w:t xml:space="preserve">Bus. Inform. Systems Engrg.</w:t>
      </w:r>
      <w:r>
        <w:t xml:space="preserve"> </w:t>
      </w:r>
      <w:r>
        <w:t xml:space="preserve">61(5):637–643.</w:t>
      </w:r>
    </w:p>
    <w:p>
      <w:pPr>
        <w:pStyle w:val="BodyText"/>
      </w:pPr>
      <w:r>
        <w:t xml:space="preserve">Hevner AR, March ST, Park J, Ram S (2004) Design science in information systems research.</w:t>
      </w:r>
      <w:r>
        <w:t xml:space="preserve"> </w:t>
      </w:r>
      <w:r>
        <w:rPr>
          <w:iCs/>
          <w:i/>
        </w:rPr>
        <w:t xml:space="preserve">MIS Quart.</w:t>
      </w:r>
      <w:r>
        <w:t xml:space="preserve"> </w:t>
      </w:r>
      <w:r>
        <w:t xml:space="preserve">28(1):75–105.</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submitted January 18, arXiv:2301.07543.</w:t>
      </w:r>
    </w:p>
    <w:p>
      <w:pPr>
        <w:pStyle w:val="BodyText"/>
      </w:pPr>
      <w:r>
        <w:t xml:space="preserve">Huang C, Wang K (2026) LLM-powered virtual population for demand simulation and pricing. Preprint, submitted June 15, arXiv:2606.16183.</w:t>
      </w:r>
    </w:p>
    <w:p>
      <w:pPr>
        <w:pStyle w:val="BodyText"/>
      </w:pPr>
      <w:r>
        <w:t xml:space="preserve">Jang C, Lee D, Kim J (2026) Instruction-tuned language models cannot sample from distributions they can describe. Preprint, submitted July 28, arXiv:2607.25292.</w:t>
      </w:r>
    </w:p>
    <w:p>
      <w:pPr>
        <w:pStyle w:val="BodyText"/>
      </w:pPr>
      <w:r>
        <w:t xml:space="preserve">Li D, Li L, Qiu HS (2025) ChatGPT is not a man but Das Man: Representativeness and structural consistency of silicon samples generated by large language models. Preprint, submitted June 25, arXiv:2507.02919.</w:t>
      </w:r>
    </w:p>
    <w:p>
      <w:pPr>
        <w:pStyle w:val="BodyText"/>
      </w:pPr>
      <w:r>
        <w:t xml:space="preserve">Maier BF, Aslak U, Fiaschi L, et al. (2025) LLMs reproduce human purchase intent via semantic similarity elicitation of Likert ratings. Preprint, submitted October 9, arXiv:2510.08338.</w:t>
      </w:r>
    </w:p>
    <w:p>
      <w:pPr>
        <w:pStyle w:val="BodyText"/>
      </w:pPr>
      <w:r>
        <w:t xml:space="preserve">Melville N, Kraemer K, Gurbaxani V (2004) Review: Information technology and organizational performance: An integrative model of IT business value.</w:t>
      </w:r>
      <w:r>
        <w:t xml:space="preserve"> </w:t>
      </w:r>
      <w:r>
        <w:rPr>
          <w:iCs/>
          <w:i/>
        </w:rPr>
        <w:t xml:space="preserve">MIS Quart.</w:t>
      </w:r>
      <w:r>
        <w:t xml:space="preserve"> </w:t>
      </w:r>
      <w:r>
        <w:t xml:space="preserve">28(2):283–322.</w:t>
      </w:r>
    </w:p>
    <w:p>
      <w:pPr>
        <w:pStyle w:val="BodyText"/>
      </w:pPr>
      <w:r>
        <w:t xml:space="preserve">Orlikowski WJ, Iacono CS (2001) Research commentary: Desperately seeking the</w:t>
      </w:r>
      <w:r>
        <w:t xml:space="preserve"> </w:t>
      </w:r>
      <w:r>
        <w:t xml:space="preserve">“</w:t>
      </w:r>
      <w:r>
        <w:t xml:space="preserve">IT</w:t>
      </w:r>
      <w:r>
        <w:t xml:space="preserve">”</w:t>
      </w:r>
      <w:r>
        <w:t xml:space="preserve"> </w:t>
      </w:r>
      <w:r>
        <w:t xml:space="preserve">in IT research—A call to theorizing the IT artifact.</w:t>
      </w:r>
      <w:r>
        <w:t xml:space="preserve"> </w:t>
      </w:r>
      <w:r>
        <w:rPr>
          <w:iCs/>
          <w:i/>
        </w:rPr>
        <w:t xml:space="preserve">Inform. Systems Res.</w:t>
      </w:r>
      <w:r>
        <w:t xml:space="preserve"> </w:t>
      </w:r>
      <w:r>
        <w:t xml:space="preserve">12(2):121–134.</w:t>
      </w:r>
    </w:p>
    <w:p>
      <w:pPr>
        <w:pStyle w:val="BodyText"/>
      </w:pPr>
      <w:r>
        <w:t xml:space="preserve">Sashihara J, Fujita Y, Nakamura K, et al. (2025) LLM-based multi-agent system for simulating strategic and goal-oriented data marketplaces. Preprint, submitted November 17,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Lee JD, See KA (2004) Trust in automation: Designing for appropriate reliance.</w:t>
      </w:r>
      <w:r>
        <w:t xml:space="preserve"> </w:t>
      </w:r>
      <w:r>
        <w:rPr>
          <w:iCs/>
          <w:i/>
        </w:rPr>
        <w:t xml:space="preserve">Human Factors</w:t>
      </w:r>
      <w:r>
        <w:t xml:space="preserve"> </w:t>
      </w:r>
      <w:r>
        <w:t xml:space="preserve">46(1):50–80.</w:t>
      </w:r>
    </w:p>
    <w:p>
      <w:pPr>
        <w:pStyle w:val="BodyText"/>
      </w:pPr>
      <w:r>
        <w:t xml:space="preserve">Tigre R, Souto HG (2026) When can you trust your synthetic users? Diagnostics and corrections for LLM consumer panels. Preprint, submitted June 3, arXiv:2609.13148.</w:t>
      </w:r>
    </w:p>
    <w:p>
      <w:pPr>
        <w:pStyle w:val="BodyText"/>
      </w:pPr>
      <w:r>
        <w:t xml:space="preserve">Wedel M, Kannan PK (2016) Marketing analytics for data-rich environments.</w:t>
      </w:r>
      <w:r>
        <w:t xml:space="preserve"> </w:t>
      </w:r>
      <w:r>
        <w:rPr>
          <w:iCs/>
          <w:i/>
        </w:rPr>
        <w:t xml:space="preserve">J. Marketing</w:t>
      </w:r>
      <w:r>
        <w:t xml:space="preserve"> </w:t>
      </w:r>
      <w:r>
        <w:t xml:space="preserve">80(6):97–121.</w:t>
      </w:r>
    </w:p>
    <w:p>
      <w:pPr>
        <w:pStyle w:val="BodyText"/>
      </w:pPr>
      <w:r>
        <w:t xml:space="preserve">Zhang J, Yu S, Chong D, et al. (2025a) Verbalized sampling: How to mitigate mode collapse and unlock LLM diversity. Preprint, submitted October 1, arXiv:2510.01171.</w:t>
      </w:r>
    </w:p>
    <w:p>
      <w:pPr>
        <w:pStyle w:val="BodyText"/>
      </w:pPr>
      <w:r>
        <w:t xml:space="preserve">Zhang R, Zhang X, Zhao M (2025b) Predicting effects, missing distributions: Evaluating LLMs as human behavior simulators in operations management. Preprint, submitted September 30, arXiv:2510.03310.</w:t>
      </w:r>
    </w:p>
    <w:bookmarkEnd w:id="63"/>
    <w:bookmarkStart w:id="64" w:name="appendix-a.-prompt-templates"/>
    <w:p>
      <w:pPr>
        <w:pStyle w:val="Heading1"/>
      </w:pPr>
      <w:r>
        <w:t xml:space="preserve">Appendix A. Prompt Templates</w:t>
      </w:r>
    </w:p>
    <w:p>
      <w:pPr>
        <w:pStyle w:val="FirstParagraph"/>
      </w:pPr>
      <w:r>
        <w:t xml:space="preserve">Persona text, low-mean setting:</w:t>
      </w:r>
      <w:r>
        <w:t xml:space="preserve"> </w:t>
      </w:r>
      <w:r>
        <w:t xml:space="preserve">“</w:t>
      </w:r>
      <w:r>
        <w:t xml:space="preserve">You are a customer of an online giftware retailer. Profile: {segment}, age {age}, based in {country}. You made your first purchase 4 weeks ago.</w:t>
      </w:r>
      <w:r>
        <w:t xml:space="preserve">”</w:t>
      </w:r>
      <w:r>
        <w:t xml:space="preserve"> </w:t>
      </w:r>
      <w:r>
        <w:t xml:space="preserve">Anchored variant adds:</w:t>
      </w:r>
      <w:r>
        <w:t xml:space="preserve"> </w:t>
      </w:r>
      <w:r>
        <w:t xml:space="preserve">“</w:t>
      </w:r>
      <w:r>
        <w:t xml:space="preserve">Context: customers of this retailer make on average about 0.5 purchases per 4 weeks, and most make none.</w:t>
      </w:r>
      <w:r>
        <w:t xml:space="preserve">”</w:t>
      </w:r>
    </w:p>
    <w:p>
      <w:pPr>
        <w:pStyle w:val="BodyText"/>
      </w:pPr>
      <w:r>
        <w:t xml:space="preserve">Persona text, high-mean setting:</w:t>
      </w:r>
      <w:r>
        <w:t xml:space="preserve"> </w:t>
      </w:r>
      <w:r>
        <w:t xml:space="preserve">“</w:t>
      </w:r>
      <w:r>
        <w:t xml:space="preserve">You are a household with a loyalty card at a supermarket chain and you do part of your grocery shopping there. Profile: {segment}, head of household aged {age}, {household size} person(s).</w:t>
      </w:r>
      <w:r>
        <w:t xml:space="preserve">”</w:t>
      </w:r>
      <w:r>
        <w:t xml:space="preserve"> </w:t>
      </w:r>
      <w:r>
        <w:t xml:space="preserve">Anchored variant adds:</w:t>
      </w:r>
      <w:r>
        <w:t xml:space="preserve"> </w:t>
      </w:r>
      <w:r>
        <w:t xml:space="preserve">“</w:t>
      </w:r>
      <w:r>
        <w:t xml:space="preserve">Context: households in this loyalty program make on average about 5 shopping trips to the chain per 4 weeks, and some make none.</w:t>
      </w:r>
      <w:r>
        <w:t xml:space="preserve">”</w:t>
      </w:r>
    </w:p>
    <w:p>
      <w:pPr>
        <w:pStyle w:val="BodyText"/>
      </w:pPr>
      <w:r>
        <w:t xml:space="preserve">Questions. Design A:</w:t>
      </w:r>
      <w:r>
        <w:t xml:space="preserve"> </w:t>
      </w:r>
      <w:r>
        <w:t xml:space="preserve">“</w:t>
      </w:r>
      <w:r>
        <w:t xml:space="preserve">How many separate purchases will you make in the next 4 weeks? Answer with ONLY an integer.</w:t>
      </w:r>
      <w:r>
        <w:t xml:space="preserve">”</w:t>
      </w:r>
      <w:r>
        <w:t xml:space="preserve"> </w:t>
      </w:r>
      <w:r>
        <w:t xml:space="preserve">Design B:</w:t>
      </w:r>
      <w:r>
        <w:t xml:space="preserve"> </w:t>
      </w:r>
      <w:r>
        <w:t xml:space="preserve">“</w:t>
      </w:r>
      <w:r>
        <w:t xml:space="preserve">Week {w} of the next 4 weeks: for each of its 7 days decide whether you make a purchase that day. Reply with ONLY 7 comma-separated 0/1 values.</w:t>
      </w:r>
      <w:r>
        <w:t xml:space="preserve">”</w:t>
      </w:r>
      <w:r>
        <w:t xml:space="preserve"> </w:t>
      </w:r>
      <w:r>
        <w:t xml:space="preserve">Design C:</w:t>
      </w:r>
      <w:r>
        <w:t xml:space="preserve"> </w:t>
      </w:r>
      <w:r>
        <w:t xml:space="preserve">“</w:t>
      </w:r>
      <w:r>
        <w:t xml:space="preserve">Give the probabilities of making {bins} purchases in the next 4 weeks. Reply with ONLY JSON like {…} summing to 1.</w:t>
      </w:r>
      <w:r>
        <w:t xml:space="preserve">”</w:t>
      </w:r>
      <w:r>
        <w:t xml:space="preserve"> </w:t>
      </w:r>
      <w:r>
        <w:t xml:space="preserve">Design D:</w:t>
      </w:r>
      <w:r>
        <w:t xml:space="preserve"> </w:t>
      </w:r>
      <w:r>
        <w:t xml:space="preserve">“</w:t>
      </w:r>
      <w:r>
        <w:t xml:space="preserve">What is your expected average number of purchases per 4 weeks (can be fractional, e.g. 0.4)? Reply with ONLY a number.</w:t>
      </w:r>
      <w:r>
        <w:t xml:space="preserve">”</w:t>
      </w:r>
      <w:r>
        <w:t xml:space="preserve"> </w:t>
      </w:r>
      <w:r>
        <w:t xml:space="preserve">Email experiment: persona from the customer’s recency, 12-month spend, merchandise bought, area, new or existing status, and channel, followed by one of three sentences describing the email received, and</w:t>
      </w:r>
      <w:r>
        <w:t xml:space="preserve"> </w:t>
      </w:r>
      <w:r>
        <w:t xml:space="preserve">“</w:t>
      </w:r>
      <w:r>
        <w:t xml:space="preserve">What is the probability, from 0 to 100 percent, that you will {visit the retailer’s website / make a purchase from the retailer} during the next two weeks? Reply with ONLY a number.</w:t>
      </w:r>
      <w:r>
        <w:t xml:space="preserve">”</w:t>
      </w:r>
    </w:p>
    <w:bookmarkEnd w:id="64"/>
    <w:bookmarkStart w:id="65" w:name="appendix-b.-full-results"/>
    <w:p>
      <w:pPr>
        <w:pStyle w:val="Heading1"/>
      </w:pPr>
      <w:r>
        <w:t xml:space="preserve">Appendix B. Full Results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1.92*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13.56*</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1.30*</w:t>
            </w:r>
          </w:p>
        </w:tc>
        <w:tc>
          <w:tcPr/>
          <w:p>
            <w:pPr>
              <w:pStyle w:val="Compact"/>
              <w:spacing w:before="20" w:after="20" w:line="240" w:lineRule="auto"/>
              <w:ind w:firstLine="0"/>
              <w:jc w:val="left"/>
            </w:pPr>
            <w:r>
              <w:rPr>
                <w:rFonts w:ascii="Times New Roman" w:hAnsi="Times New Roman"/>
                <w:sz w:val="17"/>
              </w:rPr>
              <w:t xml:space="preserve">1.21*</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2.79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0.33*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1.17*</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2.01*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3.13*</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1.61*</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0.62*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0.42*</w:t>
            </w:r>
          </w:p>
        </w:tc>
        <w:tc>
          <w:tcPr/>
          <w:p>
            <w:pPr>
              <w:pStyle w:val="Compact"/>
              <w:spacing w:before="20" w:after="20" w:line="240" w:lineRule="auto"/>
              <w:ind w:firstLine="0"/>
              <w:jc w:val="left"/>
            </w:pPr>
            <w:r>
              <w:rPr>
                <w:rFonts w:ascii="Times New Roman" w:hAnsi="Times New Roman"/>
                <w:sz w:val="17"/>
              </w:rPr>
              <w:t xml:space="preserve">2.03*</w:t>
            </w:r>
          </w:p>
        </w:tc>
        <w:tc>
          <w:tcPr/>
          <w:p>
            <w:pPr>
              <w:pStyle w:val="Compact"/>
              <w:spacing w:before="20" w:after="20" w:line="240" w:lineRule="auto"/>
              <w:ind w:firstLine="0"/>
              <w:jc w:val="left"/>
            </w:pPr>
            <w:r>
              <w:rPr>
                <w:rFonts w:ascii="Times New Roman" w:hAnsi="Times New Roman"/>
                <w:sz w:val="17"/>
              </w:rPr>
              <w:t xml:space="preserve">0.75</w:t>
            </w:r>
          </w:p>
        </w:tc>
        <w:tc>
          <w:tcPr/>
          <w:p>
            <w:pPr>
              <w:pStyle w:val="Compact"/>
              <w:spacing w:before="20" w:after="20" w:line="240" w:lineRule="auto"/>
              <w:ind w:firstLine="0"/>
              <w:jc w:val="left"/>
            </w:pPr>
            <w:r>
              <w:rPr>
                <w:rFonts w:ascii="Times New Roman" w:hAnsi="Times New Roman"/>
                <w:sz w:val="17"/>
              </w:rPr>
              <w:t xml:space="preserve">2.43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0.41*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1.08*</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0.93*</w:t>
            </w:r>
          </w:p>
        </w:tc>
        <w:tc>
          <w:tcPr/>
          <w:p>
            <w:pPr>
              <w:pStyle w:val="Compact"/>
              <w:spacing w:before="20" w:after="20" w:line="240" w:lineRule="auto"/>
              <w:ind w:firstLine="0"/>
              <w:jc w:val="left"/>
            </w:pPr>
            <w:r>
              <w:rPr>
                <w:rFonts w:ascii="Times New Roman" w:hAnsi="Times New Roman"/>
                <w:sz w:val="17"/>
              </w:rPr>
              <w:t xml:space="preserve">3.38*</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2.57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1.64*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-0.49*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0.89*</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0.85*</w:t>
            </w:r>
          </w:p>
        </w:tc>
        <w:tc>
          <w:tcPr/>
          <w:p>
            <w:pPr>
              <w:pStyle w:val="Compact"/>
              <w:spacing w:before="20" w:after="20" w:line="240" w:lineRule="auto"/>
              <w:ind w:firstLine="0"/>
              <w:jc w:val="left"/>
            </w:pPr>
            <w:r>
              <w:rPr>
                <w:rFonts w:ascii="Times New Roman" w:hAnsi="Times New Roman"/>
                <w:sz w:val="17"/>
              </w:rPr>
              <w:t xml:space="preserve">1.60*</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2.90</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2.95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2.10*</w:t>
            </w:r>
          </w:p>
        </w:tc>
        <w:tc>
          <w:tcPr/>
          <w:p>
            <w:pPr>
              <w:pStyle w:val="Compact"/>
              <w:spacing w:before="20" w:after="20" w:line="240" w:lineRule="auto"/>
              <w:ind w:firstLine="0"/>
              <w:jc w:val="left"/>
            </w:pPr>
            <w:r>
              <w:rPr>
                <w:rFonts w:ascii="Times New Roman" w:hAnsi="Times New Roman"/>
                <w:sz w:val="17"/>
              </w:rPr>
              <w:t xml:space="preserve">1.14*</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0.80*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2.04*</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2.09*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1.37*</w:t>
            </w:r>
          </w:p>
        </w:tc>
        <w:tc>
          <w:tcPr/>
          <w:p>
            <w:pPr>
              <w:pStyle w:val="Compact"/>
              <w:spacing w:before="20" w:after="20" w:line="240" w:lineRule="auto"/>
              <w:ind w:firstLine="0"/>
              <w:jc w:val="left"/>
            </w:pPr>
            <w:r>
              <w:rPr>
                <w:rFonts w:ascii="Times New Roman" w:hAnsi="Times New Roman"/>
                <w:sz w:val="17"/>
              </w:rPr>
              <w:t xml:space="preserve">0.87*</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3.13*</w:t>
            </w:r>
          </w:p>
        </w:tc>
        <w:tc>
          <w:tcPr/>
          <w:p>
            <w:pPr>
              <w:pStyle w:val="Compact"/>
              <w:spacing w:before="20" w:after="20" w:line="240" w:lineRule="auto"/>
              <w:ind w:firstLine="0"/>
              <w:jc w:val="left"/>
            </w:pPr>
            <w:r>
              <w:rPr>
                <w:rFonts w:ascii="Times New Roman" w:hAnsi="Times New Roman"/>
                <w:sz w:val="17"/>
              </w:rPr>
              <w:t xml:space="preserve">2.95*</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0.62*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1.57*</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2.37</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2.93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-0.88*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n/a</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n/a</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1.30*</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0.63*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0.39*</w:t>
            </w:r>
          </w:p>
        </w:tc>
        <w:tc>
          <w:tcPr/>
          <w:p>
            <w:pPr>
              <w:pStyle w:val="Compact"/>
              <w:spacing w:before="20" w:after="20" w:line="240" w:lineRule="auto"/>
              <w:ind w:firstLine="0"/>
              <w:jc w:val="left"/>
            </w:pPr>
            <w:r>
              <w:rPr>
                <w:rFonts w:ascii="Times New Roman" w:hAnsi="Times New Roman"/>
                <w:sz w:val="17"/>
              </w:rPr>
              <w:t xml:space="preserve">2.46</w:t>
            </w:r>
          </w:p>
        </w:tc>
        <w:tc>
          <w:tcPr/>
          <w:p>
            <w:pPr>
              <w:pStyle w:val="Compact"/>
              <w:spacing w:before="20" w:after="20" w:line="240" w:lineRule="auto"/>
              <w:ind w:firstLine="0"/>
              <w:jc w:val="left"/>
            </w:pPr>
            <w:r>
              <w:rPr>
                <w:rFonts w:ascii="Times New Roman" w:hAnsi="Times New Roman"/>
                <w:sz w:val="17"/>
              </w:rPr>
              <w:t xml:space="preserve">0.77</w:t>
            </w:r>
          </w:p>
        </w:tc>
        <w:tc>
          <w:tcPr/>
          <w:p>
            <w:pPr>
              <w:pStyle w:val="Compact"/>
              <w:spacing w:before="20" w:after="20" w:line="240" w:lineRule="auto"/>
              <w:ind w:firstLine="0"/>
              <w:jc w:val="left"/>
            </w:pPr>
            <w:r>
              <w:rPr>
                <w:rFonts w:ascii="Times New Roman" w:hAnsi="Times New Roman"/>
                <w:sz w:val="17"/>
              </w:rPr>
              <w:t xml:space="preserve">3.74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0.51*</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1.60*</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0.51</w:t>
            </w:r>
          </w:p>
        </w:tc>
        <w:tc>
          <w:tcPr/>
          <w:p>
            <w:pPr>
              <w:pStyle w:val="Compact"/>
              <w:spacing w:before="20" w:after="20" w:line="240" w:lineRule="auto"/>
              <w:ind w:firstLine="0"/>
              <w:jc w:val="left"/>
            </w:pPr>
            <w:r>
              <w:rPr>
                <w:rFonts w:ascii="Times New Roman" w:hAnsi="Times New Roman"/>
                <w:sz w:val="17"/>
              </w:rPr>
              <w:t xml:space="preserve">1.25*</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3.09</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3.77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-0.86*</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2.37</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2.42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2.10*</w:t>
            </w:r>
          </w:p>
        </w:tc>
        <w:tc>
          <w:tcPr/>
          <w:p>
            <w:pPr>
              <w:pStyle w:val="Compact"/>
              <w:spacing w:before="20" w:after="20" w:line="240" w:lineRule="auto"/>
              <w:ind w:firstLine="0"/>
              <w:jc w:val="left"/>
            </w:pPr>
            <w:r>
              <w:rPr>
                <w:rFonts w:ascii="Times New Roman" w:hAnsi="Times New Roman"/>
                <w:sz w:val="17"/>
              </w:rPr>
              <w:t xml:space="preserve">14.72*</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6.54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4.73*</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0.60*</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2.40</w:t>
            </w:r>
          </w:p>
        </w:tc>
        <w:tc>
          <w:tcPr/>
          <w:p>
            <w:pPr>
              <w:pStyle w:val="Compact"/>
              <w:spacing w:before="20" w:after="20" w:line="240" w:lineRule="auto"/>
              <w:ind w:firstLine="0"/>
              <w:jc w:val="left"/>
            </w:pPr>
            <w:r>
              <w:rPr>
                <w:rFonts w:ascii="Times New Roman" w:hAnsi="Times New Roman"/>
                <w:sz w:val="17"/>
              </w:rPr>
              <w:t xml:space="preserve">0.76</w:t>
            </w:r>
          </w:p>
        </w:tc>
        <w:tc>
          <w:tcPr/>
          <w:p>
            <w:pPr>
              <w:pStyle w:val="Compact"/>
              <w:spacing w:before="20" w:after="20" w:line="240" w:lineRule="auto"/>
              <w:ind w:firstLine="0"/>
              <w:jc w:val="left"/>
            </w:pPr>
            <w:r>
              <w:rPr>
                <w:rFonts w:ascii="Times New Roman" w:hAnsi="Times New Roman"/>
                <w:sz w:val="17"/>
              </w:rPr>
              <w:t xml:space="preserve">3.22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0.50</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0.57*</w:t>
            </w:r>
          </w:p>
        </w:tc>
        <w:tc>
          <w:tcPr/>
          <w:p>
            <w:pPr>
              <w:pStyle w:val="Compact"/>
              <w:spacing w:before="20" w:after="20" w:line="240" w:lineRule="auto"/>
              <w:ind w:firstLine="0"/>
              <w:jc w:val="left"/>
            </w:pPr>
            <w:r>
              <w:rPr>
                <w:rFonts w:ascii="Times New Roman" w:hAnsi="Times New Roman"/>
                <w:sz w:val="17"/>
              </w:rPr>
              <w:t xml:space="preserve">-0.37*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0.54</w:t>
            </w:r>
          </w:p>
        </w:tc>
        <w:tc>
          <w:tcPr/>
          <w:p>
            <w:pPr>
              <w:pStyle w:val="Compact"/>
              <w:spacing w:before="20" w:after="20" w:line="240" w:lineRule="auto"/>
              <w:ind w:firstLine="0"/>
              <w:jc w:val="left"/>
            </w:pPr>
            <w:r>
              <w:rPr>
                <w:rFonts w:ascii="Times New Roman" w:hAnsi="Times New Roman"/>
                <w:sz w:val="17"/>
              </w:rPr>
              <w:t xml:space="preserve">1.04*</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2.52</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2.49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1.05*</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3.51*</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-0.18*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1.26*</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1.62*</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2.27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1.45*</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2.61</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2.74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1.04*</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-0.35*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5.06*</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1.37*</w:t>
            </w:r>
          </w:p>
        </w:tc>
        <w:tc>
          <w:tcPr/>
          <w:p>
            <w:pPr>
              <w:pStyle w:val="Compact"/>
              <w:spacing w:before="20" w:after="20" w:line="240" w:lineRule="auto"/>
              <w:ind w:firstLine="0"/>
              <w:jc w:val="left"/>
            </w:pPr>
            <w:r>
              <w:rPr>
                <w:rFonts w:ascii="Times New Roman" w:hAnsi="Times New Roman"/>
                <w:sz w:val="17"/>
              </w:rPr>
              <w:t xml:space="preserve">0.45*</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1.47*</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-0.89*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-0.03*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1.13*</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0.23*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2.05</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2.25</w:t>
            </w:r>
          </w:p>
        </w:tc>
      </w:tr>
    </w:tbl>
    <w:p>
      <w:pPr>
        <w:pStyle w:val="BodyText"/>
        <w:spacing w:line="240" w:lineRule="auto"/>
        <w:ind w:firstLine="0"/>
      </w:pPr>
      <w:r>
        <w:rPr>
          <w:iCs/>
          <w:i/>
        </w:rPr>
        <w:t xml:space="preserve">Table B1. Low-mean setting, per cell. Reference row: negative binomial with mean 0.49 and alpha 3.05. * the 95% bootstrap interval excludes the reference value. Temperatures are pooled for GPT-4o-mini and Llama.</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16.45*</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5.37*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9.02</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16.65*</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5.46*</w:t>
            </w:r>
          </w:p>
        </w:tc>
        <w:tc>
          <w:tcPr/>
          <w:p>
            <w:pPr>
              <w:pStyle w:val="Compact"/>
              <w:spacing w:before="20" w:after="20" w:line="240" w:lineRule="auto"/>
              <w:ind w:firstLine="0"/>
              <w:jc w:val="left"/>
            </w:pPr>
            <w:r>
              <w:rPr>
                <w:rFonts w:ascii="Times New Roman" w:hAnsi="Times New Roman"/>
                <w:sz w:val="17"/>
              </w:rPr>
              <w:t xml:space="preserve">6.44*</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5.33</w:t>
            </w:r>
          </w:p>
        </w:tc>
        <w:tc>
          <w:tcPr/>
          <w:p>
            <w:pPr>
              <w:pStyle w:val="Compact"/>
              <w:spacing w:before="20" w:after="20" w:line="240" w:lineRule="auto"/>
              <w:ind w:firstLine="0"/>
              <w:jc w:val="left"/>
            </w:pPr>
            <w:r>
              <w:rPr>
                <w:rFonts w:ascii="Times New Roman" w:hAnsi="Times New Roman"/>
                <w:sz w:val="17"/>
              </w:rPr>
              <w:t xml:space="preserve">8.73</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1.45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9.86*</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7.32*</w:t>
            </w:r>
          </w:p>
        </w:tc>
        <w:tc>
          <w:tcPr/>
          <w:p>
            <w:pPr>
              <w:pStyle w:val="Compact"/>
              <w:spacing w:before="20" w:after="20" w:line="240" w:lineRule="auto"/>
              <w:ind w:firstLine="0"/>
              <w:jc w:val="left"/>
            </w:pPr>
            <w:r>
              <w:rPr>
                <w:rFonts w:ascii="Times New Roman" w:hAnsi="Times New Roman"/>
                <w:sz w:val="17"/>
              </w:rPr>
              <w:t xml:space="preserve">4.85*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6.06*</w:t>
            </w:r>
          </w:p>
        </w:tc>
        <w:tc>
          <w:tcPr/>
          <w:p>
            <w:pPr>
              <w:pStyle w:val="Compact"/>
              <w:spacing w:before="20" w:after="20" w:line="240" w:lineRule="auto"/>
              <w:ind w:firstLine="0"/>
              <w:jc w:val="left"/>
            </w:pPr>
            <w:r>
              <w:rPr>
                <w:rFonts w:ascii="Times New Roman" w:hAnsi="Times New Roman"/>
                <w:sz w:val="17"/>
              </w:rPr>
              <w:t xml:space="preserve">9.06</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1.33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7.03*</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6.49*</w:t>
            </w:r>
          </w:p>
        </w:tc>
        <w:tc>
          <w:tcPr/>
          <w:p>
            <w:pPr>
              <w:pStyle w:val="Compact"/>
              <w:spacing w:before="20" w:after="20" w:line="240" w:lineRule="auto"/>
              <w:ind w:firstLine="0"/>
              <w:jc w:val="left"/>
            </w:pPr>
            <w:r>
              <w:rPr>
                <w:rFonts w:ascii="Times New Roman" w:hAnsi="Times New Roman"/>
                <w:sz w:val="17"/>
              </w:rPr>
              <w:t xml:space="preserve">5.76*</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4.26*</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1.15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7.71*</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9.93*</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6.16*</w:t>
            </w:r>
          </w:p>
        </w:tc>
        <w:tc>
          <w:tcPr/>
          <w:p>
            <w:pPr>
              <w:pStyle w:val="Compact"/>
              <w:spacing w:before="20" w:after="20" w:line="240" w:lineRule="auto"/>
              <w:ind w:firstLine="0"/>
              <w:jc w:val="left"/>
            </w:pPr>
            <w:r>
              <w:rPr>
                <w:rFonts w:ascii="Times New Roman" w:hAnsi="Times New Roman"/>
                <w:sz w:val="17"/>
              </w:rPr>
              <w:t xml:space="preserve">4.13*</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0.51*</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4.81</w:t>
            </w:r>
          </w:p>
        </w:tc>
        <w:tc>
          <w:tcPr/>
          <w:p>
            <w:pPr>
              <w:pStyle w:val="Compact"/>
              <w:spacing w:before="20" w:after="20" w:line="240" w:lineRule="auto"/>
              <w:ind w:firstLine="0"/>
              <w:jc w:val="left"/>
            </w:pPr>
            <w:r>
              <w:rPr>
                <w:rFonts w:ascii="Times New Roman" w:hAnsi="Times New Roman"/>
                <w:sz w:val="17"/>
              </w:rPr>
              <w:t xml:space="preserve">7.48</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1.35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9.47*</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5.66*</w:t>
            </w:r>
          </w:p>
        </w:tc>
        <w:tc>
          <w:tcPr/>
          <w:p>
            <w:pPr>
              <w:pStyle w:val="Compact"/>
              <w:spacing w:before="20" w:after="20" w:line="240" w:lineRule="auto"/>
              <w:ind w:firstLine="0"/>
              <w:jc w:val="left"/>
            </w:pPr>
            <w:r>
              <w:rPr>
                <w:rFonts w:ascii="Times New Roman" w:hAnsi="Times New Roman"/>
                <w:sz w:val="17"/>
              </w:rPr>
              <w:t xml:space="preserve">5.82*</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0.85*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3.66*</w:t>
            </w:r>
          </w:p>
        </w:tc>
        <w:tc>
          <w:tcPr/>
          <w:p>
            <w:pPr>
              <w:pStyle w:val="Compact"/>
              <w:spacing w:before="20" w:after="20" w:line="240" w:lineRule="auto"/>
              <w:ind w:firstLine="0"/>
              <w:jc w:val="left"/>
            </w:pPr>
            <w:r>
              <w:rPr>
                <w:rFonts w:ascii="Times New Roman" w:hAnsi="Times New Roman"/>
                <w:sz w:val="17"/>
              </w:rPr>
              <w:t xml:space="preserve">5.84*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1.32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8.02*</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10.30*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7.15*</w:t>
            </w:r>
          </w:p>
        </w:tc>
        <w:tc>
          <w:tcPr/>
          <w:p>
            <w:pPr>
              <w:pStyle w:val="Compact"/>
              <w:spacing w:before="20" w:after="20" w:line="240" w:lineRule="auto"/>
              <w:ind w:firstLine="0"/>
              <w:jc w:val="left"/>
            </w:pPr>
            <w:r>
              <w:rPr>
                <w:rFonts w:ascii="Times New Roman" w:hAnsi="Times New Roman"/>
                <w:sz w:val="17"/>
              </w:rPr>
              <w:t xml:space="preserve">4.57*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5.58*</w:t>
            </w:r>
          </w:p>
        </w:tc>
        <w:tc>
          <w:tcPr/>
          <w:p>
            <w:pPr>
              <w:pStyle w:val="Compact"/>
              <w:spacing w:before="20" w:after="20" w:line="240" w:lineRule="auto"/>
              <w:ind w:firstLine="0"/>
              <w:jc w:val="left"/>
            </w:pPr>
            <w:r>
              <w:rPr>
                <w:rFonts w:ascii="Times New Roman" w:hAnsi="Times New Roman"/>
                <w:sz w:val="17"/>
              </w:rPr>
              <w:t xml:space="preserve">8.99</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4.99*</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5.04</w:t>
            </w:r>
          </w:p>
        </w:tc>
        <w:tc>
          <w:tcPr/>
          <w:p>
            <w:pPr>
              <w:pStyle w:val="Compact"/>
              <w:spacing w:before="20" w:after="20" w:line="240" w:lineRule="auto"/>
              <w:ind w:firstLine="0"/>
              <w:jc w:val="left"/>
            </w:pPr>
            <w:r>
              <w:rPr>
                <w:rFonts w:ascii="Times New Roman" w:hAnsi="Times New Roman"/>
                <w:sz w:val="17"/>
              </w:rPr>
              <w:t xml:space="preserve">4.42*</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5.47*</w:t>
            </w:r>
          </w:p>
        </w:tc>
        <w:tc>
          <w:tcPr/>
          <w:p>
            <w:pPr>
              <w:pStyle w:val="Compact"/>
              <w:spacing w:before="20" w:after="20" w:line="240" w:lineRule="auto"/>
              <w:ind w:firstLine="0"/>
              <w:jc w:val="left"/>
            </w:pPr>
            <w:r>
              <w:rPr>
                <w:rFonts w:ascii="Times New Roman" w:hAnsi="Times New Roman"/>
                <w:sz w:val="17"/>
              </w:rPr>
              <w:t xml:space="preserve">8.99</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1.46</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7.68*</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6.76*</w:t>
            </w:r>
          </w:p>
        </w:tc>
        <w:tc>
          <w:tcPr/>
          <w:p>
            <w:pPr>
              <w:pStyle w:val="Compact"/>
              <w:spacing w:before="20" w:after="20" w:line="240" w:lineRule="auto"/>
              <w:ind w:firstLine="0"/>
              <w:jc w:val="left"/>
            </w:pPr>
            <w:r>
              <w:rPr>
                <w:rFonts w:ascii="Times New Roman" w:hAnsi="Times New Roman"/>
                <w:sz w:val="17"/>
              </w:rPr>
              <w:t xml:space="preserve">4.86*</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5.51*</w:t>
            </w:r>
          </w:p>
        </w:tc>
        <w:tc>
          <w:tcPr/>
          <w:p>
            <w:pPr>
              <w:pStyle w:val="Compact"/>
              <w:spacing w:before="20" w:after="20" w:line="240" w:lineRule="auto"/>
              <w:ind w:firstLine="0"/>
              <w:jc w:val="left"/>
            </w:pPr>
            <w:r>
              <w:rPr>
                <w:rFonts w:ascii="Times New Roman" w:hAnsi="Times New Roman"/>
                <w:sz w:val="17"/>
              </w:rPr>
              <w:t xml:space="preserve">8.72</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1.40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4.88*</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4.35*</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4.12*</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0.54*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5.02</w:t>
            </w:r>
          </w:p>
        </w:tc>
        <w:tc>
          <w:tcPr/>
          <w:p>
            <w:pPr>
              <w:pStyle w:val="Compact"/>
              <w:spacing w:before="20" w:after="20" w:line="240" w:lineRule="auto"/>
              <w:ind w:firstLine="0"/>
              <w:jc w:val="left"/>
            </w:pPr>
            <w:r>
              <w:rPr>
                <w:rFonts w:ascii="Times New Roman" w:hAnsi="Times New Roman"/>
                <w:sz w:val="17"/>
              </w:rPr>
              <w:t xml:space="preserve">8.62</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1.52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7.77*</w:t>
            </w:r>
          </w:p>
        </w:tc>
        <w:tc>
          <w:tcPr/>
          <w:p>
            <w:pPr>
              <w:pStyle w:val="Compact"/>
              <w:spacing w:before="20" w:after="20" w:line="240" w:lineRule="auto"/>
              <w:ind w:firstLine="0"/>
              <w:jc w:val="left"/>
            </w:pPr>
            <w:r>
              <w:rPr>
                <w:rFonts w:ascii="Times New Roman" w:hAnsi="Times New Roman"/>
                <w:sz w:val="17"/>
              </w:rPr>
              <w:t xml:space="preserve">1.10*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8.94*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5.81*</w:t>
            </w:r>
          </w:p>
        </w:tc>
        <w:tc>
          <w:tcPr/>
          <w:p>
            <w:pPr>
              <w:pStyle w:val="Compact"/>
              <w:spacing w:before="20" w:after="20" w:line="240" w:lineRule="auto"/>
              <w:ind w:firstLine="0"/>
              <w:jc w:val="left"/>
            </w:pPr>
            <w:r>
              <w:rPr>
                <w:rFonts w:ascii="Times New Roman" w:hAnsi="Times New Roman"/>
                <w:sz w:val="17"/>
              </w:rPr>
              <w:t xml:space="preserve">4.28*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7.65*</w:t>
            </w:r>
          </w:p>
        </w:tc>
        <w:tc>
          <w:tcPr/>
          <w:p>
            <w:pPr>
              <w:pStyle w:val="Compact"/>
              <w:spacing w:before="20" w:after="20" w:line="240" w:lineRule="auto"/>
              <w:ind w:firstLine="0"/>
              <w:jc w:val="left"/>
            </w:pPr>
            <w:r>
              <w:rPr>
                <w:rFonts w:ascii="Times New Roman" w:hAnsi="Times New Roman"/>
                <w:sz w:val="17"/>
              </w:rPr>
              <w:t xml:space="preserve">9.43</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1.10*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5.22*</w:t>
            </w:r>
          </w:p>
        </w:tc>
        <w:tc>
          <w:tcPr/>
          <w:p>
            <w:pPr>
              <w:pStyle w:val="Compact"/>
              <w:spacing w:before="20" w:after="20" w:line="240" w:lineRule="auto"/>
              <w:ind w:firstLine="0"/>
              <w:jc w:val="left"/>
            </w:pPr>
            <w:r>
              <w:rPr>
                <w:rFonts w:ascii="Times New Roman" w:hAnsi="Times New Roman"/>
                <w:sz w:val="17"/>
              </w:rPr>
              <w:t xml:space="preserve">1.57*</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6.83*</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5.33*</w:t>
            </w:r>
          </w:p>
        </w:tc>
        <w:tc>
          <w:tcPr/>
          <w:p>
            <w:pPr>
              <w:pStyle w:val="Compact"/>
              <w:spacing w:before="20" w:after="20" w:line="240" w:lineRule="auto"/>
              <w:ind w:firstLine="0"/>
              <w:jc w:val="left"/>
            </w:pPr>
            <w:r>
              <w:rPr>
                <w:rFonts w:ascii="Times New Roman" w:hAnsi="Times New Roman"/>
                <w:sz w:val="17"/>
              </w:rPr>
              <w:t xml:space="preserve">4.77*</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7.61</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1.03*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11.74*</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6.50*</w:t>
            </w:r>
          </w:p>
        </w:tc>
        <w:tc>
          <w:tcPr/>
          <w:p>
            <w:pPr>
              <w:pStyle w:val="Compact"/>
              <w:spacing w:before="20" w:after="20" w:line="240" w:lineRule="auto"/>
              <w:ind w:firstLine="0"/>
              <w:jc w:val="left"/>
            </w:pPr>
            <w:r>
              <w:rPr>
                <w:rFonts w:ascii="Times New Roman" w:hAnsi="Times New Roman"/>
                <w:sz w:val="17"/>
              </w:rPr>
              <w:t xml:space="preserve">3.65*</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0.41*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8.69*</w:t>
            </w:r>
          </w:p>
        </w:tc>
        <w:tc>
          <w:tcPr/>
          <w:p>
            <w:pPr>
              <w:pStyle w:val="Compact"/>
              <w:spacing w:before="20" w:after="20" w:line="240" w:lineRule="auto"/>
              <w:ind w:firstLine="0"/>
              <w:jc w:val="left"/>
            </w:pPr>
            <w:r>
              <w:rPr>
                <w:rFonts w:ascii="Times New Roman" w:hAnsi="Times New Roman"/>
                <w:sz w:val="17"/>
              </w:rPr>
              <w:t xml:space="preserve">12.15*</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1.28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5.13*</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7.48*</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4.23*</w:t>
            </w:r>
          </w:p>
        </w:tc>
        <w:tc>
          <w:tcPr/>
          <w:p>
            <w:pPr>
              <w:pStyle w:val="Compact"/>
              <w:spacing w:before="20" w:after="20" w:line="240" w:lineRule="auto"/>
              <w:ind w:firstLine="0"/>
              <w:jc w:val="left"/>
            </w:pPr>
            <w:r>
              <w:rPr>
                <w:rFonts w:ascii="Times New Roman" w:hAnsi="Times New Roman"/>
                <w:sz w:val="17"/>
              </w:rPr>
              <w:t xml:space="preserve">3.75*</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0.65*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4.81</w:t>
            </w:r>
          </w:p>
        </w:tc>
        <w:tc>
          <w:tcPr/>
          <w:p>
            <w:pPr>
              <w:pStyle w:val="Compact"/>
              <w:spacing w:before="20" w:after="20" w:line="240" w:lineRule="auto"/>
              <w:ind w:firstLine="0"/>
              <w:jc w:val="left"/>
            </w:pPr>
            <w:r>
              <w:rPr>
                <w:rFonts w:ascii="Times New Roman" w:hAnsi="Times New Roman"/>
                <w:sz w:val="17"/>
              </w:rPr>
              <w:t xml:space="preserve">6.95</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1.24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8.56*</w:t>
            </w:r>
          </w:p>
        </w:tc>
        <w:tc>
          <w:tcPr/>
          <w:p>
            <w:pPr>
              <w:pStyle w:val="Compact"/>
              <w:spacing w:before="20" w:after="20" w:line="240" w:lineRule="auto"/>
              <w:ind w:firstLine="0"/>
              <w:jc w:val="left"/>
            </w:pPr>
            <w:r>
              <w:rPr>
                <w:rFonts w:ascii="Times New Roman" w:hAnsi="Times New Roman"/>
                <w:sz w:val="17"/>
              </w:rPr>
              <w:t xml:space="preserve">2.45*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8.28*</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7.95*</w:t>
            </w:r>
          </w:p>
        </w:tc>
        <w:tc>
          <w:tcPr/>
          <w:p>
            <w:pPr>
              <w:pStyle w:val="Compact"/>
              <w:spacing w:before="20" w:after="20" w:line="240" w:lineRule="auto"/>
              <w:ind w:firstLine="0"/>
              <w:jc w:val="left"/>
            </w:pPr>
            <w:r>
              <w:rPr>
                <w:rFonts w:ascii="Times New Roman" w:hAnsi="Times New Roman"/>
                <w:sz w:val="17"/>
              </w:rPr>
              <w:t xml:space="preserve">4.75*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4.36*</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1.24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4.90*</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8.26*</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4.98</w:t>
            </w:r>
          </w:p>
        </w:tc>
        <w:tc>
          <w:tcPr/>
          <w:p>
            <w:pPr>
              <w:pStyle w:val="Compact"/>
              <w:spacing w:before="20" w:after="20" w:line="240" w:lineRule="auto"/>
              <w:ind w:firstLine="0"/>
              <w:jc w:val="left"/>
            </w:pPr>
            <w:r>
              <w:rPr>
                <w:rFonts w:ascii="Times New Roman" w:hAnsi="Times New Roman"/>
                <w:sz w:val="17"/>
              </w:rPr>
              <w:t xml:space="preserve">4.83*</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3.63*</w:t>
            </w:r>
          </w:p>
        </w:tc>
        <w:tc>
          <w:tcPr/>
          <w:p>
            <w:pPr>
              <w:pStyle w:val="Compact"/>
              <w:spacing w:before="20" w:after="20" w:line="240" w:lineRule="auto"/>
              <w:ind w:firstLine="0"/>
              <w:jc w:val="left"/>
            </w:pPr>
            <w:r>
              <w:rPr>
                <w:rFonts w:ascii="Times New Roman" w:hAnsi="Times New Roman"/>
                <w:sz w:val="17"/>
              </w:rPr>
              <w:t xml:space="preserve">6.09*</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1.40</w:t>
            </w:r>
          </w:p>
        </w:tc>
      </w:tr>
    </w:tbl>
    <w:p>
      <w:pPr>
        <w:pStyle w:val="BodyText"/>
        <w:spacing w:line="240" w:lineRule="auto"/>
        <w:ind w:firstLine="0"/>
      </w:pPr>
      <w:r>
        <w:rPr>
          <w:iCs/>
          <w:i/>
        </w:rPr>
        <w:t xml:space="preserve">Table B2. High-mean setting, 600 customers per cell. Reference row: empirical Complete Journey distribution. * the 95% bootstrap interval excludes the reference value.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7.96*</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16.58*</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6.02*</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6.46*</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17.21*</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5.22*</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7.53</w:t>
            </w:r>
          </w:p>
        </w:tc>
        <w:tc>
          <w:tcPr/>
          <w:p>
            <w:pPr>
              <w:pStyle w:val="Compact"/>
              <w:spacing w:before="20" w:after="20" w:line="240" w:lineRule="auto"/>
              <w:ind w:firstLine="0"/>
              <w:jc w:val="left"/>
            </w:pPr>
            <w:r>
              <w:rPr>
                <w:rFonts w:ascii="Times New Roman" w:hAnsi="Times New Roman"/>
                <w:sz w:val="17"/>
              </w:rPr>
              <w:t xml:space="preserve">6.35</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9.04*</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6.80*</w:t>
            </w:r>
          </w:p>
        </w:tc>
        <w:tc>
          <w:tcPr/>
          <w:p>
            <w:pPr>
              <w:pStyle w:val="Compact"/>
              <w:spacing w:before="20" w:after="20" w:line="240" w:lineRule="auto"/>
              <w:ind w:firstLine="0"/>
              <w:jc w:val="left"/>
            </w:pPr>
            <w:r>
              <w:rPr>
                <w:rFonts w:ascii="Times New Roman" w:hAnsi="Times New Roman"/>
                <w:sz w:val="17"/>
              </w:rPr>
              <w:t xml:space="preserve">5.01*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4.91*</w:t>
            </w:r>
          </w:p>
        </w:tc>
        <w:tc>
          <w:tcPr/>
          <w:p>
            <w:pPr>
              <w:pStyle w:val="Compact"/>
              <w:spacing w:before="20" w:after="20" w:line="240" w:lineRule="auto"/>
              <w:ind w:firstLine="0"/>
              <w:jc w:val="left"/>
            </w:pPr>
            <w:r>
              <w:rPr>
                <w:rFonts w:ascii="Times New Roman" w:hAnsi="Times New Roman"/>
                <w:sz w:val="17"/>
              </w:rPr>
              <w:t xml:space="preserve">4.60*</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6.05*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8.12*</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7.54</w:t>
            </w:r>
          </w:p>
        </w:tc>
        <w:tc>
          <w:tcPr/>
          <w:p>
            <w:pPr>
              <w:pStyle w:val="Compact"/>
              <w:spacing w:before="20" w:after="20" w:line="240" w:lineRule="auto"/>
              <w:ind w:firstLine="0"/>
              <w:jc w:val="left"/>
            </w:pPr>
            <w:r>
              <w:rPr>
                <w:rFonts w:ascii="Times New Roman" w:hAnsi="Times New Roman"/>
                <w:sz w:val="17"/>
              </w:rPr>
              <w:t xml:space="preserve">6.04</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0.67</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6.15*</w:t>
            </w:r>
          </w:p>
        </w:tc>
        <w:tc>
          <w:tcPr/>
          <w:p>
            <w:pPr>
              <w:pStyle w:val="Compact"/>
              <w:spacing w:before="20" w:after="20" w:line="240" w:lineRule="auto"/>
              <w:ind w:firstLine="0"/>
              <w:jc w:val="left"/>
            </w:pPr>
            <w:r>
              <w:rPr>
                <w:rFonts w:ascii="Times New Roman" w:hAnsi="Times New Roman"/>
                <w:sz w:val="17"/>
              </w:rPr>
              <w:t xml:space="preserve">5.55</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8.02*</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11.72*</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4.11*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5.14*</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7.13*</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11.06*</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7.49</w:t>
            </w:r>
          </w:p>
        </w:tc>
        <w:tc>
          <w:tcPr/>
          <w:p>
            <w:pPr>
              <w:pStyle w:val="Compact"/>
              <w:spacing w:before="20" w:after="20" w:line="240" w:lineRule="auto"/>
              <w:ind w:firstLine="0"/>
              <w:jc w:val="left"/>
            </w:pPr>
            <w:r>
              <w:rPr>
                <w:rFonts w:ascii="Times New Roman" w:hAnsi="Times New Roman"/>
                <w:sz w:val="17"/>
              </w:rPr>
              <w:t xml:space="preserve">6.11</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5.71*</w:t>
            </w:r>
          </w:p>
        </w:tc>
        <w:tc>
          <w:tcPr/>
          <w:p>
            <w:pPr>
              <w:pStyle w:val="Compact"/>
              <w:spacing w:before="20" w:after="20" w:line="240" w:lineRule="auto"/>
              <w:ind w:firstLine="0"/>
              <w:jc w:val="left"/>
            </w:pPr>
            <w:r>
              <w:rPr>
                <w:rFonts w:ascii="Times New Roman" w:hAnsi="Times New Roman"/>
                <w:sz w:val="17"/>
              </w:rPr>
              <w:t xml:space="preserve">5.79</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0.84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5.60*</w:t>
            </w:r>
          </w:p>
        </w:tc>
        <w:tc>
          <w:tcPr/>
          <w:p>
            <w:pPr>
              <w:pStyle w:val="Compact"/>
              <w:spacing w:before="20" w:after="20" w:line="240" w:lineRule="auto"/>
              <w:ind w:firstLine="0"/>
              <w:jc w:val="left"/>
            </w:pPr>
            <w:r>
              <w:rPr>
                <w:rFonts w:ascii="Times New Roman" w:hAnsi="Times New Roman"/>
                <w:sz w:val="17"/>
              </w:rPr>
              <w:t xml:space="preserve">0.17*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10.40*</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6.64*</w:t>
            </w:r>
          </w:p>
        </w:tc>
        <w:tc>
          <w:tcPr/>
          <w:p>
            <w:pPr>
              <w:pStyle w:val="Compact"/>
              <w:spacing w:before="20" w:after="20" w:line="240" w:lineRule="auto"/>
              <w:ind w:firstLine="0"/>
              <w:jc w:val="left"/>
            </w:pPr>
            <w:r>
              <w:rPr>
                <w:rFonts w:ascii="Times New Roman" w:hAnsi="Times New Roman"/>
                <w:sz w:val="17"/>
              </w:rPr>
              <w:t xml:space="preserve">4.66*</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4.80*</w:t>
            </w:r>
          </w:p>
        </w:tc>
        <w:tc>
          <w:tcPr/>
          <w:p>
            <w:pPr>
              <w:pStyle w:val="Compact"/>
              <w:spacing w:before="20" w:after="20" w:line="240" w:lineRule="auto"/>
              <w:ind w:firstLine="0"/>
              <w:jc w:val="left"/>
            </w:pPr>
            <w:r>
              <w:rPr>
                <w:rFonts w:ascii="Times New Roman" w:hAnsi="Times New Roman"/>
                <w:sz w:val="17"/>
              </w:rPr>
              <w:t xml:space="preserve">4.53*</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6.70*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10.16*</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7.31*</w:t>
            </w:r>
          </w:p>
        </w:tc>
        <w:tc>
          <w:tcPr/>
          <w:p>
            <w:pPr>
              <w:pStyle w:val="Compact"/>
              <w:spacing w:before="20" w:after="20" w:line="240" w:lineRule="auto"/>
              <w:ind w:firstLine="0"/>
              <w:jc w:val="left"/>
            </w:pPr>
            <w:r>
              <w:rPr>
                <w:rFonts w:ascii="Times New Roman" w:hAnsi="Times New Roman"/>
                <w:sz w:val="17"/>
              </w:rPr>
              <w:t xml:space="preserve">5.04*</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0.55*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6.87*</w:t>
            </w:r>
          </w:p>
        </w:tc>
        <w:tc>
          <w:tcPr/>
          <w:p>
            <w:pPr>
              <w:pStyle w:val="Compact"/>
              <w:spacing w:before="20" w:after="20" w:line="240" w:lineRule="auto"/>
              <w:ind w:firstLine="0"/>
              <w:jc w:val="left"/>
            </w:pPr>
            <w:r>
              <w:rPr>
                <w:rFonts w:ascii="Times New Roman" w:hAnsi="Times New Roman"/>
                <w:sz w:val="17"/>
              </w:rPr>
              <w:t xml:space="preserve">6.65</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0.82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7.89</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7.00*</w:t>
            </w:r>
          </w:p>
        </w:tc>
        <w:tc>
          <w:tcPr/>
          <w:p>
            <w:pPr>
              <w:pStyle w:val="Compact"/>
              <w:spacing w:before="20" w:after="20" w:line="240" w:lineRule="auto"/>
              <w:ind w:firstLine="0"/>
              <w:jc w:val="left"/>
            </w:pPr>
            <w:r>
              <w:rPr>
                <w:rFonts w:ascii="Times New Roman" w:hAnsi="Times New Roman"/>
                <w:sz w:val="17"/>
              </w:rPr>
              <w:t xml:space="preserve">4.79*</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0.54*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5.09*</w:t>
            </w:r>
          </w:p>
        </w:tc>
        <w:tc>
          <w:tcPr/>
          <w:p>
            <w:pPr>
              <w:pStyle w:val="Compact"/>
              <w:spacing w:before="20" w:after="20" w:line="240" w:lineRule="auto"/>
              <w:ind w:firstLine="0"/>
              <w:jc w:val="left"/>
            </w:pPr>
            <w:r>
              <w:rPr>
                <w:rFonts w:ascii="Times New Roman" w:hAnsi="Times New Roman"/>
                <w:sz w:val="17"/>
              </w:rPr>
              <w:t xml:space="preserve">4.69*</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7.60*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5.92*</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9.46*</w:t>
            </w:r>
          </w:p>
        </w:tc>
        <w:tc>
          <w:tcPr/>
          <w:p>
            <w:pPr>
              <w:pStyle w:val="Compact"/>
              <w:spacing w:before="20" w:after="20" w:line="240" w:lineRule="auto"/>
              <w:ind w:firstLine="0"/>
              <w:jc w:val="left"/>
            </w:pPr>
            <w:r>
              <w:rPr>
                <w:rFonts w:ascii="Times New Roman" w:hAnsi="Times New Roman"/>
                <w:sz w:val="17"/>
              </w:rPr>
              <w:t xml:space="preserve">5.71*</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7.17*</w:t>
            </w:r>
          </w:p>
        </w:tc>
        <w:tc>
          <w:tcPr/>
          <w:p>
            <w:pPr>
              <w:pStyle w:val="Compact"/>
              <w:spacing w:before="20" w:after="20" w:line="240" w:lineRule="auto"/>
              <w:ind w:firstLine="0"/>
              <w:jc w:val="left"/>
            </w:pPr>
            <w:r>
              <w:rPr>
                <w:rFonts w:ascii="Times New Roman" w:hAnsi="Times New Roman"/>
                <w:sz w:val="17"/>
              </w:rPr>
              <w:t xml:space="preserve">6.70</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6.98*</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8.57*</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3.53*</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6.57*</w:t>
            </w:r>
          </w:p>
        </w:tc>
        <w:tc>
          <w:tcPr/>
          <w:p>
            <w:pPr>
              <w:pStyle w:val="Compact"/>
              <w:spacing w:before="20" w:after="20" w:line="240" w:lineRule="auto"/>
              <w:ind w:firstLine="0"/>
              <w:jc w:val="left"/>
            </w:pPr>
            <w:r>
              <w:rPr>
                <w:rFonts w:ascii="Times New Roman" w:hAnsi="Times New Roman"/>
                <w:sz w:val="17"/>
              </w:rPr>
              <w:t xml:space="preserve">5.83</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6.57*</w:t>
            </w:r>
          </w:p>
        </w:tc>
        <w:tc>
          <w:tcPr/>
          <w:p>
            <w:pPr>
              <w:pStyle w:val="Compact"/>
              <w:spacing w:before="20" w:after="20" w:line="240" w:lineRule="auto"/>
              <w:ind w:firstLine="0"/>
              <w:jc w:val="left"/>
            </w:pPr>
            <w:r>
              <w:rPr>
                <w:rFonts w:ascii="Times New Roman" w:hAnsi="Times New Roman"/>
                <w:sz w:val="17"/>
              </w:rPr>
              <w:t xml:space="preserve">0.53*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7.06*</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7.09*</w:t>
            </w:r>
          </w:p>
        </w:tc>
        <w:tc>
          <w:tcPr/>
          <w:p>
            <w:pPr>
              <w:pStyle w:val="Compact"/>
              <w:spacing w:before="20" w:after="20" w:line="240" w:lineRule="auto"/>
              <w:ind w:firstLine="0"/>
              <w:jc w:val="left"/>
            </w:pPr>
            <w:r>
              <w:rPr>
                <w:rFonts w:ascii="Times New Roman" w:hAnsi="Times New Roman"/>
                <w:sz w:val="17"/>
              </w:rPr>
              <w:t xml:space="preserve">4.77*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7.50</w:t>
            </w:r>
          </w:p>
        </w:tc>
        <w:tc>
          <w:tcPr/>
          <w:p>
            <w:pPr>
              <w:pStyle w:val="Compact"/>
              <w:spacing w:before="20" w:after="20" w:line="240" w:lineRule="auto"/>
              <w:ind w:firstLine="0"/>
              <w:jc w:val="left"/>
            </w:pPr>
            <w:r>
              <w:rPr>
                <w:rFonts w:ascii="Times New Roman" w:hAnsi="Times New Roman"/>
                <w:sz w:val="17"/>
              </w:rPr>
              <w:t xml:space="preserve">6.31</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10.25*</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7.96*</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6.62*</w:t>
            </w:r>
          </w:p>
        </w:tc>
        <w:tc>
          <w:tcPr/>
          <w:p>
            <w:pPr>
              <w:pStyle w:val="Compact"/>
              <w:spacing w:before="20" w:after="20" w:line="240" w:lineRule="auto"/>
              <w:ind w:firstLine="0"/>
              <w:jc w:val="left"/>
            </w:pPr>
            <w:r>
              <w:rPr>
                <w:rFonts w:ascii="Times New Roman" w:hAnsi="Times New Roman"/>
                <w:sz w:val="17"/>
              </w:rPr>
              <w:t xml:space="preserve">3.44*</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0.37*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7.41</w:t>
            </w:r>
          </w:p>
        </w:tc>
        <w:tc>
          <w:tcPr/>
          <w:p>
            <w:pPr>
              <w:pStyle w:val="Compact"/>
              <w:spacing w:before="20" w:after="20" w:line="240" w:lineRule="auto"/>
              <w:ind w:firstLine="0"/>
              <w:jc w:val="left"/>
            </w:pPr>
            <w:r>
              <w:rPr>
                <w:rFonts w:ascii="Times New Roman" w:hAnsi="Times New Roman"/>
                <w:sz w:val="17"/>
              </w:rPr>
              <w:t xml:space="preserve">6.53</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6.88*</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7.18*</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6.07*</w:t>
            </w:r>
          </w:p>
        </w:tc>
        <w:tc>
          <w:tcPr/>
          <w:p>
            <w:pPr>
              <w:pStyle w:val="Compact"/>
              <w:spacing w:before="20" w:after="20" w:line="240" w:lineRule="auto"/>
              <w:ind w:firstLine="0"/>
              <w:jc w:val="left"/>
            </w:pPr>
            <w:r>
              <w:rPr>
                <w:rFonts w:ascii="Times New Roman" w:hAnsi="Times New Roman"/>
                <w:sz w:val="17"/>
              </w:rPr>
              <w:t xml:space="preserve">5.56*</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6.67*</w:t>
            </w:r>
          </w:p>
        </w:tc>
        <w:tc>
          <w:tcPr/>
          <w:p>
            <w:pPr>
              <w:pStyle w:val="Compact"/>
              <w:spacing w:before="20" w:after="20" w:line="240" w:lineRule="auto"/>
              <w:ind w:firstLine="0"/>
              <w:jc w:val="left"/>
            </w:pPr>
            <w:r>
              <w:rPr>
                <w:rFonts w:ascii="Times New Roman" w:hAnsi="Times New Roman"/>
                <w:sz w:val="17"/>
              </w:rPr>
              <w:t xml:space="preserve">5.80</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9.24*</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8.39*</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7.04*</w:t>
            </w:r>
          </w:p>
        </w:tc>
        <w:tc>
          <w:tcPr/>
          <w:p>
            <w:pPr>
              <w:pStyle w:val="Compact"/>
              <w:spacing w:before="20" w:after="20" w:line="240" w:lineRule="auto"/>
              <w:ind w:firstLine="0"/>
              <w:jc w:val="left"/>
            </w:pPr>
            <w:r>
              <w:rPr>
                <w:rFonts w:ascii="Times New Roman" w:hAnsi="Times New Roman"/>
                <w:sz w:val="17"/>
              </w:rPr>
              <w:t xml:space="preserve">4.93*</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4.28*</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7.30*</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8.74*</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6.18*</w:t>
            </w:r>
          </w:p>
        </w:tc>
        <w:tc>
          <w:tcPr/>
          <w:p>
            <w:pPr>
              <w:pStyle w:val="Compact"/>
              <w:spacing w:before="20" w:after="20" w:line="240" w:lineRule="auto"/>
              <w:ind w:firstLine="0"/>
              <w:jc w:val="left"/>
            </w:pPr>
            <w:r>
              <w:rPr>
                <w:rFonts w:ascii="Times New Roman" w:hAnsi="Times New Roman"/>
                <w:sz w:val="17"/>
              </w:rPr>
              <w:t xml:space="preserve">5.43*</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5.41*</w:t>
            </w:r>
          </w:p>
        </w:tc>
        <w:tc>
          <w:tcPr/>
          <w:p>
            <w:pPr>
              <w:pStyle w:val="Compact"/>
              <w:spacing w:before="20" w:after="20" w:line="240" w:lineRule="auto"/>
              <w:ind w:firstLine="0"/>
              <w:jc w:val="left"/>
            </w:pPr>
            <w:r>
              <w:rPr>
                <w:rFonts w:ascii="Times New Roman" w:hAnsi="Times New Roman"/>
                <w:sz w:val="17"/>
              </w:rPr>
              <w:t xml:space="preserve">5.11*</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0.76</w:t>
            </w:r>
          </w:p>
        </w:tc>
      </w:tr>
    </w:tbl>
    <w:p>
      <w:pPr>
        <w:pStyle w:val="BodyText"/>
        <w:spacing w:line="240" w:lineRule="auto"/>
        <w:ind w:firstLine="0"/>
      </w:pPr>
      <w:r>
        <w:rPr>
          <w:iCs/>
          <w:i/>
        </w:rPr>
        <w:t xml:space="preserve">Table B3. Persona experiment with real household demographics, 600 household-windows per cell. Reference row: real distribution of the 801 households (10,413 household-windows). * the 95% bootstrap interval excludes the reference value.</w:t>
      </w:r>
    </w:p>
    <w:bookmarkEnd w:id="65"/>
    <w:bookmarkStart w:id="66" w:name="appendix-c.-reproducibility"/>
    <w:p>
      <w:pPr>
        <w:pStyle w:val="Heading1"/>
      </w:pPr>
      <w:r>
        <w:t xml:space="preserve">Appendix C. Reproducibility</w:t>
      </w:r>
    </w:p>
    <w:p>
      <w:pPr>
        <w:pStyle w:val="FirstParagraph"/>
      </w:pPr>
      <w:r>
        <w:t xml:space="preserve">All code, the pilot grid runner, the demographic-ceiling script, the analysis scripts, and the tables and figures used here are in the project repository (</w:t>
      </w:r>
      <w:r>
        <w:rPr>
          <w:rStyle w:val="VerbatimChar"/>
        </w:rPr>
        <w:t xml:space="preserve">ooklee-sudo/fluffy-meme</w:t>
      </w:r>
      <w:r>
        <w:t xml:space="preserve">, folder</w:t>
      </w:r>
      <w:r>
        <w:t xml:space="preserve"> </w:t>
      </w:r>
      <w:r>
        <w:rPr>
          <w:rStyle w:val="VerbatimChar"/>
        </w:rPr>
        <w:t xml:space="preserve">llm-count-study</w:t>
      </w:r>
      <w:r>
        <w:t xml:space="preserve">). Raw model responses are saved with each run. Household-level Complete Journey data are not redistributed; the code reads them from the public package files.</w:t>
      </w:r>
    </w:p>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49" Type="http://schemas.openxmlformats.org/officeDocument/2006/relationships/image" Target="media/rId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2026-10-17T09:13:35Z</dcterms:created>
  <dcterms:modified xsi:type="dcterms:W3CDTF">2026-10-17T09:13:35Z</dcterms:modified>
</cp:coreProperties>
</file>

<file path=docProps/custom.xml><?xml version="1.0" encoding="utf-8"?>
<Properties xmlns="http://schemas.openxmlformats.org/officeDocument/2006/custom-properties" xmlns:vt="http://schemas.openxmlformats.org/officeDocument/2006/docPropsVTypes"/>
</file>