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the</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adapter transfer</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(two seeds), where it restores 69% to 72% of the retraining benefit at 30% to 36% of the retraining compute time and is the</w:t>
      </w:r>
      <w:r>
        <w:t xml:space="preserve"> </w:t>
      </w:r>
      <w:r>
        <w:t xml:space="preserve">cost-minimizing policy over a bounded range of adapter values. 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110"/>
        <w:gridCol w:w="892"/>
        <w:gridCol w:w="892"/>
        <w:gridCol w:w="892"/>
        <w:gridCol w:w="892"/>
        <w:gridCol w:w="892"/>
        <w:gridCol w:w="892"/>
        <w:gridCol w:w="892"/>
      </w:tblGrid>
      <w:tr>
        <w:trPr>
          <w:tblHeader w:val="true"/>
        </w:trPr>
        <w:tc>
          <w:tcPr>
            <w:tcW w:type="dxa" w:w="3110"/>
            <w:tcBorders>
              <w:bottom w:val="single" w:sz="6" w:color="000000"/>
            </w:tcBorders>
          </w:tcPr>
          <w:p>
            <w:pPr>
              <w:pStyle w:val="Compact"/>
              <w:spacing w:line="240" w:lineRule="auto"/>
              <w:jc w:val="left"/>
            </w:pPr>
            <w:r>
              <w:rPr>
                <w:rFonts w:ascii="Times New Roman" w:hAnsi="Times New Roman"/>
                <w:sz w:val="18"/>
              </w:rPr>
              <w:t xml:space="preserve">Upgrade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C</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A</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w:t>
            </w:r>
            <w:r>
              <w:rPr>
                <w:rFonts w:ascii="Times New Roman" w:hAnsi="Times New Roman"/>
                <w:sz w:val="18"/>
                <w:vertAlign w:val="subscript"/>
              </w:rPr>
              <w:t xml:space="preserve">A</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Γ</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v*</w:t>
            </w:r>
            <w:r>
              <w:rPr>
                <w:rFonts w:ascii="Times New Roman" w:hAnsi="Times New Roman"/>
                <w:sz w:val="18"/>
                <w:vertAlign w:val="subscript"/>
              </w:rPr>
              <w:t xml:space="preserve">C</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 optimal for</w:t>
            </w:r>
          </w:p>
        </w:tc>
        <w:tc>
          <w:tcPr>
            <w:tcW w:type="dxa" w:w="893"/>
            <w:tcBorders>
              <w:bottom w:val="single" w:sz="6" w:color="000000"/>
            </w:tcBorders>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133k to 143k</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0.00</w:t>
            </w:r>
          </w:p>
        </w:tc>
        <w:tc>
          <w:tcPr>
            <w:tcW w:type="dxa" w:w="893"/>
          </w:tcPr>
          <w:p>
            <w:pPr>
              <w:pStyle w:val="Compact"/>
              <w:spacing w:line="240" w:lineRule="auto"/>
              <w:jc w:val="center"/>
            </w:pPr>
            <w:r>
              <w:rPr>
                <w:rFonts w:ascii="Times New Roman" w:hAnsi="Times New Roman"/>
                <w:sz w:val="18"/>
              </w:rPr>
              <w:t xml:space="preserve">55.6</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113k to 143k</w:t>
            </w:r>
          </w:p>
        </w:tc>
        <w:tc>
          <w:tcPr>
            <w:tcW w:type="dxa" w:w="893"/>
          </w:tcPr>
          <w:p>
            <w:pPr>
              <w:pStyle w:val="Compact"/>
              <w:spacing w:line="240" w:lineRule="auto"/>
              <w:jc w:val="center"/>
            </w:pPr>
            <w:r>
              <w:rPr>
                <w:rFonts w:ascii="Times New Roman" w:hAnsi="Times New Roman"/>
                <w:sz w:val="18"/>
              </w:rPr>
              <w:t xml:space="preserve">0.928</w:t>
            </w:r>
          </w:p>
        </w:tc>
        <w:tc>
          <w:tcPr>
            <w:tcW w:type="dxa" w:w="893"/>
          </w:tcPr>
          <w:p>
            <w:pPr>
              <w:pStyle w:val="Compact"/>
              <w:spacing w:line="240" w:lineRule="auto"/>
              <w:jc w:val="center"/>
            </w:pPr>
            <w:r>
              <w:rPr>
                <w:rFonts w:ascii="Times New Roman" w:hAnsi="Times New Roman"/>
                <w:sz w:val="18"/>
              </w:rPr>
              <w:t xml:space="preserve">0.939</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0.11</w:t>
            </w:r>
          </w:p>
        </w:tc>
        <w:tc>
          <w:tcPr>
            <w:tcW w:type="dxa" w:w="893"/>
          </w:tcPr>
          <w:p>
            <w:pPr>
              <w:pStyle w:val="Compact"/>
              <w:spacing w:line="240" w:lineRule="auto"/>
              <w:jc w:val="center"/>
            </w:pPr>
            <w:r>
              <w:rPr>
                <w:rFonts w:ascii="Times New Roman" w:hAnsi="Times New Roman"/>
                <w:sz w:val="18"/>
              </w:rPr>
              <w:t xml:space="preserve">34.0</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103k to 143k</w:t>
            </w:r>
          </w:p>
        </w:tc>
        <w:tc>
          <w:tcPr>
            <w:tcW w:type="dxa" w:w="893"/>
          </w:tcPr>
          <w:p>
            <w:pPr>
              <w:pStyle w:val="Compact"/>
              <w:spacing w:line="240" w:lineRule="auto"/>
              <w:jc w:val="center"/>
            </w:pPr>
            <w:r>
              <w:rPr>
                <w:rFonts w:ascii="Times New Roman" w:hAnsi="Times New Roman"/>
                <w:sz w:val="18"/>
              </w:rPr>
              <w:t xml:space="preserve">0.895</w:t>
            </w:r>
          </w:p>
        </w:tc>
        <w:tc>
          <w:tcPr>
            <w:tcW w:type="dxa" w:w="893"/>
          </w:tcPr>
          <w:p>
            <w:pPr>
              <w:pStyle w:val="Compact"/>
              <w:spacing w:line="240" w:lineRule="auto"/>
              <w:jc w:val="center"/>
            </w:pPr>
            <w:r>
              <w:rPr>
                <w:rFonts w:ascii="Times New Roman" w:hAnsi="Times New Roman"/>
                <w:sz w:val="18"/>
              </w:rPr>
              <w:t xml:space="preserve">0.934</w:t>
            </w:r>
          </w:p>
        </w:tc>
        <w:tc>
          <w:tcPr>
            <w:tcW w:type="dxa" w:w="893"/>
          </w:tcPr>
          <w:p>
            <w:pPr>
              <w:pStyle w:val="Compact"/>
              <w:spacing w:line="240" w:lineRule="auto"/>
              <w:jc w:val="center"/>
            </w:pPr>
            <w:r>
              <w:rPr>
                <w:rFonts w:ascii="Times New Roman" w:hAnsi="Times New Roman"/>
                <w:sz w:val="18"/>
              </w:rPr>
              <w:t xml:space="preserve">0.36</w:t>
            </w:r>
          </w:p>
        </w:tc>
        <w:tc>
          <w:tcPr>
            <w:tcW w:type="dxa" w:w="893"/>
          </w:tcPr>
          <w:p>
            <w:pPr>
              <w:pStyle w:val="Compact"/>
              <w:spacing w:line="240" w:lineRule="auto"/>
              <w:jc w:val="center"/>
            </w:pPr>
            <w:r>
              <w:rPr>
                <w:rFonts w:ascii="Times New Roman" w:hAnsi="Times New Roman"/>
                <w:sz w:val="18"/>
              </w:rPr>
              <w:t xml:space="preserve">0.29</w:t>
            </w:r>
          </w:p>
        </w:tc>
        <w:tc>
          <w:tcPr>
            <w:tcW w:type="dxa" w:w="893"/>
          </w:tcPr>
          <w:p>
            <w:pPr>
              <w:pStyle w:val="Compact"/>
              <w:spacing w:line="240" w:lineRule="auto"/>
              <w:jc w:val="center"/>
            </w:pPr>
            <w:r>
              <w:rPr>
                <w:rFonts w:ascii="Times New Roman" w:hAnsi="Times New Roman"/>
                <w:sz w:val="18"/>
              </w:rPr>
              <w:t xml:space="preserve">23.3</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83k to 143k</w:t>
            </w:r>
          </w:p>
        </w:tc>
        <w:tc>
          <w:tcPr>
            <w:tcW w:type="dxa" w:w="893"/>
          </w:tcPr>
          <w:p>
            <w:pPr>
              <w:pStyle w:val="Compact"/>
              <w:spacing w:line="240" w:lineRule="auto"/>
              <w:jc w:val="center"/>
            </w:pPr>
            <w:r>
              <w:rPr>
                <w:rFonts w:ascii="Times New Roman" w:hAnsi="Times New Roman"/>
                <w:sz w:val="18"/>
              </w:rPr>
              <w:t xml:space="preserve">0.554</w:t>
            </w:r>
          </w:p>
        </w:tc>
        <w:tc>
          <w:tcPr>
            <w:tcW w:type="dxa" w:w="893"/>
          </w:tcPr>
          <w:p>
            <w:pPr>
              <w:pStyle w:val="Compact"/>
              <w:spacing w:line="240" w:lineRule="auto"/>
              <w:jc w:val="center"/>
            </w:pPr>
            <w:r>
              <w:rPr>
                <w:rFonts w:ascii="Times New Roman" w:hAnsi="Times New Roman"/>
                <w:sz w:val="18"/>
              </w:rPr>
              <w:t xml:space="preserve">0.734</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0.32</w:t>
            </w:r>
          </w:p>
        </w:tc>
        <w:tc>
          <w:tcPr>
            <w:tcW w:type="dxa" w:w="893"/>
          </w:tcPr>
          <w:p>
            <w:pPr>
              <w:pStyle w:val="Compact"/>
              <w:spacing w:line="240" w:lineRule="auto"/>
              <w:jc w:val="center"/>
            </w:pPr>
            <w:r>
              <w:rPr>
                <w:rFonts w:ascii="Times New Roman" w:hAnsi="Times New Roman"/>
                <w:sz w:val="18"/>
              </w:rPr>
              <w:t xml:space="preserve">5.5</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73k to 143k (seed 0)</w:t>
            </w:r>
          </w:p>
        </w:tc>
        <w:tc>
          <w:tcPr>
            <w:tcW w:type="dxa" w:w="893"/>
          </w:tcPr>
          <w:p>
            <w:pPr>
              <w:pStyle w:val="Compact"/>
              <w:spacing w:line="240" w:lineRule="auto"/>
              <w:jc w:val="center"/>
            </w:pPr>
            <w:r>
              <w:rPr>
                <w:rFonts w:ascii="Times New Roman" w:hAnsi="Times New Roman"/>
                <w:sz w:val="18"/>
              </w:rPr>
              <w:t xml:space="preserve">0.319</w:t>
            </w:r>
          </w:p>
        </w:tc>
        <w:tc>
          <w:tcPr>
            <w:tcW w:type="dxa" w:w="893"/>
          </w:tcPr>
          <w:p>
            <w:pPr>
              <w:pStyle w:val="Compact"/>
              <w:spacing w:line="240" w:lineRule="auto"/>
              <w:jc w:val="center"/>
            </w:pPr>
            <w:r>
              <w:rPr>
                <w:rFonts w:ascii="Times New Roman" w:hAnsi="Times New Roman"/>
                <w:sz w:val="18"/>
              </w:rPr>
              <w:t xml:space="preserve">0.717</w:t>
            </w:r>
          </w:p>
        </w:tc>
        <w:tc>
          <w:tcPr>
            <w:tcW w:type="dxa" w:w="893"/>
          </w:tcPr>
          <w:p>
            <w:pPr>
              <w:pStyle w:val="Compact"/>
              <w:spacing w:line="240" w:lineRule="auto"/>
              <w:jc w:val="center"/>
            </w:pPr>
            <w:r>
              <w:rPr>
                <w:rFonts w:ascii="Times New Roman" w:hAnsi="Times New Roman"/>
                <w:sz w:val="18"/>
              </w:rPr>
              <w:t xml:space="preserve">0.36</w:t>
            </w:r>
          </w:p>
        </w:tc>
        <w:tc>
          <w:tcPr>
            <w:tcW w:type="dxa" w:w="893"/>
          </w:tcPr>
          <w:p>
            <w:pPr>
              <w:pStyle w:val="Compact"/>
              <w:spacing w:line="240" w:lineRule="auto"/>
              <w:jc w:val="center"/>
            </w:pPr>
            <w:r>
              <w:rPr>
                <w:rFonts w:ascii="Times New Roman" w:hAnsi="Times New Roman"/>
                <w:sz w:val="18"/>
              </w:rPr>
              <w:t xml:space="preserve">0.50</w:t>
            </w:r>
          </w:p>
        </w:tc>
        <w:tc>
          <w:tcPr>
            <w:tcW w:type="dxa" w:w="893"/>
          </w:tcPr>
          <w:p>
            <w:pPr>
              <w:pStyle w:val="Compact"/>
              <w:spacing w:line="240" w:lineRule="auto"/>
              <w:jc w:val="center"/>
            </w:pPr>
            <w:r>
              <w:rPr>
                <w:rFonts w:ascii="Times New Roman" w:hAnsi="Times New Roman"/>
                <w:sz w:val="18"/>
              </w:rPr>
              <w:t xml:space="preserve">3.6</w:t>
            </w:r>
          </w:p>
        </w:tc>
        <w:tc>
          <w:tcPr>
            <w:tcW w:type="dxa" w:w="893"/>
          </w:tcPr>
          <w:p>
            <w:pPr>
              <w:pStyle w:val="Compact"/>
              <w:spacing w:line="240" w:lineRule="auto"/>
              <w:jc w:val="center"/>
            </w:pPr>
            <w:r>
              <w:rPr>
                <w:rFonts w:ascii="Times New Roman" w:hAnsi="Times New Roman"/>
                <w:sz w:val="18"/>
              </w:rPr>
              <w:t xml:space="preserve">[1.78, 4.40)</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73k to 143k (seed 1)</w:t>
            </w:r>
          </w:p>
        </w:tc>
        <w:tc>
          <w:tcPr>
            <w:tcW w:type="dxa" w:w="893"/>
          </w:tcPr>
          <w:p>
            <w:pPr>
              <w:pStyle w:val="Compact"/>
              <w:spacing w:line="240" w:lineRule="auto"/>
              <w:jc w:val="center"/>
            </w:pPr>
            <w:r>
              <w:rPr>
                <w:rFonts w:ascii="Times New Roman" w:hAnsi="Times New Roman"/>
                <w:sz w:val="18"/>
              </w:rPr>
              <w:t xml:space="preserve">0.359</w:t>
            </w:r>
          </w:p>
        </w:tc>
        <w:tc>
          <w:tcPr>
            <w:tcW w:type="dxa" w:w="893"/>
          </w:tcPr>
          <w:p>
            <w:pPr>
              <w:pStyle w:val="Compact"/>
              <w:spacing w:line="240" w:lineRule="auto"/>
              <w:jc w:val="center"/>
            </w:pPr>
            <w:r>
              <w:rPr>
                <w:rFonts w:ascii="Times New Roman" w:hAnsi="Times New Roman"/>
                <w:sz w:val="18"/>
              </w:rPr>
              <w:t xml:space="preserve">0.692</w:t>
            </w:r>
          </w:p>
        </w:tc>
        <w:tc>
          <w:tcPr>
            <w:tcW w:type="dxa" w:w="893"/>
          </w:tcPr>
          <w:p>
            <w:pPr>
              <w:pStyle w:val="Compact"/>
              <w:spacing w:line="240" w:lineRule="auto"/>
              <w:jc w:val="center"/>
            </w:pPr>
            <w:r>
              <w:rPr>
                <w:rFonts w:ascii="Times New Roman" w:hAnsi="Times New Roman"/>
                <w:sz w:val="18"/>
              </w:rPr>
              <w:t xml:space="preserve">0.30</w:t>
            </w:r>
          </w:p>
        </w:tc>
        <w:tc>
          <w:tcPr>
            <w:tcW w:type="dxa" w:w="893"/>
          </w:tcPr>
          <w:p>
            <w:pPr>
              <w:pStyle w:val="Compact"/>
              <w:spacing w:line="240" w:lineRule="auto"/>
              <w:jc w:val="center"/>
            </w:pPr>
            <w:r>
              <w:rPr>
                <w:rFonts w:ascii="Times New Roman" w:hAnsi="Times New Roman"/>
                <w:sz w:val="18"/>
              </w:rPr>
              <w:t xml:space="preserve">0.43</w:t>
            </w:r>
          </w:p>
        </w:tc>
        <w:tc>
          <w:tcPr>
            <w:tcW w:type="dxa" w:w="893"/>
          </w:tcPr>
          <w:p>
            <w:pPr>
              <w:pStyle w:val="Compact"/>
              <w:spacing w:line="240" w:lineRule="auto"/>
              <w:jc w:val="center"/>
            </w:pPr>
            <w:r>
              <w:rPr>
                <w:rFonts w:ascii="Times New Roman" w:hAnsi="Times New Roman"/>
                <w:sz w:val="18"/>
              </w:rPr>
              <w:t xml:space="preserve">3.8</w:t>
            </w:r>
          </w:p>
        </w:tc>
        <w:tc>
          <w:tcPr>
            <w:tcW w:type="dxa" w:w="893"/>
          </w:tcPr>
          <w:p>
            <w:pPr>
              <w:pStyle w:val="Compact"/>
              <w:spacing w:line="240" w:lineRule="auto"/>
              <w:jc w:val="center"/>
            </w:pPr>
            <w:r>
              <w:rPr>
                <w:rFonts w:ascii="Times New Roman" w:hAnsi="Times New Roman"/>
                <w:sz w:val="18"/>
              </w:rPr>
              <w:t xml:space="preserve">[1.73, 4.49)</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SmolLM2-360M, base to instruct</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0.00</w:t>
            </w:r>
          </w:p>
        </w:tc>
        <w:tc>
          <w:tcPr>
            <w:tcW w:type="dxa" w:w="893"/>
          </w:tcPr>
          <w:p>
            <w:pPr>
              <w:pStyle w:val="Compact"/>
              <w:spacing w:line="240" w:lineRule="auto"/>
              <w:jc w:val="center"/>
            </w:pPr>
            <w:r>
              <w:rPr>
                <w:rFonts w:ascii="Times New Roman" w:hAnsi="Times New Roman"/>
                <w:sz w:val="18"/>
              </w:rPr>
              <w:t xml:space="preserve">8.4</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6),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six upgrades of models with 160 to 360 million parameters, on a single task (GSM8K), with 200 evaluation examples each. The drift series covers one model family, and only the largest upgrade has a replicate; the results do not speak to frontier models or to other tasks.</w:t>
      </w:r>
      <w:r>
        <w:t xml:space="preserve"> </w:t>
      </w:r>
      <w:r>
        <w:t xml:space="preserve">Third, the instruction-tuned pair is an unexplained exception, and we cannot say whether it reflects the upgrade type, the model scale, or something else.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2026-10-10T19:24:19Z</dcterms:created>
  <dcterms:modified xsi:type="dcterms:W3CDTF">2026-10-10T19:24:19Z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After smaller upgrades its gain does not cover its cost, and on the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