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2"/>
        </w:rPr>
        <w:t>Supplementary Information</w:t>
      </w:r>
    </w:p>
    <w:p>
      <w:pPr>
        <w:spacing w:line="276" w:lineRule="auto" w:after="280" w:before="0"/>
        <w:jc w:val="center"/>
      </w:pPr>
      <w:r>
        <w:rPr>
          <w:b w:val="0"/>
          <w:i/>
        </w:rPr>
        <w:t>to “Reach, not speed, limits who benefits from AI testing tools and where vendors invest”</w:t>
      </w:r>
    </w:p>
    <w:p>
      <w:pPr>
        <w:spacing w:line="312" w:lineRule="auto" w:after="0" w:before="0"/>
        <w:jc w:val="both"/>
      </w:pPr>
      <w:r>
        <w:rPr>
          <w:b w:val="0"/>
          <w:i w:val="0"/>
        </w:rPr>
        <w:t xml:space="preserve">This appendix contains the proofs of the results in the main text (Section A), the pricing extensions (B), the investment extensions (C), the extensions on private information about reach and on mixed-complexity markets (D), the estimation machinery for the NHPP regression layer (E), the details of the public-data analyses (F), and a guide to the replication package (G). Every result is labeled </w:t>
      </w:r>
      <w:r>
        <w:rPr>
          <w:b/>
          <w:i w:val="0"/>
        </w:rPr>
        <w:t>Proved</w:t>
      </w:r>
      <w:r>
        <w:rPr>
          <w:b w:val="0"/>
          <w:i w:val="0"/>
        </w:rPr>
        <w:t xml:space="preserve">, </w:t>
      </w:r>
      <w:r>
        <w:rPr>
          <w:b/>
          <w:i w:val="0"/>
        </w:rPr>
        <w:t>Proved under stated conditions</w:t>
      </w:r>
      <w:r>
        <w:rPr>
          <w:b w:val="0"/>
          <w:i w:val="0"/>
        </w:rPr>
        <w:t xml:space="preserve">, or </w:t>
      </w:r>
      <w:r>
        <w:rPr>
          <w:b/>
          <w:i w:val="0"/>
        </w:rPr>
        <w:t>Numerical</w:t>
      </w:r>
      <w:r>
        <w:rPr>
          <w:b w:val="0"/>
          <w:i w:val="0"/>
        </w:rPr>
        <w:t>. Numerical results are computed at the illustrative parameters of Methods (</w:t>
      </w:r>
      <w:r>
        <w:rPr>
          <w:b w:val="0"/>
          <w:i/>
        </w:rPr>
        <w:t>a</w:t>
      </w:r>
      <w:r>
        <w:rPr>
          <w:b w:val="0"/>
          <w:i w:val="0"/>
        </w:rPr>
        <w:t xml:space="preserve"> = 20, </w:t>
      </w:r>
      <w:r>
        <w:rPr>
          <w:b w:val="0"/>
          <w:i/>
        </w:rPr>
        <w:t>b</w:t>
      </w:r>
      <w:r>
        <w:rPr>
          <w:b w:val="0"/>
          <w:i w:val="0"/>
        </w:rPr>
        <w:t xml:space="preserve"> = 0.12, </w:t>
      </w:r>
      <w:r>
        <w:rPr>
          <w:b w:val="0"/>
          <w:i/>
        </w:rPr>
        <w:t>B</w:t>
      </w:r>
      <w:r>
        <w:rPr>
          <w:b w:val="0"/>
          <w:i w:val="0"/>
        </w:rPr>
        <w:t xml:space="preserve"> = 1.6, </w:t>
      </w:r>
      <w:r>
        <w:rPr>
          <w:b w:val="0"/>
          <w:i/>
        </w:rPr>
        <w:t>c</w:t>
      </w:r>
      <w:r>
        <w:rPr>
          <w:b w:val="0"/>
          <w:i w:val="0"/>
          <w:vertAlign w:val="subscript"/>
        </w:rPr>
        <w:t>0</w:t>
      </w:r>
      <w:r>
        <w:rPr>
          <w:b w:val="0"/>
          <w:i w:val="0"/>
        </w:rPr>
        <w:t xml:space="preserve"> = 0.8, </w:t>
      </w:r>
      <w:r>
        <w:rPr>
          <w:b w:val="0"/>
          <w:i/>
        </w:rPr>
        <w:t>k</w:t>
      </w:r>
      <w:r>
        <w:rPr>
          <w:b w:val="0"/>
          <w:i w:val="0"/>
        </w:rPr>
        <w:t xml:space="preserve"> = 0.1, </w:t>
      </w:r>
      <w:r>
        <w:rPr>
          <w:b w:val="0"/>
          <w:i/>
        </w:rPr>
        <w:t>A</w:t>
      </w:r>
      <w:r>
        <w:rPr>
          <w:b w:val="0"/>
          <w:i w:val="0"/>
          <w:vertAlign w:val="subscript"/>
        </w:rPr>
        <w:t>0</w:t>
      </w:r>
      <w:r>
        <w:rPr>
          <w:b w:val="0"/>
          <w:i w:val="0"/>
        </w:rPr>
        <w:t xml:space="preserve"> = 0.5, ln </w:t>
      </w:r>
      <w:r>
        <w:rPr>
          <w:b w:val="0"/>
          <w:i/>
        </w:rPr>
        <w:t>κ</w:t>
      </w:r>
      <w:r>
        <w:rPr>
          <w:b w:val="0"/>
          <w:i w:val="0"/>
        </w:rPr>
        <w:t xml:space="preserve"> ~ Normal(ln 4.8, 0.9²)) and should be read as illustrations of mechanisms.</w:t>
      </w:r>
    </w:p>
    <w:p>
      <w:pPr>
        <w:keepNext/>
        <w:spacing w:line="276" w:lineRule="auto" w:after="120" w:before="240"/>
      </w:pPr>
      <w:r>
        <w:rPr>
          <w:b/>
          <w:i w:val="0"/>
        </w:rPr>
        <w:t>A. Proofs</w:t>
      </w:r>
    </w:p>
    <w:p>
      <w:pPr>
        <w:keepNext/>
        <w:spacing w:line="276" w:lineRule="auto" w:after="80" w:before="160"/>
      </w:pPr>
      <w:r>
        <w:rPr>
          <w:b/>
          <w:i/>
        </w:rPr>
        <w:t>A.1 Lemma 2 and Proposition 2 (adoption set)</w:t>
      </w:r>
    </w:p>
    <w:p>
      <w:pPr>
        <w:spacing w:after="0" w:before="0"/>
        <w:ind w:firstLine="720"/>
      </w:pPr>
      <w:r>
        <w:rPr>
          <w:b w:val="0"/>
          <w:i/>
        </w:rPr>
        <w:t>Lemma A1.</w:t>
      </w:r>
      <w:r>
        <w:rPr>
          <w:b w:val="0"/>
          <w:i w:val="0"/>
        </w:rPr>
        <w:t xml:space="preserve"> Let </w:t>
      </w:r>
      <w:r>
        <w:rPr>
          <w:b w:val="0"/>
          <w:i/>
        </w:rPr>
        <w:t>g</w:t>
      </w:r>
      <w:r>
        <w:rPr>
          <w:b w:val="0"/>
          <w:i w:val="0"/>
        </w:rPr>
        <w:t>(</w:t>
      </w:r>
      <w:r>
        <w:rPr>
          <w:b w:val="0"/>
          <w:i/>
        </w:rPr>
        <w:t>x</w:t>
      </w:r>
      <w:r>
        <w:rPr>
          <w:b w:val="0"/>
          <w:i w:val="0"/>
        </w:rPr>
        <w:t xml:space="preserve">) = </w:t>
      </w:r>
      <w:r>
        <w:rPr>
          <w:b w:val="0"/>
          <w:i/>
        </w:rPr>
        <w:t>xh</w:t>
      </w:r>
      <w:r>
        <w:rPr>
          <w:b w:val="0"/>
          <w:i w:val="0"/>
        </w:rPr>
        <w:t>′(</w:t>
      </w:r>
      <w:r>
        <w:rPr>
          <w:b w:val="0"/>
          <w:i/>
        </w:rPr>
        <w:t>x</w:t>
      </w:r>
      <w:r>
        <w:rPr>
          <w:b w:val="0"/>
          <w:i w:val="0"/>
        </w:rPr>
        <w:t>)/</w:t>
      </w:r>
      <w:r>
        <w:rPr>
          <w:b w:val="0"/>
          <w:i/>
        </w:rPr>
        <w:t>h</w:t>
      </w:r>
      <w:r>
        <w:rPr>
          <w:b w:val="0"/>
          <w:i w:val="0"/>
        </w:rPr>
        <w:t>(</w:t>
      </w:r>
      <w:r>
        <w:rPr>
          <w:b w:val="0"/>
          <w:i/>
        </w:rPr>
        <w:t>x</w:t>
      </w:r>
      <w:r>
        <w:rPr>
          <w:b w:val="0"/>
          <w:i w:val="0"/>
        </w:rPr>
        <w:t xml:space="preserve">) for </w:t>
      </w:r>
      <w:r>
        <w:rPr>
          <w:b w:val="0"/>
          <w:i/>
        </w:rPr>
        <w:t>x</w:t>
      </w:r>
      <w:r>
        <w:rPr>
          <w:b w:val="0"/>
          <w:i w:val="0"/>
        </w:rPr>
        <w:t xml:space="preserve"> &gt; 1. Then </w:t>
      </w:r>
      <w:r>
        <w:rPr>
          <w:b w:val="0"/>
          <w:i/>
        </w:rPr>
        <w:t>g</w:t>
      </w:r>
      <w:r>
        <w:rPr>
          <w:b w:val="0"/>
          <w:i w:val="0"/>
        </w:rPr>
        <w:t>(</w:t>
      </w:r>
      <w:r>
        <w:rPr>
          <w:b w:val="0"/>
          <w:i/>
        </w:rPr>
        <w:t>x</w:t>
      </w:r>
      <w:r>
        <w:rPr>
          <w:b w:val="0"/>
          <w:i w:val="0"/>
        </w:rPr>
        <w:t xml:space="preserve">) = ln </w:t>
      </w:r>
      <w:r>
        <w:rPr>
          <w:b w:val="0"/>
          <w:i/>
        </w:rPr>
        <w:t>x</w:t>
      </w:r>
      <w:r>
        <w:rPr>
          <w:b w:val="0"/>
          <w:i w:val="0"/>
        </w:rPr>
        <w:t>/(</w:t>
      </w:r>
      <w:r>
        <w:rPr>
          <w:b w:val="0"/>
          <w:i/>
        </w:rPr>
        <w:t>x</w:t>
      </w:r>
      <w:r>
        <w:rPr>
          <w:b w:val="0"/>
          <w:i w:val="0"/>
        </w:rPr>
        <w:t xml:space="preserve"> − 1 − ln </w:t>
      </w:r>
      <w:r>
        <w:rPr>
          <w:b w:val="0"/>
          <w:i/>
        </w:rPr>
        <w:t>x</w:t>
      </w:r>
      <w:r>
        <w:rPr>
          <w:b w:val="0"/>
          <w:i w:val="0"/>
        </w:rPr>
        <w:t xml:space="preserve">), and </w:t>
      </w:r>
      <w:r>
        <w:rPr>
          <w:b w:val="0"/>
          <w:i/>
        </w:rPr>
        <w:t>g</w:t>
      </w:r>
      <w:r>
        <w:rPr>
          <w:b w:val="0"/>
          <w:i w:val="0"/>
        </w:rPr>
        <w:t xml:space="preserve"> is strictly decreasing with </w:t>
      </w:r>
      <w:r>
        <w:rPr>
          <w:b w:val="0"/>
          <w:i/>
        </w:rPr>
        <w:t>g</w:t>
      </w:r>
      <w:r>
        <w:rPr>
          <w:b w:val="0"/>
          <w:i w:val="0"/>
        </w:rPr>
        <w:t>(</w:t>
      </w:r>
      <w:r>
        <w:rPr>
          <w:b w:val="0"/>
          <w:i/>
        </w:rPr>
        <w:t>x</w:t>
      </w:r>
      <w:r>
        <w:rPr>
          <w:b w:val="0"/>
          <w:i w:val="0"/>
        </w:rPr>
        <w:t xml:space="preserve">) → ∞ as </w:t>
      </w:r>
      <w:r>
        <w:rPr>
          <w:b w:val="0"/>
          <w:i/>
        </w:rPr>
        <w:t>x</w:t>
      </w:r>
      <w:r>
        <w:rPr>
          <w:b w:val="0"/>
          <w:i w:val="0"/>
        </w:rPr>
        <w:t xml:space="preserve"> ↓ 1 and </w:t>
      </w:r>
      <w:r>
        <w:rPr>
          <w:b w:val="0"/>
          <w:i/>
        </w:rPr>
        <w:t>g</w:t>
      </w:r>
      <w:r>
        <w:rPr>
          <w:b w:val="0"/>
          <w:i w:val="0"/>
        </w:rPr>
        <w:t>(</w:t>
      </w:r>
      <w:r>
        <w:rPr>
          <w:b w:val="0"/>
          <w:i/>
        </w:rPr>
        <w:t>x</w:t>
      </w:r>
      <w:r>
        <w:rPr>
          <w:b w:val="0"/>
          <w:i w:val="0"/>
        </w:rPr>
        <w:t xml:space="preserve">) → 0 as </w:t>
      </w:r>
      <w:r>
        <w:rPr>
          <w:b w:val="0"/>
          <w:i/>
        </w:rPr>
        <w:t>x</w:t>
      </w:r>
      <w:r>
        <w:rPr>
          <w:b w:val="0"/>
          <w:i w:val="0"/>
        </w:rPr>
        <w:t xml:space="preserve"> → ∞.</w:t>
      </w:r>
    </w:p>
    <w:p>
      <w:pPr>
        <w:spacing w:after="120"/>
        <w:ind w:firstLine="720"/>
      </w:pPr>
      <w:r>
        <w:rPr>
          <w:i/>
        </w:rPr>
        <w:t xml:space="preserve">Proof. </w:t>
      </w:r>
      <w:r>
        <w:rPr>
          <w:b w:val="0"/>
          <w:i w:val="0"/>
        </w:rPr>
        <w:t xml:space="preserve">From </w:t>
      </w:r>
      <w:r>
        <w:rPr>
          <w:b w:val="0"/>
          <w:i/>
        </w:rPr>
        <w:t>h</w:t>
      </w:r>
      <w:r>
        <w:rPr>
          <w:b w:val="0"/>
          <w:i w:val="0"/>
        </w:rPr>
        <w:t>(</w:t>
      </w:r>
      <w:r>
        <w:rPr>
          <w:b w:val="0"/>
          <w:i/>
        </w:rPr>
        <w:t>x</w:t>
      </w:r>
      <w:r>
        <w:rPr>
          <w:b w:val="0"/>
          <w:i w:val="0"/>
        </w:rPr>
        <w:t xml:space="preserve">) = 1 − (1 + ln </w:t>
      </w:r>
      <w:r>
        <w:rPr>
          <w:b w:val="0"/>
          <w:i/>
        </w:rPr>
        <w:t>x</w:t>
      </w:r>
      <w:r>
        <w:rPr>
          <w:b w:val="0"/>
          <w:i w:val="0"/>
        </w:rPr>
        <w:t>)/</w:t>
      </w:r>
      <w:r>
        <w:rPr>
          <w:b w:val="0"/>
          <w:i/>
        </w:rPr>
        <w:t>x</w:t>
      </w:r>
      <w:r>
        <w:rPr>
          <w:b w:val="0"/>
          <w:i w:val="0"/>
        </w:rPr>
        <w:t xml:space="preserve"> we get </w:t>
      </w:r>
      <w:r>
        <w:rPr>
          <w:b w:val="0"/>
          <w:i/>
        </w:rPr>
        <w:t>h</w:t>
      </w:r>
      <w:r>
        <w:rPr>
          <w:b w:val="0"/>
          <w:i w:val="0"/>
        </w:rPr>
        <w:t>′(</w:t>
      </w:r>
      <w:r>
        <w:rPr>
          <w:b w:val="0"/>
          <w:i/>
        </w:rPr>
        <w:t>x</w:t>
      </w:r>
      <w:r>
        <w:rPr>
          <w:b w:val="0"/>
          <w:i w:val="0"/>
        </w:rPr>
        <w:t xml:space="preserve">) = ln </w:t>
      </w:r>
      <w:r>
        <w:rPr>
          <w:b w:val="0"/>
          <w:i/>
        </w:rPr>
        <w:t>x</w:t>
      </w:r>
      <w:r>
        <w:rPr>
          <w:b w:val="0"/>
          <w:i w:val="0"/>
        </w:rPr>
        <w:t>/</w:t>
      </w:r>
      <w:r>
        <w:rPr>
          <w:b w:val="0"/>
          <w:i/>
        </w:rPr>
        <w:t>x</w:t>
      </w:r>
      <w:r>
        <w:rPr>
          <w:b w:val="0"/>
          <w:i w:val="0"/>
        </w:rPr>
        <w:t xml:space="preserve">² and </w:t>
      </w:r>
      <w:r>
        <w:rPr>
          <w:b w:val="0"/>
          <w:i/>
        </w:rPr>
        <w:t>h</w:t>
      </w:r>
      <w:r>
        <w:rPr>
          <w:b w:val="0"/>
          <w:i w:val="0"/>
        </w:rPr>
        <w:t>(</w:t>
      </w:r>
      <w:r>
        <w:rPr>
          <w:b w:val="0"/>
          <w:i/>
        </w:rPr>
        <w:t>x</w:t>
      </w:r>
      <w:r>
        <w:rPr>
          <w:b w:val="0"/>
          <w:i w:val="0"/>
        </w:rPr>
        <w:t>) = (</w:t>
      </w:r>
      <w:r>
        <w:rPr>
          <w:b w:val="0"/>
          <w:i/>
        </w:rPr>
        <w:t>x</w:t>
      </w:r>
      <w:r>
        <w:rPr>
          <w:b w:val="0"/>
          <w:i w:val="0"/>
        </w:rPr>
        <w:t xml:space="preserve"> − 1 − ln </w:t>
      </w:r>
      <w:r>
        <w:rPr>
          <w:b w:val="0"/>
          <w:i/>
        </w:rPr>
        <w:t>x</w:t>
      </w:r>
      <w:r>
        <w:rPr>
          <w:b w:val="0"/>
          <w:i w:val="0"/>
        </w:rPr>
        <w:t>)/</w:t>
      </w:r>
      <w:r>
        <w:rPr>
          <w:b w:val="0"/>
          <w:i/>
        </w:rPr>
        <w:t>x</w:t>
      </w:r>
      <w:r>
        <w:rPr>
          <w:b w:val="0"/>
          <w:i w:val="0"/>
        </w:rPr>
        <w:t xml:space="preserve">, so </w:t>
      </w:r>
      <w:r>
        <w:rPr>
          <w:b w:val="0"/>
          <w:i/>
        </w:rPr>
        <w:t>g</w:t>
      </w:r>
      <w:r>
        <w:rPr>
          <w:b w:val="0"/>
          <w:i w:val="0"/>
        </w:rPr>
        <w:t xml:space="preserve"> is as stated. Put </w:t>
      </w:r>
      <w:r>
        <w:rPr>
          <w:b w:val="0"/>
          <w:i/>
        </w:rPr>
        <w:t>u</w:t>
      </w:r>
      <w:r>
        <w:rPr>
          <w:b w:val="0"/>
          <w:i w:val="0"/>
        </w:rPr>
        <w:t xml:space="preserve"> = ln </w:t>
      </w:r>
      <w:r>
        <w:rPr>
          <w:b w:val="0"/>
          <w:i/>
        </w:rPr>
        <w:t>x</w:t>
      </w:r>
      <w:r>
        <w:rPr>
          <w:b w:val="0"/>
          <w:i w:val="0"/>
        </w:rPr>
        <w:t xml:space="preserve"> &gt; 0. Then </w:t>
      </w:r>
      <w:r>
        <w:rPr>
          <w:b w:val="0"/>
          <w:i/>
        </w:rPr>
        <w:t>g</w:t>
      </w:r>
      <w:r>
        <w:rPr>
          <w:b w:val="0"/>
          <w:i w:val="0"/>
        </w:rPr>
        <w:t xml:space="preserve"> = </w:t>
      </w:r>
      <w:r>
        <w:rPr>
          <w:b w:val="0"/>
          <w:i/>
        </w:rPr>
        <w:t>u</w:t>
      </w:r>
      <w:r>
        <w:rPr>
          <w:b w:val="0"/>
          <w:i w:val="0"/>
        </w:rPr>
        <w:t>/(e</w:t>
      </w:r>
      <w:r>
        <w:rPr>
          <w:b w:val="0"/>
          <w:i w:val="0"/>
          <w:vertAlign w:val="superscript"/>
        </w:rPr>
        <w:t>*u*</w:t>
      </w:r>
      <w:r>
        <w:rPr>
          <w:b w:val="0"/>
          <w:i w:val="0"/>
        </w:rPr>
        <w:t xml:space="preserve"> − 1 − </w:t>
      </w:r>
      <w:r>
        <w:rPr>
          <w:b w:val="0"/>
          <w:i/>
        </w:rPr>
        <w:t>u</w:t>
      </w:r>
      <w:r>
        <w:rPr>
          <w:b w:val="0"/>
          <w:i w:val="0"/>
        </w:rPr>
        <w:t>) = 1/</w:t>
      </w:r>
      <w:r>
        <w:rPr>
          <w:b w:val="0"/>
          <w:i/>
        </w:rPr>
        <w:t>φ</w:t>
      </w:r>
      <w:r>
        <w:rPr>
          <w:b w:val="0"/>
          <w:i w:val="0"/>
        </w:rPr>
        <w:t>(</w:t>
      </w:r>
      <w:r>
        <w:rPr>
          <w:b w:val="0"/>
          <w:i/>
        </w:rPr>
        <w:t>u</w:t>
      </w:r>
      <w:r>
        <w:rPr>
          <w:b w:val="0"/>
          <w:i w:val="0"/>
        </w:rPr>
        <w:t xml:space="preserve">) with </w:t>
      </w:r>
      <w:r>
        <w:rPr>
          <w:b w:val="0"/>
          <w:i/>
        </w:rPr>
        <w:t>φ</w:t>
      </w:r>
      <w:r>
        <w:rPr>
          <w:b w:val="0"/>
          <w:i w:val="0"/>
        </w:rPr>
        <w:t>(</w:t>
      </w:r>
      <w:r>
        <w:rPr>
          <w:b w:val="0"/>
          <w:i/>
        </w:rPr>
        <w:t>u</w:t>
      </w:r>
      <w:r>
        <w:rPr>
          <w:b w:val="0"/>
          <w:i w:val="0"/>
        </w:rPr>
        <w:t>) = (e</w:t>
      </w:r>
      <w:r>
        <w:rPr>
          <w:b w:val="0"/>
          <w:i w:val="0"/>
          <w:vertAlign w:val="superscript"/>
        </w:rPr>
        <w:t>*u*</w:t>
      </w:r>
      <w:r>
        <w:rPr>
          <w:b w:val="0"/>
          <w:i w:val="0"/>
        </w:rPr>
        <w:t xml:space="preserve"> − 1 − </w:t>
      </w:r>
      <w:r>
        <w:rPr>
          <w:b w:val="0"/>
          <w:i/>
        </w:rPr>
        <w:t>u</w:t>
      </w:r>
      <w:r>
        <w:rPr>
          <w:b w:val="0"/>
          <w:i w:val="0"/>
        </w:rPr>
        <w:t>)/</w:t>
      </w:r>
      <w:r>
        <w:rPr>
          <w:b w:val="0"/>
          <w:i/>
        </w:rPr>
        <w:t>u</w:t>
      </w:r>
      <w:r>
        <w:rPr>
          <w:b w:val="0"/>
          <w:i w:val="0"/>
        </w:rPr>
        <w:t xml:space="preserve">. We have </w:t>
      </w:r>
      <w:r>
        <w:rPr>
          <w:b w:val="0"/>
          <w:i/>
        </w:rPr>
        <w:t>φ</w:t>
      </w:r>
      <w:r>
        <w:rPr>
          <w:b w:val="0"/>
          <w:i w:val="0"/>
        </w:rPr>
        <w:t>′(</w:t>
      </w:r>
      <w:r>
        <w:rPr>
          <w:b w:val="0"/>
          <w:i/>
        </w:rPr>
        <w:t>u</w:t>
      </w:r>
      <w:r>
        <w:rPr>
          <w:b w:val="0"/>
          <w:i w:val="0"/>
        </w:rPr>
        <w:t>) = [</w:t>
      </w:r>
      <w:r>
        <w:rPr>
          <w:b w:val="0"/>
          <w:i/>
        </w:rPr>
        <w:t>u</w:t>
      </w:r>
      <w:r>
        <w:rPr>
          <w:b w:val="0"/>
          <w:i w:val="0"/>
        </w:rPr>
        <w:t>e</w:t>
      </w:r>
      <w:r>
        <w:rPr>
          <w:b w:val="0"/>
          <w:i w:val="0"/>
          <w:vertAlign w:val="superscript"/>
        </w:rPr>
        <w:t>*u*</w:t>
      </w:r>
      <w:r>
        <w:rPr>
          <w:b w:val="0"/>
          <w:i w:val="0"/>
        </w:rPr>
        <w:t xml:space="preserve"> − e</w:t>
      </w:r>
      <w:r>
        <w:rPr>
          <w:b w:val="0"/>
          <w:i w:val="0"/>
          <w:vertAlign w:val="superscript"/>
        </w:rPr>
        <w:t>*u*</w:t>
      </w:r>
      <w:r>
        <w:rPr>
          <w:b w:val="0"/>
          <w:i w:val="0"/>
        </w:rPr>
        <w:t xml:space="preserve"> + 1]/</w:t>
      </w:r>
      <w:r>
        <w:rPr>
          <w:b w:val="0"/>
          <w:i/>
        </w:rPr>
        <w:t>u</w:t>
      </w:r>
      <w:r>
        <w:rPr>
          <w:b w:val="0"/>
          <w:i w:val="0"/>
        </w:rPr>
        <w:t xml:space="preserve">². The numerator </w:t>
      </w:r>
      <w:r>
        <w:rPr>
          <w:b w:val="0"/>
          <w:i/>
        </w:rPr>
        <w:t>n</w:t>
      </w:r>
      <w:r>
        <w:rPr>
          <w:b w:val="0"/>
          <w:i w:val="0"/>
        </w:rPr>
        <w:t>(</w:t>
      </w:r>
      <w:r>
        <w:rPr>
          <w:b w:val="0"/>
          <w:i/>
        </w:rPr>
        <w:t>u</w:t>
      </w:r>
      <w:r>
        <w:rPr>
          <w:b w:val="0"/>
          <w:i w:val="0"/>
        </w:rPr>
        <w:t xml:space="preserve">) = </w:t>
      </w:r>
      <w:r>
        <w:rPr>
          <w:b w:val="0"/>
          <w:i/>
        </w:rPr>
        <w:t>u</w:t>
      </w:r>
      <w:r>
        <w:rPr>
          <w:b w:val="0"/>
          <w:i w:val="0"/>
        </w:rPr>
        <w:t>e</w:t>
      </w:r>
      <w:r>
        <w:rPr>
          <w:b w:val="0"/>
          <w:i w:val="0"/>
          <w:vertAlign w:val="superscript"/>
        </w:rPr>
        <w:t>*u*</w:t>
      </w:r>
      <w:r>
        <w:rPr>
          <w:b w:val="0"/>
          <w:i w:val="0"/>
        </w:rPr>
        <w:t xml:space="preserve"> − e</w:t>
      </w:r>
      <w:r>
        <w:rPr>
          <w:b w:val="0"/>
          <w:i w:val="0"/>
          <w:vertAlign w:val="superscript"/>
        </w:rPr>
        <w:t>*u*</w:t>
      </w:r>
      <w:r>
        <w:rPr>
          <w:b w:val="0"/>
          <w:i w:val="0"/>
        </w:rPr>
        <w:t xml:space="preserve"> + 1 has </w:t>
      </w:r>
      <w:r>
        <w:rPr>
          <w:b w:val="0"/>
          <w:i/>
        </w:rPr>
        <w:t>n</w:t>
      </w:r>
      <w:r>
        <w:rPr>
          <w:b w:val="0"/>
          <w:i w:val="0"/>
        </w:rPr>
        <w:t xml:space="preserve">(0) = 0 and </w:t>
      </w:r>
      <w:r>
        <w:rPr>
          <w:b w:val="0"/>
          <w:i/>
        </w:rPr>
        <w:t>n</w:t>
      </w:r>
      <w:r>
        <w:rPr>
          <w:b w:val="0"/>
          <w:i w:val="0"/>
        </w:rPr>
        <w:t>′(</w:t>
      </w:r>
      <w:r>
        <w:rPr>
          <w:b w:val="0"/>
          <w:i/>
        </w:rPr>
        <w:t>u</w:t>
      </w:r>
      <w:r>
        <w:rPr>
          <w:b w:val="0"/>
          <w:i w:val="0"/>
        </w:rPr>
        <w:t xml:space="preserve">) = </w:t>
      </w:r>
      <w:r>
        <w:rPr>
          <w:b w:val="0"/>
          <w:i/>
        </w:rPr>
        <w:t>u</w:t>
      </w:r>
      <w:r>
        <w:rPr>
          <w:b w:val="0"/>
          <w:i w:val="0"/>
        </w:rPr>
        <w:t>e</w:t>
      </w:r>
      <w:r>
        <w:rPr>
          <w:b w:val="0"/>
          <w:i w:val="0"/>
          <w:vertAlign w:val="superscript"/>
        </w:rPr>
        <w:t>*u*</w:t>
      </w:r>
      <w:r>
        <w:rPr>
          <w:b w:val="0"/>
          <w:i w:val="0"/>
        </w:rPr>
        <w:t xml:space="preserve"> &gt; 0 for </w:t>
      </w:r>
      <w:r>
        <w:rPr>
          <w:b w:val="0"/>
          <w:i/>
        </w:rPr>
        <w:t>u</w:t>
      </w:r>
      <w:r>
        <w:rPr>
          <w:b w:val="0"/>
          <w:i w:val="0"/>
        </w:rPr>
        <w:t xml:space="preserve"> &gt; 0, so </w:t>
      </w:r>
      <w:r>
        <w:rPr>
          <w:b w:val="0"/>
          <w:i/>
        </w:rPr>
        <w:t>n</w:t>
      </w:r>
      <w:r>
        <w:rPr>
          <w:b w:val="0"/>
          <w:i w:val="0"/>
        </w:rPr>
        <w:t>(</w:t>
      </w:r>
      <w:r>
        <w:rPr>
          <w:b w:val="0"/>
          <w:i/>
        </w:rPr>
        <w:t>u</w:t>
      </w:r>
      <w:r>
        <w:rPr>
          <w:b w:val="0"/>
          <w:i w:val="0"/>
        </w:rPr>
        <w:t xml:space="preserve">) &gt; 0 and </w:t>
      </w:r>
      <w:r>
        <w:rPr>
          <w:b w:val="0"/>
          <w:i/>
        </w:rPr>
        <w:t>φ</w:t>
      </w:r>
      <w:r>
        <w:rPr>
          <w:b w:val="0"/>
          <w:i w:val="0"/>
        </w:rPr>
        <w:t xml:space="preserve"> is strictly increasing on (0, ∞). Hence </w:t>
      </w:r>
      <w:r>
        <w:rPr>
          <w:b w:val="0"/>
          <w:i/>
        </w:rPr>
        <w:t>g</w:t>
      </w:r>
      <w:r>
        <w:rPr>
          <w:b w:val="0"/>
          <w:i w:val="0"/>
        </w:rPr>
        <w:t xml:space="preserve"> is strictly decreasing. The limits follow from </w:t>
      </w:r>
      <w:r>
        <w:rPr>
          <w:b w:val="0"/>
          <w:i/>
        </w:rPr>
        <w:t>φ</w:t>
      </w:r>
      <w:r>
        <w:rPr>
          <w:b w:val="0"/>
          <w:i w:val="0"/>
        </w:rPr>
        <w:t>(</w:t>
      </w:r>
      <w:r>
        <w:rPr>
          <w:b w:val="0"/>
          <w:i/>
        </w:rPr>
        <w:t>u</w:t>
      </w:r>
      <w:r>
        <w:rPr>
          <w:b w:val="0"/>
          <w:i w:val="0"/>
        </w:rPr>
        <w:t xml:space="preserve">) → 0 as </w:t>
      </w:r>
      <w:r>
        <w:rPr>
          <w:b w:val="0"/>
          <w:i/>
        </w:rPr>
        <w:t>u</w:t>
      </w:r>
      <w:r>
        <w:rPr>
          <w:b w:val="0"/>
          <w:i w:val="0"/>
        </w:rPr>
        <w:t xml:space="preserve"> ↓ 0 (since e</w:t>
      </w:r>
      <w:r>
        <w:rPr>
          <w:b w:val="0"/>
          <w:i w:val="0"/>
          <w:vertAlign w:val="superscript"/>
        </w:rPr>
        <w:t>*u*</w:t>
      </w:r>
      <w:r>
        <w:rPr>
          <w:b w:val="0"/>
          <w:i w:val="0"/>
        </w:rPr>
        <w:t xml:space="preserve"> − 1 − </w:t>
      </w:r>
      <w:r>
        <w:rPr>
          <w:b w:val="0"/>
          <w:i/>
        </w:rPr>
        <w:t>u</w:t>
      </w:r>
      <w:r>
        <w:rPr>
          <w:b w:val="0"/>
          <w:i w:val="0"/>
        </w:rPr>
        <w:t xml:space="preserve"> ≈ </w:t>
      </w:r>
      <w:r>
        <w:rPr>
          <w:b w:val="0"/>
          <w:i/>
        </w:rPr>
        <w:t>u</w:t>
      </w:r>
      <w:r>
        <w:rPr>
          <w:b w:val="0"/>
          <w:i w:val="0"/>
        </w:rPr>
        <w:t xml:space="preserve">²/2) and </w:t>
      </w:r>
      <w:r>
        <w:rPr>
          <w:b w:val="0"/>
          <w:i/>
        </w:rPr>
        <w:t>φ</w:t>
      </w:r>
      <w:r>
        <w:rPr>
          <w:b w:val="0"/>
          <w:i w:val="0"/>
        </w:rPr>
        <w:t>(</w:t>
      </w:r>
      <w:r>
        <w:rPr>
          <w:b w:val="0"/>
          <w:i/>
        </w:rPr>
        <w:t>u</w:t>
      </w:r>
      <w:r>
        <w:rPr>
          <w:b w:val="0"/>
          <w:i w:val="0"/>
        </w:rPr>
        <w:t xml:space="preserve">) → ∞ as </w:t>
      </w:r>
      <w:r>
        <w:rPr>
          <w:b w:val="0"/>
          <w:i/>
        </w:rPr>
        <w:t>u</w:t>
      </w:r>
      <w:r>
        <w:rPr>
          <w:b w:val="0"/>
          <w:i w:val="0"/>
        </w:rPr>
        <w:t xml:space="preserve"> → ∞. ∎</w:t>
      </w:r>
    </w:p>
    <w:p>
      <w:pPr>
        <w:spacing w:after="0" w:before="0"/>
        <w:ind w:firstLine="720"/>
      </w:pPr>
      <w:r>
        <w:rPr>
          <w:b w:val="0"/>
          <w:i/>
        </w:rPr>
        <w:t>Proof of Lemma 2.</w:t>
      </w:r>
      <w:r>
        <w:rPr>
          <w:b w:val="0"/>
          <w:i w:val="0"/>
        </w:rPr>
        <w:t xml:space="preserve"> For </w:t>
      </w:r>
      <w:r>
        <w:rPr>
          <w:b w:val="0"/>
          <w:i/>
        </w:rPr>
        <w:t>κ</w:t>
      </w:r>
      <w:r>
        <w:rPr>
          <w:b w:val="0"/>
          <w:i w:val="0"/>
        </w:rPr>
        <w:t xml:space="preserve"> &gt; 1 and </w:t>
      </w:r>
      <w:r>
        <w:rPr>
          <w:b w:val="0"/>
          <w:i/>
        </w:rPr>
        <w:t>ρ</w:t>
      </w:r>
      <w:r>
        <w:rPr>
          <w:b w:val="0"/>
          <w:i w:val="0"/>
        </w:rPr>
        <w:t xml:space="preserve"> &gt; 1, </w:t>
      </w:r>
      <w:r>
        <w:rPr>
          <w:b w:val="0"/>
          <w:i/>
        </w:rPr>
        <w:t>R</w:t>
      </w:r>
      <w:r>
        <w:rPr>
          <w:b w:val="0"/>
          <w:i w:val="0"/>
        </w:rPr>
        <w:t>(</w:t>
      </w:r>
      <w:r>
        <w:rPr>
          <w:b w:val="0"/>
          <w:i/>
        </w:rPr>
        <w:t>κ</w:t>
      </w:r>
      <w:r>
        <w:rPr>
          <w:b w:val="0"/>
          <w:i w:val="0"/>
        </w:rPr>
        <w:t xml:space="preserve">) = </w:t>
      </w:r>
      <w:r>
        <w:rPr>
          <w:b w:val="0"/>
          <w:i/>
        </w:rPr>
        <w:t>h</w:t>
      </w:r>
      <w:r>
        <w:rPr>
          <w:b w:val="0"/>
          <w:i w:val="0"/>
        </w:rPr>
        <w:t>(</w:t>
      </w:r>
      <w:r>
        <w:rPr>
          <w:b w:val="0"/>
          <w:i/>
        </w:rPr>
        <w:t>κ</w:t>
      </w:r>
      <w:r>
        <w:rPr>
          <w:b w:val="0"/>
          <w:i w:val="0"/>
        </w:rPr>
        <w:t>)/</w:t>
      </w:r>
      <w:r>
        <w:rPr>
          <w:b w:val="0"/>
          <w:i/>
        </w:rPr>
        <w:t>h</w:t>
      </w:r>
      <w:r>
        <w:rPr>
          <w:b w:val="0"/>
          <w:i w:val="0"/>
        </w:rPr>
        <w:t>(</w:t>
      </w:r>
      <w:r>
        <w:rPr>
          <w:b w:val="0"/>
          <w:i/>
        </w:rPr>
        <w:t>ρκ</w:t>
      </w:r>
      <w:r>
        <w:rPr>
          <w:b w:val="0"/>
          <w:i w:val="0"/>
        </w:rPr>
        <w:t xml:space="preserve">) is well defined and positive. Then d ln </w:t>
      </w:r>
      <w:r>
        <w:rPr>
          <w:b w:val="0"/>
          <w:i/>
        </w:rPr>
        <w:t>R</w:t>
      </w:r>
      <w:r>
        <w:rPr>
          <w:b w:val="0"/>
          <w:i w:val="0"/>
        </w:rPr>
        <w:t xml:space="preserve">/d ln </w:t>
      </w:r>
      <w:r>
        <w:rPr>
          <w:b w:val="0"/>
          <w:i/>
        </w:rPr>
        <w:t>κ</w:t>
      </w:r>
      <w:r>
        <w:rPr>
          <w:b w:val="0"/>
          <w:i w:val="0"/>
        </w:rPr>
        <w:t xml:space="preserve"> = </w:t>
      </w:r>
      <w:r>
        <w:rPr>
          <w:b w:val="0"/>
          <w:i/>
        </w:rPr>
        <w:t>g</w:t>
      </w:r>
      <w:r>
        <w:rPr>
          <w:b w:val="0"/>
          <w:i w:val="0"/>
        </w:rPr>
        <w:t>(</w:t>
      </w:r>
      <w:r>
        <w:rPr>
          <w:b w:val="0"/>
          <w:i/>
        </w:rPr>
        <w:t>κ</w:t>
      </w:r>
      <w:r>
        <w:rPr>
          <w:b w:val="0"/>
          <w:i w:val="0"/>
        </w:rPr>
        <w:t xml:space="preserve">) − </w:t>
      </w:r>
      <w:r>
        <w:rPr>
          <w:b w:val="0"/>
          <w:i/>
        </w:rPr>
        <w:t>g</w:t>
      </w:r>
      <w:r>
        <w:rPr>
          <w:b w:val="0"/>
          <w:i w:val="0"/>
        </w:rPr>
        <w:t>(</w:t>
      </w:r>
      <w:r>
        <w:rPr>
          <w:b w:val="0"/>
          <w:i/>
        </w:rPr>
        <w:t>ρκ</w:t>
      </w:r>
      <w:r>
        <w:rPr>
          <w:b w:val="0"/>
          <w:i w:val="0"/>
        </w:rPr>
        <w:t xml:space="preserve">), which is positive since </w:t>
      </w:r>
      <w:r>
        <w:rPr>
          <w:b w:val="0"/>
          <w:i/>
        </w:rPr>
        <w:t>ρκ</w:t>
      </w:r>
      <w:r>
        <w:rPr>
          <w:b w:val="0"/>
          <w:i w:val="0"/>
        </w:rPr>
        <w:t xml:space="preserve"> &gt; </w:t>
      </w:r>
      <w:r>
        <w:rPr>
          <w:b w:val="0"/>
          <w:i/>
        </w:rPr>
        <w:t>κ</w:t>
      </w:r>
      <w:r>
        <w:rPr>
          <w:b w:val="0"/>
          <w:i w:val="0"/>
        </w:rPr>
        <w:t xml:space="preserve"> and </w:t>
      </w:r>
      <w:r>
        <w:rPr>
          <w:b w:val="0"/>
          <w:i/>
        </w:rPr>
        <w:t>g</w:t>
      </w:r>
      <w:r>
        <w:rPr>
          <w:b w:val="0"/>
          <w:i w:val="0"/>
        </w:rPr>
        <w:t xml:space="preserve"> is strictly decreasing. As </w:t>
      </w:r>
      <w:r>
        <w:rPr>
          <w:b w:val="0"/>
          <w:i/>
        </w:rPr>
        <w:t>κ</w:t>
      </w:r>
      <w:r>
        <w:rPr>
          <w:b w:val="0"/>
          <w:i w:val="0"/>
        </w:rPr>
        <w:t xml:space="preserve"> ↓ 1, </w:t>
      </w:r>
      <w:r>
        <w:rPr>
          <w:b w:val="0"/>
          <w:i/>
        </w:rPr>
        <w:t>h</w:t>
      </w:r>
      <w:r>
        <w:rPr>
          <w:b w:val="0"/>
          <w:i w:val="0"/>
        </w:rPr>
        <w:t>(</w:t>
      </w:r>
      <w:r>
        <w:rPr>
          <w:b w:val="0"/>
          <w:i/>
        </w:rPr>
        <w:t>κ</w:t>
      </w:r>
      <w:r>
        <w:rPr>
          <w:b w:val="0"/>
          <w:i w:val="0"/>
        </w:rPr>
        <w:t xml:space="preserve">) → 0 while </w:t>
      </w:r>
      <w:r>
        <w:rPr>
          <w:b w:val="0"/>
          <w:i/>
        </w:rPr>
        <w:t>h</w:t>
      </w:r>
      <w:r>
        <w:rPr>
          <w:b w:val="0"/>
          <w:i w:val="0"/>
        </w:rPr>
        <w:t>(</w:t>
      </w:r>
      <w:r>
        <w:rPr>
          <w:b w:val="0"/>
          <w:i/>
        </w:rPr>
        <w:t>ρκ</w:t>
      </w:r>
      <w:r>
        <w:rPr>
          <w:b w:val="0"/>
          <w:i w:val="0"/>
        </w:rPr>
        <w:t xml:space="preserve">) → </w:t>
      </w:r>
      <w:r>
        <w:rPr>
          <w:b w:val="0"/>
          <w:i/>
        </w:rPr>
        <w:t>h</w:t>
      </w:r>
      <w:r>
        <w:rPr>
          <w:b w:val="0"/>
          <w:i w:val="0"/>
        </w:rPr>
        <w:t>(</w:t>
      </w:r>
      <w:r>
        <w:rPr>
          <w:b w:val="0"/>
          <w:i/>
        </w:rPr>
        <w:t>ρ</w:t>
      </w:r>
      <w:r>
        <w:rPr>
          <w:b w:val="0"/>
          <w:i w:val="0"/>
        </w:rPr>
        <w:t xml:space="preserve">) &gt; 0, so </w:t>
      </w:r>
      <w:r>
        <w:rPr>
          <w:b w:val="0"/>
          <w:i/>
        </w:rPr>
        <w:t>R</w:t>
      </w:r>
      <w:r>
        <w:rPr>
          <w:b w:val="0"/>
          <w:i w:val="0"/>
        </w:rPr>
        <w:t xml:space="preserve"> → 0. As </w:t>
      </w:r>
      <w:r>
        <w:rPr>
          <w:b w:val="0"/>
          <w:i/>
        </w:rPr>
        <w:t>κ</w:t>
      </w:r>
      <w:r>
        <w:rPr>
          <w:b w:val="0"/>
          <w:i w:val="0"/>
        </w:rPr>
        <w:t xml:space="preserve"> → ∞, both </w:t>
      </w:r>
      <w:r>
        <w:rPr>
          <w:b w:val="0"/>
          <w:i/>
        </w:rPr>
        <w:t>h</w:t>
      </w:r>
      <w:r>
        <w:rPr>
          <w:b w:val="0"/>
          <w:i w:val="0"/>
        </w:rPr>
        <w:t xml:space="preserve"> values tend to 1, so </w:t>
      </w:r>
      <w:r>
        <w:rPr>
          <w:b w:val="0"/>
          <w:i/>
        </w:rPr>
        <w:t>R</w:t>
      </w:r>
      <w:r>
        <w:rPr>
          <w:b w:val="0"/>
          <w:i w:val="0"/>
        </w:rPr>
        <w:t xml:space="preserve"> → 1. Finally, ∂ ln </w:t>
      </w:r>
      <w:r>
        <w:rPr>
          <w:b w:val="0"/>
          <w:i/>
        </w:rPr>
        <w:t>R</w:t>
      </w:r>
      <w:r>
        <w:rPr>
          <w:b w:val="0"/>
          <w:i w:val="0"/>
        </w:rPr>
        <w:t>/∂</w:t>
      </w:r>
      <w:r>
        <w:rPr>
          <w:b w:val="0"/>
          <w:i/>
        </w:rPr>
        <w:t>ρ</w:t>
      </w:r>
      <w:r>
        <w:rPr>
          <w:b w:val="0"/>
          <w:i w:val="0"/>
        </w:rPr>
        <w:t xml:space="preserve"> = −</w:t>
      </w:r>
      <w:r>
        <w:rPr>
          <w:b w:val="0"/>
          <w:i/>
        </w:rPr>
        <w:t>κh</w:t>
      </w:r>
      <w:r>
        <w:rPr>
          <w:b w:val="0"/>
          <w:i w:val="0"/>
        </w:rPr>
        <w:t>′(</w:t>
      </w:r>
      <w:r>
        <w:rPr>
          <w:b w:val="0"/>
          <w:i/>
        </w:rPr>
        <w:t>ρκ</w:t>
      </w:r>
      <w:r>
        <w:rPr>
          <w:b w:val="0"/>
          <w:i w:val="0"/>
        </w:rPr>
        <w:t>)/</w:t>
      </w:r>
      <w:r>
        <w:rPr>
          <w:b w:val="0"/>
          <w:i/>
        </w:rPr>
        <w:t>h</w:t>
      </w:r>
      <w:r>
        <w:rPr>
          <w:b w:val="0"/>
          <w:i w:val="0"/>
        </w:rPr>
        <w:t>(</w:t>
      </w:r>
      <w:r>
        <w:rPr>
          <w:b w:val="0"/>
          <w:i/>
        </w:rPr>
        <w:t>ρκ</w:t>
      </w:r>
      <w:r>
        <w:rPr>
          <w:b w:val="0"/>
          <w:i w:val="0"/>
        </w:rPr>
        <w:t>) = −</w:t>
      </w:r>
      <w:r>
        <w:rPr>
          <w:b w:val="0"/>
          <w:i/>
        </w:rPr>
        <w:t>g</w:t>
      </w:r>
      <w:r>
        <w:rPr>
          <w:b w:val="0"/>
          <w:i w:val="0"/>
        </w:rPr>
        <w:t>(</w:t>
      </w:r>
      <w:r>
        <w:rPr>
          <w:b w:val="0"/>
          <w:i/>
        </w:rPr>
        <w:t>ρκ</w:t>
      </w:r>
      <w:r>
        <w:rPr>
          <w:b w:val="0"/>
          <w:i w:val="0"/>
        </w:rPr>
        <w:t>)/</w:t>
      </w:r>
      <w:r>
        <w:rPr>
          <w:b w:val="0"/>
          <w:i/>
        </w:rPr>
        <w:t>ρ</w:t>
      </w:r>
      <w:r>
        <w:rPr>
          <w:b w:val="0"/>
          <w:i w:val="0"/>
        </w:rPr>
        <w:t xml:space="preserve"> &lt; 0. ∎</w:t>
      </w:r>
    </w:p>
    <w:p>
      <w:pPr>
        <w:spacing w:after="0" w:before="0"/>
        <w:ind w:firstLine="720"/>
      </w:pPr>
      <w:r>
        <w:rPr>
          <w:b w:val="0"/>
          <w:i/>
        </w:rPr>
        <w:t>Proof of Proposition 2.</w:t>
      </w:r>
      <w:r>
        <w:rPr>
          <w:b w:val="0"/>
          <w:i w:val="0"/>
        </w:rPr>
        <w:t xml:space="preserve"> If </w:t>
      </w:r>
      <w:r>
        <w:rPr>
          <w:b w:val="0"/>
          <w:i/>
        </w:rPr>
        <w:t>ρκ</w:t>
      </w:r>
      <w:r>
        <w:rPr>
          <w:b w:val="0"/>
          <w:i w:val="0"/>
        </w:rPr>
        <w:t xml:space="preserve"> ≤ 1 the AI saving is zero, and if </w:t>
      </w:r>
      <w:r>
        <w:rPr>
          <w:b w:val="0"/>
          <w:i/>
        </w:rPr>
        <w:t>κ</w:t>
      </w:r>
      <w:r>
        <w:rPr>
          <w:b w:val="0"/>
          <w:i w:val="0"/>
        </w:rPr>
        <w:t xml:space="preserve"> ≤ 1 the human saving is zero. Hence for </w:t>
      </w:r>
      <w:r>
        <w:rPr>
          <w:b w:val="0"/>
          <w:i/>
        </w:rPr>
        <w:t>κ</w:t>
      </w:r>
      <w:r>
        <w:rPr>
          <w:b w:val="0"/>
          <w:i w:val="0"/>
        </w:rPr>
        <w:t xml:space="preserve"> ∈ (1/</w:t>
      </w:r>
      <w:r>
        <w:rPr>
          <w:b w:val="0"/>
          <w:i/>
        </w:rPr>
        <w:t>ρ</w:t>
      </w:r>
      <w:r>
        <w:rPr>
          <w:b w:val="0"/>
          <w:i w:val="0"/>
        </w:rPr>
        <w:t xml:space="preserve">, 1] the firm strictly prefers AI (saving positive against zero), and for </w:t>
      </w:r>
      <w:r>
        <w:rPr>
          <w:b w:val="0"/>
          <w:i/>
        </w:rPr>
        <w:t>κ</w:t>
      </w:r>
      <w:r>
        <w:rPr>
          <w:b w:val="0"/>
          <w:i w:val="0"/>
        </w:rPr>
        <w:t xml:space="preserve"> ≤ 1/</w:t>
      </w:r>
      <w:r>
        <w:rPr>
          <w:b w:val="0"/>
          <w:i/>
        </w:rPr>
        <w:t>ρ</w:t>
      </w:r>
      <w:r>
        <w:rPr>
          <w:b w:val="0"/>
          <w:i w:val="0"/>
        </w:rPr>
        <w:t xml:space="preserve"> it is indifferent (both zero) and, by a tie-breaking convention, does not adopt. For </w:t>
      </w:r>
      <w:r>
        <w:rPr>
          <w:b w:val="0"/>
          <w:i/>
        </w:rPr>
        <w:t>κ</w:t>
      </w:r>
      <w:r>
        <w:rPr>
          <w:b w:val="0"/>
          <w:i w:val="0"/>
        </w:rPr>
        <w:t xml:space="preserve"> &gt; 1, adoption means Φ(</w:t>
      </w:r>
      <w:r>
        <w:rPr>
          <w:b w:val="0"/>
          <w:i/>
        </w:rPr>
        <w:t>κ</w:t>
      </w:r>
      <w:r>
        <w:rPr>
          <w:b w:val="0"/>
          <w:i w:val="0"/>
        </w:rPr>
        <w:t xml:space="preserve">) &gt; 0, that is, </w:t>
      </w:r>
      <w:r>
        <w:rPr>
          <w:b w:val="0"/>
          <w:i/>
        </w:rPr>
        <w:t>A</w:t>
      </w:r>
      <w:r>
        <w:rPr>
          <w:b w:val="0"/>
          <w:i w:val="0"/>
        </w:rPr>
        <w:t xml:space="preserve"> &gt; </w:t>
      </w:r>
      <w:r>
        <w:rPr>
          <w:b w:val="0"/>
          <w:i/>
        </w:rPr>
        <w:t>R</w:t>
      </w:r>
      <w:r>
        <w:rPr>
          <w:b w:val="0"/>
          <w:i w:val="0"/>
        </w:rPr>
        <w:t>(</w:t>
      </w:r>
      <w:r>
        <w:rPr>
          <w:b w:val="0"/>
          <w:i/>
        </w:rPr>
        <w:t>κ</w:t>
      </w:r>
      <w:r>
        <w:rPr>
          <w:b w:val="0"/>
          <w:i w:val="0"/>
        </w:rPr>
        <w:t xml:space="preserve">). If </w:t>
      </w:r>
      <w:r>
        <w:rPr>
          <w:b w:val="0"/>
          <w:i/>
        </w:rPr>
        <w:t>A</w:t>
      </w:r>
      <w:r>
        <w:rPr>
          <w:b w:val="0"/>
          <w:i w:val="0"/>
        </w:rPr>
        <w:t xml:space="preserve"> ≥ 1 this holds for all </w:t>
      </w:r>
      <w:r>
        <w:rPr>
          <w:b w:val="0"/>
          <w:i/>
        </w:rPr>
        <w:t>κ</w:t>
      </w:r>
      <w:r>
        <w:rPr>
          <w:b w:val="0"/>
          <w:i w:val="0"/>
        </w:rPr>
        <w:t xml:space="preserve"> &gt; 1 because </w:t>
      </w:r>
      <w:r>
        <w:rPr>
          <w:b w:val="0"/>
          <w:i/>
        </w:rPr>
        <w:t>R</w:t>
      </w:r>
      <w:r>
        <w:rPr>
          <w:b w:val="0"/>
          <w:i w:val="0"/>
        </w:rPr>
        <w:t xml:space="preserve"> &lt; 1. If </w:t>
      </w:r>
      <w:r>
        <w:rPr>
          <w:b w:val="0"/>
          <w:i/>
        </w:rPr>
        <w:t>A</w:t>
      </w:r>
      <w:r>
        <w:rPr>
          <w:b w:val="0"/>
          <w:i w:val="0"/>
        </w:rPr>
        <w:t xml:space="preserve"> &lt; 1, Lemma 2 gives a unique </w:t>
      </w:r>
      <w:r>
        <w:rPr>
          <w:b w:val="0"/>
          <w:i/>
        </w:rPr>
        <w:t>κ</w:t>
      </w:r>
      <w:r>
        <w:rPr>
          <w:b w:val="0"/>
          <w:i w:val="0"/>
          <w:vertAlign w:val="superscript"/>
        </w:rPr>
        <w:t>*</w:t>
      </w:r>
      <w:r>
        <w:rPr>
          <w:b w:val="0"/>
          <w:i w:val="0"/>
        </w:rPr>
        <w:t xml:space="preserve"> ∈ (1, ∞) with </w:t>
      </w:r>
      <w:r>
        <w:rPr>
          <w:b w:val="0"/>
          <w:i/>
        </w:rPr>
        <w:t>R</w:t>
      </w:r>
      <w:r>
        <w:rPr>
          <w:b w:val="0"/>
          <w:i w:val="0"/>
        </w:rPr>
        <w:t>(</w:t>
      </w:r>
      <w:r>
        <w:rPr>
          <w:b w:val="0"/>
          <w:i/>
        </w:rPr>
        <w:t>κ</w:t>
      </w:r>
      <w:r>
        <w:rPr>
          <w:b w:val="0"/>
          <w:i w:val="0"/>
          <w:vertAlign w:val="superscript"/>
        </w:rPr>
        <w:t>*</w:t>
      </w:r>
      <w:r>
        <w:rPr>
          <w:b w:val="0"/>
          <w:i w:val="0"/>
        </w:rPr>
        <w:t xml:space="preserve">) = </w:t>
      </w:r>
      <w:r>
        <w:rPr>
          <w:b w:val="0"/>
          <w:i/>
        </w:rPr>
        <w:t>A</w:t>
      </w:r>
      <w:r>
        <w:rPr>
          <w:b w:val="0"/>
          <w:i w:val="0"/>
        </w:rPr>
        <w:t xml:space="preserve">, and adoption holds exactly for </w:t>
      </w:r>
      <w:r>
        <w:rPr>
          <w:b w:val="0"/>
          <w:i/>
        </w:rPr>
        <w:t>κ</w:t>
      </w:r>
      <w:r>
        <w:rPr>
          <w:b w:val="0"/>
          <w:i w:val="0"/>
        </w:rPr>
        <w:t xml:space="preserve"> &lt; </w:t>
      </w:r>
      <w:r>
        <w:rPr>
          <w:b w:val="0"/>
          <w:i/>
        </w:rPr>
        <w:t>κ</w:t>
      </w:r>
      <w:r>
        <w:rPr>
          <w:b w:val="0"/>
          <w:i w:val="0"/>
          <w:vertAlign w:val="superscript"/>
        </w:rPr>
        <w:t>*</w:t>
      </w:r>
      <w:r>
        <w:rPr>
          <w:b w:val="0"/>
          <w:i w:val="0"/>
        </w:rPr>
        <w:t xml:space="preserve">. The comparative statics follow because </w:t>
      </w:r>
      <w:r>
        <w:rPr>
          <w:b w:val="0"/>
          <w:i/>
        </w:rPr>
        <w:t>R</w:t>
      </w:r>
      <w:r>
        <w:rPr>
          <w:b w:val="0"/>
          <w:i w:val="0"/>
        </w:rPr>
        <w:t xml:space="preserve"> is increasing in </w:t>
      </w:r>
      <w:r>
        <w:rPr>
          <w:b w:val="0"/>
          <w:i/>
        </w:rPr>
        <w:t>κ</w:t>
      </w:r>
      <w:r>
        <w:rPr>
          <w:b w:val="0"/>
          <w:i w:val="0"/>
        </w:rPr>
        <w:t xml:space="preserve"> (so </w:t>
      </w:r>
      <w:r>
        <w:rPr>
          <w:b w:val="0"/>
          <w:i/>
        </w:rPr>
        <w:t>κ</w:t>
      </w:r>
      <w:r>
        <w:rPr>
          <w:b w:val="0"/>
          <w:i w:val="0"/>
          <w:vertAlign w:val="superscript"/>
        </w:rPr>
        <w:t>*</w:t>
      </w:r>
      <w:r>
        <w:rPr>
          <w:b w:val="0"/>
          <w:i w:val="0"/>
        </w:rPr>
        <w:t xml:space="preserve"> increases when </w:t>
      </w:r>
      <w:r>
        <w:rPr>
          <w:b w:val="0"/>
          <w:i/>
        </w:rPr>
        <w:t>A</w:t>
      </w:r>
      <w:r>
        <w:rPr>
          <w:b w:val="0"/>
          <w:i w:val="0"/>
        </w:rPr>
        <w:t xml:space="preserve"> rises, which raises the level that </w:t>
      </w:r>
      <w:r>
        <w:rPr>
          <w:b w:val="0"/>
          <w:i/>
        </w:rPr>
        <w:t>R</w:t>
      </w:r>
      <w:r>
        <w:rPr>
          <w:b w:val="0"/>
          <w:i w:val="0"/>
        </w:rPr>
        <w:t xml:space="preserve"> must reach), decreasing in </w:t>
      </w:r>
      <w:r>
        <w:rPr>
          <w:b w:val="0"/>
          <w:i/>
        </w:rPr>
        <w:t>ρ</w:t>
      </w:r>
      <w:r>
        <w:rPr>
          <w:b w:val="0"/>
          <w:i w:val="0"/>
        </w:rPr>
        <w:t xml:space="preserve"> (so </w:t>
      </w:r>
      <w:r>
        <w:rPr>
          <w:b w:val="0"/>
          <w:i/>
        </w:rPr>
        <w:t>κ</w:t>
      </w:r>
      <w:r>
        <w:rPr>
          <w:b w:val="0"/>
          <w:i w:val="0"/>
          <w:vertAlign w:val="superscript"/>
        </w:rPr>
        <w:t>*</w:t>
      </w:r>
      <w:r>
        <w:rPr>
          <w:b w:val="0"/>
          <w:i w:val="0"/>
        </w:rPr>
        <w:t xml:space="preserve"> increases in </w:t>
      </w:r>
      <w:r>
        <w:rPr>
          <w:b w:val="0"/>
          <w:i/>
        </w:rPr>
        <w:t>ρ</w:t>
      </w:r>
      <w:r>
        <w:rPr>
          <w:b w:val="0"/>
          <w:i w:val="0"/>
        </w:rPr>
        <w:t xml:space="preserve">), and </w:t>
      </w:r>
      <w:r>
        <w:rPr>
          <w:b w:val="0"/>
          <w:i/>
        </w:rPr>
        <w:t>ρ</w:t>
      </w:r>
      <w:r>
        <w:rPr>
          <w:b w:val="0"/>
          <w:i w:val="0"/>
        </w:rPr>
        <w:t xml:space="preserve"> = </w:t>
      </w:r>
      <w:r>
        <w:rPr>
          <w:b w:val="0"/>
          <w:i/>
        </w:rPr>
        <w:t>AB</w:t>
      </w:r>
      <w:r>
        <w:rPr>
          <w:b w:val="0"/>
          <w:i w:val="0"/>
        </w:rPr>
        <w:t>/(</w:t>
      </w:r>
      <w:r>
        <w:rPr>
          <w:b w:val="0"/>
          <w:i/>
        </w:rPr>
        <w:t>c</w:t>
      </w:r>
      <w:r>
        <w:rPr>
          <w:b w:val="0"/>
          <w:i w:val="0"/>
          <w:vertAlign w:val="subscript"/>
        </w:rPr>
        <w:t>0</w:t>
      </w:r>
      <w:r>
        <w:rPr>
          <w:b w:val="0"/>
          <w:i w:val="0"/>
        </w:rPr>
        <w:t xml:space="preserve"> + </w:t>
      </w:r>
      <w:r>
        <w:rPr>
          <w:b w:val="0"/>
          <w:i/>
        </w:rPr>
        <w:t>p</w:t>
      </w:r>
      <w:r>
        <w:rPr>
          <w:b w:val="0"/>
          <w:i w:val="0"/>
        </w:rPr>
        <w:t xml:space="preserve">) is increasing in </w:t>
      </w:r>
      <w:r>
        <w:rPr>
          <w:b w:val="0"/>
          <w:i/>
        </w:rPr>
        <w:t>A</w:t>
      </w:r>
      <w:r>
        <w:rPr>
          <w:b w:val="0"/>
          <w:i w:val="0"/>
        </w:rPr>
        <w:t xml:space="preserve"> and </w:t>
      </w:r>
      <w:r>
        <w:rPr>
          <w:b w:val="0"/>
          <w:i/>
        </w:rPr>
        <w:t>B</w:t>
      </w:r>
      <w:r>
        <w:rPr>
          <w:b w:val="0"/>
          <w:i w:val="0"/>
        </w:rPr>
        <w:t xml:space="preserve"> and decreasing in </w:t>
      </w:r>
      <w:r>
        <w:rPr>
          <w:b w:val="0"/>
          <w:i/>
        </w:rPr>
        <w:t>p</w:t>
      </w:r>
      <w:r>
        <w:rPr>
          <w:b w:val="0"/>
          <w:i w:val="0"/>
        </w:rPr>
        <w:t xml:space="preserve">. As </w:t>
      </w:r>
      <w:r>
        <w:rPr>
          <w:b w:val="0"/>
          <w:i/>
        </w:rPr>
        <w:t>A</w:t>
      </w:r>
      <w:r>
        <w:rPr>
          <w:b w:val="0"/>
          <w:i w:val="0"/>
        </w:rPr>
        <w:t xml:space="preserve"> ↑ 1, </w:t>
      </w:r>
      <w:r>
        <w:rPr>
          <w:b w:val="0"/>
          <w:i/>
        </w:rPr>
        <w:t>R</w:t>
      </w:r>
      <w:r>
        <w:rPr>
          <w:b w:val="0"/>
          <w:i w:val="0"/>
        </w:rPr>
        <w:t>(</w:t>
      </w:r>
      <w:r>
        <w:rPr>
          <w:b w:val="0"/>
          <w:i/>
        </w:rPr>
        <w:t>κ</w:t>
      </w:r>
      <w:r>
        <w:rPr>
          <w:b w:val="0"/>
          <w:i w:val="0"/>
          <w:vertAlign w:val="superscript"/>
        </w:rPr>
        <w:t>*</w:t>
      </w:r>
      <w:r>
        <w:rPr>
          <w:b w:val="0"/>
          <w:i w:val="0"/>
        </w:rPr>
        <w:t xml:space="preserve">) → 1, which requires </w:t>
      </w:r>
      <w:r>
        <w:rPr>
          <w:b w:val="0"/>
          <w:i/>
        </w:rPr>
        <w:t>κ</w:t>
      </w:r>
      <w:r>
        <w:rPr>
          <w:b w:val="0"/>
          <w:i w:val="0"/>
          <w:vertAlign w:val="superscript"/>
        </w:rPr>
        <w:t>*</w:t>
      </w:r>
      <w:r>
        <w:rPr>
          <w:b w:val="0"/>
          <w:i w:val="0"/>
        </w:rPr>
        <w:t xml:space="preserve"> → ∞. ∎</w:t>
      </w:r>
    </w:p>
    <w:p>
      <w:pPr>
        <w:spacing w:after="0" w:before="0"/>
        <w:ind w:firstLine="720"/>
      </w:pPr>
      <w:r>
        <w:rPr>
          <w:b w:val="0"/>
          <w:i/>
        </w:rPr>
        <w:t>Other regions.</w:t>
      </w:r>
      <w:r>
        <w:rPr>
          <w:b w:val="0"/>
          <w:i w:val="0"/>
        </w:rPr>
        <w:t xml:space="preserve"> If </w:t>
      </w:r>
      <w:r>
        <w:rPr>
          <w:b w:val="0"/>
          <w:i/>
        </w:rPr>
        <w:t>ρ</w:t>
      </w:r>
      <w:r>
        <w:rPr>
          <w:b w:val="0"/>
          <w:i w:val="0"/>
        </w:rPr>
        <w:t xml:space="preserve"> ≤ 1 and </w:t>
      </w:r>
      <w:r>
        <w:rPr>
          <w:b w:val="0"/>
          <w:i/>
        </w:rPr>
        <w:t>A</w:t>
      </w:r>
      <w:r>
        <w:rPr>
          <w:b w:val="0"/>
          <w:i w:val="0"/>
        </w:rPr>
        <w:t xml:space="preserve"> &lt; 1, the adoption set is empty (Proposition 5). If </w:t>
      </w:r>
      <w:r>
        <w:rPr>
          <w:b w:val="0"/>
          <w:i/>
        </w:rPr>
        <w:t>ρ</w:t>
      </w:r>
      <w:r>
        <w:rPr>
          <w:b w:val="0"/>
          <w:i w:val="0"/>
        </w:rPr>
        <w:t xml:space="preserve"> ≤ 1 and </w:t>
      </w:r>
      <w:r>
        <w:rPr>
          <w:b w:val="0"/>
          <w:i/>
        </w:rPr>
        <w:t>A</w:t>
      </w:r>
      <w:r>
        <w:rPr>
          <w:b w:val="0"/>
          <w:i w:val="0"/>
        </w:rPr>
        <w:t xml:space="preserve"> &gt; 1, the adoption set is an upper half-line (</w:t>
      </w:r>
      <w:r>
        <w:rPr>
          <w:b w:val="0"/>
          <w:i/>
        </w:rPr>
        <w:t>κ</w:t>
      </w:r>
      <w:r>
        <w:rPr>
          <w:b w:val="0"/>
          <w:i w:val="0"/>
          <w:vertAlign w:val="subscript"/>
        </w:rPr>
        <w:t>l</w:t>
      </w:r>
      <w:r>
        <w:rPr>
          <w:b w:val="0"/>
          <w:i w:val="0"/>
        </w:rPr>
        <w:t xml:space="preserve">, ∞) with </w:t>
      </w:r>
      <w:r>
        <w:rPr>
          <w:b w:val="0"/>
          <w:i/>
        </w:rPr>
        <w:t>κ</w:t>
      </w:r>
      <w:r>
        <w:rPr>
          <w:b w:val="0"/>
          <w:i w:val="0"/>
          <w:vertAlign w:val="subscript"/>
        </w:rPr>
        <w:t>l</w:t>
      </w:r>
      <w:r>
        <w:rPr>
          <w:b w:val="0"/>
          <w:i w:val="0"/>
        </w:rPr>
        <w:t xml:space="preserve"> &gt; 1; we use this region only in the proof of Proposition 7(iii). We do not use the case </w:t>
      </w:r>
      <w:r>
        <w:rPr>
          <w:b w:val="0"/>
          <w:i/>
        </w:rPr>
        <w:t>ρ</w:t>
      </w:r>
      <w:r>
        <w:rPr>
          <w:b w:val="0"/>
          <w:i w:val="0"/>
        </w:rPr>
        <w:t xml:space="preserve"> ≤ 1, </w:t>
      </w:r>
      <w:r>
        <w:rPr>
          <w:b w:val="0"/>
          <w:i/>
        </w:rPr>
        <w:t>A</w:t>
      </w:r>
      <w:r>
        <w:rPr>
          <w:b w:val="0"/>
          <w:i w:val="0"/>
        </w:rPr>
        <w:t xml:space="preserve"> = 1, in which Φ ≤ 0 everywhere and adoption is empty.</w:t>
      </w:r>
    </w:p>
    <w:p>
      <w:pPr>
        <w:keepNext/>
        <w:spacing w:line="276" w:lineRule="auto" w:after="80" w:before="160"/>
      </w:pPr>
      <w:r>
        <w:rPr>
          <w:b/>
          <w:i/>
        </w:rPr>
        <w:t>A.2 Proposition 3 (general exclusion)</w:t>
      </w:r>
    </w:p>
    <w:p>
      <w:pPr>
        <w:spacing w:after="0" w:before="0"/>
        <w:ind w:firstLine="720"/>
      </w:pPr>
      <w:r>
        <w:rPr>
          <w:b w:val="0"/>
          <w:i w:val="0"/>
        </w:rPr>
        <w:t xml:space="preserve">The proof is in the main text. Two remarks. First, the bound uses only that the firm's gross benefit under AI cannot exceed </w:t>
      </w:r>
      <w:r>
        <w:rPr>
          <w:b w:val="0"/>
          <w:i/>
        </w:rPr>
        <w:t>fAa</w:t>
      </w:r>
      <w:r>
        <w:rPr>
          <w:b w:val="0"/>
          <w:i w:val="0"/>
        </w:rPr>
        <w:t xml:space="preserve">, which holds whatever the mechanism. The threshold is therefore a sufficient condition, and the true exclusion boundary under a given mechanism is lower. Second, for the linear usage price, </w:t>
      </w:r>
      <w:r>
        <w:rPr>
          <w:b w:val="0"/>
          <w:i/>
        </w:rPr>
        <w:t>S</w:t>
      </w:r>
      <w:r>
        <w:rPr>
          <w:b w:val="0"/>
          <w:i w:val="0"/>
          <w:vertAlign w:val="subscript"/>
        </w:rPr>
        <w:t>L</w:t>
      </w:r>
      <w:r>
        <w:rPr>
          <w:b w:val="0"/>
          <w:i w:val="0"/>
        </w:rPr>
        <w:t xml:space="preserve"> = </w:t>
      </w:r>
      <w:r>
        <w:rPr>
          <w:b w:val="0"/>
          <w:i/>
        </w:rPr>
        <w:t>fAa h</w:t>
      </w:r>
      <w:r>
        <w:rPr>
          <w:b w:val="0"/>
          <w:i w:val="0"/>
        </w:rPr>
        <w:t>(</w:t>
      </w:r>
      <w:r>
        <w:rPr>
          <w:b w:val="0"/>
          <w:i/>
        </w:rPr>
        <w:t>ρκ</w:t>
      </w:r>
      <w:r>
        <w:rPr>
          <w:b w:val="0"/>
          <w:i w:val="0"/>
        </w:rPr>
        <w:t xml:space="preserve">) = </w:t>
      </w:r>
      <w:r>
        <w:rPr>
          <w:b w:val="0"/>
          <w:i/>
        </w:rPr>
        <w:t>fAa</w:t>
      </w:r>
      <w:r>
        <w:rPr>
          <w:b w:val="0"/>
          <w:i w:val="0"/>
        </w:rPr>
        <w:t xml:space="preserve"> − </w:t>
      </w:r>
      <w:r>
        <w:rPr>
          <w:b w:val="0"/>
          <w:i/>
        </w:rPr>
        <w:t>c</w:t>
      </w:r>
      <w:r>
        <w:rPr>
          <w:b w:val="0"/>
          <w:i w:val="0"/>
          <w:vertAlign w:val="subscript"/>
        </w:rPr>
        <w:t>L</w:t>
      </w:r>
      <w:r>
        <w:rPr>
          <w:b w:val="0"/>
          <w:i w:val="0"/>
        </w:rPr>
        <w:t>(1 + ln(</w:t>
      </w:r>
      <w:r>
        <w:rPr>
          <w:b w:val="0"/>
          <w:i/>
        </w:rPr>
        <w:t>ρκ</w:t>
      </w:r>
      <w:r>
        <w:rPr>
          <w:b w:val="0"/>
          <w:i w:val="0"/>
        </w:rPr>
        <w:t>))/(</w:t>
      </w:r>
      <w:r>
        <w:rPr>
          <w:b w:val="0"/>
          <w:i/>
        </w:rPr>
        <w:t>Bb</w:t>
      </w:r>
      <w:r>
        <w:rPr>
          <w:b w:val="0"/>
          <w:i w:val="0"/>
        </w:rPr>
        <w:t xml:space="preserve">), which is </w:t>
      </w:r>
      <w:r>
        <w:rPr>
          <w:b w:val="0"/>
          <w:i/>
        </w:rPr>
        <w:t>fAa</w:t>
      </w:r>
      <w:r>
        <w:rPr>
          <w:b w:val="0"/>
          <w:i w:val="0"/>
        </w:rPr>
        <w:t xml:space="preserve"> − </w:t>
      </w:r>
      <w:r>
        <w:rPr>
          <w:b w:val="0"/>
          <w:i/>
        </w:rPr>
        <w:t>O</w:t>
      </w:r>
      <w:r>
        <w:rPr>
          <w:b w:val="0"/>
          <w:i w:val="0"/>
        </w:rPr>
        <w:t xml:space="preserve">(ln </w:t>
      </w:r>
      <w:r>
        <w:rPr>
          <w:b w:val="0"/>
          <w:i/>
        </w:rPr>
        <w:t>f</w:t>
      </w:r>
      <w:r>
        <w:rPr>
          <w:b w:val="0"/>
          <w:i w:val="0"/>
        </w:rPr>
        <w:t xml:space="preserve">) whenever </w:t>
      </w:r>
      <w:r>
        <w:rPr>
          <w:b w:val="0"/>
          <w:i/>
        </w:rPr>
        <w:t>c</w:t>
      </w:r>
      <w:r>
        <w:rPr>
          <w:b w:val="0"/>
          <w:i w:val="0"/>
          <w:vertAlign w:val="subscript"/>
        </w:rPr>
        <w:t>L</w:t>
      </w:r>
      <w:r>
        <w:rPr>
          <w:b w:val="0"/>
          <w:i w:val="0"/>
        </w:rPr>
        <w:t xml:space="preserve"> = </w:t>
      </w:r>
      <w:r>
        <w:rPr>
          <w:b w:val="0"/>
          <w:i/>
        </w:rPr>
        <w:t>c</w:t>
      </w:r>
      <w:r>
        <w:rPr>
          <w:b w:val="0"/>
          <w:i w:val="0"/>
          <w:vertAlign w:val="subscript"/>
        </w:rPr>
        <w:t>0</w:t>
      </w:r>
      <w:r>
        <w:rPr>
          <w:b w:val="0"/>
          <w:i w:val="0"/>
        </w:rPr>
        <w:t xml:space="preserve"> + </w:t>
      </w:r>
      <w:r>
        <w:rPr>
          <w:b w:val="0"/>
          <w:i/>
        </w:rPr>
        <w:t>p</w:t>
      </w:r>
      <w:r>
        <w:rPr>
          <w:b w:val="0"/>
          <w:i w:val="0"/>
        </w:rPr>
        <w:t xml:space="preserve"> &gt; 0, and likewise </w:t>
      </w:r>
      <w:r>
        <w:rPr>
          <w:b w:val="0"/>
          <w:i/>
        </w:rPr>
        <w:t>S</w:t>
      </w:r>
      <w:r>
        <w:rPr>
          <w:b w:val="0"/>
          <w:i w:val="0"/>
          <w:vertAlign w:val="subscript"/>
        </w:rPr>
        <w:t>H</w:t>
      </w:r>
      <w:r>
        <w:rPr>
          <w:b w:val="0"/>
          <w:i w:val="0"/>
        </w:rPr>
        <w:t xml:space="preserve"> = </w:t>
      </w:r>
      <w:r>
        <w:rPr>
          <w:b w:val="0"/>
          <w:i/>
        </w:rPr>
        <w:t>fa</w:t>
      </w:r>
      <w:r>
        <w:rPr>
          <w:b w:val="0"/>
          <w:i w:val="0"/>
        </w:rPr>
        <w:t xml:space="preserve"> − </w:t>
      </w:r>
      <w:r>
        <w:rPr>
          <w:b w:val="0"/>
          <w:i/>
        </w:rPr>
        <w:t>O</w:t>
      </w:r>
      <w:r>
        <w:rPr>
          <w:b w:val="0"/>
          <w:i w:val="0"/>
        </w:rPr>
        <w:t xml:space="preserve">(ln </w:t>
      </w:r>
      <w:r>
        <w:rPr>
          <w:b w:val="0"/>
          <w:i/>
        </w:rPr>
        <w:t>f</w:t>
      </w:r>
      <w:r>
        <w:rPr>
          <w:b w:val="0"/>
          <w:i w:val="0"/>
        </w:rPr>
        <w:t xml:space="preserve">), so </w:t>
      </w:r>
      <w:r>
        <w:rPr>
          <w:b w:val="0"/>
          <w:i/>
        </w:rPr>
        <w:t>V</w:t>
      </w:r>
      <w:r>
        <w:rPr>
          <w:b w:val="0"/>
          <w:i w:val="0"/>
        </w:rPr>
        <w:t>/(</w:t>
      </w:r>
      <w:r>
        <w:rPr>
          <w:b w:val="0"/>
          <w:i/>
        </w:rPr>
        <w:t>fa</w:t>
      </w:r>
      <w:r>
        <w:rPr>
          <w:b w:val="0"/>
          <w:i w:val="0"/>
        </w:rPr>
        <w:t xml:space="preserve">) → </w:t>
      </w:r>
      <w:r>
        <w:rPr>
          <w:b w:val="0"/>
          <w:i/>
        </w:rPr>
        <w:t>A</w:t>
      </w:r>
      <w:r>
        <w:rPr>
          <w:b w:val="0"/>
          <w:i w:val="0"/>
        </w:rPr>
        <w:t xml:space="preserve"> − 1.</w:t>
      </w:r>
    </w:p>
    <w:p>
      <w:pPr>
        <w:spacing w:after="0" w:before="0"/>
      </w:pPr>
      <w:r>
        <w:rPr>
          <w:b/>
          <w:i w:val="0"/>
        </w:rPr>
        <w:t>Corollary 3.1 (tightness).</w:t>
      </w:r>
      <w:r>
        <w:rPr>
          <w:b w:val="0"/>
          <w:i w:val="0"/>
        </w:rPr>
        <w:t xml:space="preserve"> For 0 &lt; </w:t>
      </w:r>
      <w:r>
        <w:rPr>
          <w:b w:val="0"/>
          <w:i/>
        </w:rPr>
        <w:t>A</w:t>
      </w:r>
      <w:r>
        <w:rPr>
          <w:b w:val="0"/>
          <w:i w:val="0"/>
        </w:rPr>
        <w:t xml:space="preserve"> &lt; 1, let κ̄(</w:t>
      </w:r>
      <w:r>
        <w:rPr>
          <w:b w:val="0"/>
          <w:i/>
        </w:rPr>
        <w:t>A</w:t>
      </w:r>
      <w:r>
        <w:rPr>
          <w:b w:val="0"/>
          <w:i w:val="0"/>
        </w:rPr>
        <w:t xml:space="preserve">) solve </w:t>
      </w:r>
      <w:r>
        <w:rPr>
          <w:b w:val="0"/>
          <w:i/>
        </w:rPr>
        <w:t>h</w:t>
      </w:r>
      <w:r>
        <w:rPr>
          <w:b w:val="0"/>
          <w:i w:val="0"/>
        </w:rPr>
        <w:t xml:space="preserve">(κ̄) = </w:t>
      </w:r>
      <w:r>
        <w:rPr>
          <w:b w:val="0"/>
          <w:i/>
        </w:rPr>
        <w:t>A</w:t>
      </w:r>
      <w:r>
        <w:rPr>
          <w:b w:val="0"/>
          <w:i w:val="0"/>
        </w:rPr>
        <w:t>; this is the τ = 0 threshold of Proposition 3 in terms of the stakes index. Then the upper end κ</w:t>
      </w:r>
      <w:r>
        <w:rPr>
          <w:b w:val="0"/>
          <w:i/>
        </w:rPr>
        <w:t xml:space="preserve"> of the adoption window under a linear usage price satisfies κ</w:t>
      </w:r>
      <w:r>
        <w:rPr>
          <w:b w:val="0"/>
          <w:i w:val="0"/>
        </w:rPr>
        <w:t xml:space="preserve"> &lt; κ̄(</w:t>
      </w:r>
      <w:r>
        <w:rPr>
          <w:b w:val="0"/>
          <w:i/>
        </w:rPr>
        <w:t>A</w:t>
      </w:r>
      <w:r>
        <w:rPr>
          <w:b w:val="0"/>
          <w:i w:val="0"/>
        </w:rPr>
        <w:t>) for every finite ρ, and κ</w:t>
      </w:r>
      <w:r>
        <w:rPr>
          <w:b w:val="0"/>
          <w:i/>
        </w:rPr>
        <w:t xml:space="preserve"> ↑ κ̄(</w:t>
      </w:r>
      <w:r>
        <w:rPr>
          <w:b w:val="0"/>
          <w:i w:val="0"/>
        </w:rPr>
        <w:t>A</w:t>
      </w:r>
      <w:r>
        <w:rPr>
          <w:b w:val="0"/>
          <w:i/>
        </w:rPr>
        <w:t xml:space="preserve">) as ρ → ∞ (for example as the speed ratio </w:t>
      </w:r>
      <w:r>
        <w:rPr>
          <w:b w:val="0"/>
          <w:i w:val="0"/>
        </w:rPr>
        <w:t>B* → ∞ at a fixed nonnegative price).</w:t>
      </w:r>
    </w:p>
    <w:p>
      <w:pPr>
        <w:spacing w:after="120"/>
        <w:ind w:firstLine="720"/>
      </w:pPr>
      <w:r>
        <w:rPr>
          <w:i/>
        </w:rPr>
        <w:t xml:space="preserve">Proof. </w:t>
      </w:r>
      <w:r>
        <w:rPr>
          <w:b w:val="0"/>
          <w:i w:val="0"/>
        </w:rPr>
        <w:t>At κ</w:t>
      </w:r>
      <w:r>
        <w:rPr>
          <w:b w:val="0"/>
          <w:i/>
        </w:rPr>
        <w:t xml:space="preserve">, </w:t>
      </w:r>
      <w:r>
        <w:rPr>
          <w:b w:val="0"/>
          <w:i w:val="0"/>
        </w:rPr>
        <w:t>h</w:t>
      </w:r>
      <w:r>
        <w:rPr>
          <w:b w:val="0"/>
          <w:i/>
        </w:rPr>
        <w:t>(κ</w:t>
      </w:r>
      <w:r>
        <w:rPr>
          <w:b w:val="0"/>
          <w:i w:val="0"/>
        </w:rPr>
        <w:t xml:space="preserve">) = </w:t>
      </w:r>
      <w:r>
        <w:rPr>
          <w:b w:val="0"/>
          <w:i/>
        </w:rPr>
        <w:t>A h</w:t>
      </w:r>
      <w:r>
        <w:rPr>
          <w:b w:val="0"/>
          <w:i w:val="0"/>
        </w:rPr>
        <w:t>(ρκ</w:t>
      </w:r>
      <w:r>
        <w:rPr>
          <w:b w:val="0"/>
          <w:i/>
        </w:rPr>
        <w:t xml:space="preserve">) &lt; </w:t>
      </w:r>
      <w:r>
        <w:rPr>
          <w:b w:val="0"/>
          <w:i w:val="0"/>
        </w:rPr>
        <w:t>A</w:t>
      </w:r>
      <w:r>
        <w:rPr>
          <w:b w:val="0"/>
          <w:i/>
        </w:rPr>
        <w:t xml:space="preserve"> because </w:t>
      </w:r>
      <w:r>
        <w:rPr>
          <w:b w:val="0"/>
          <w:i w:val="0"/>
        </w:rPr>
        <w:t>h</w:t>
      </w:r>
      <w:r>
        <w:rPr>
          <w:b w:val="0"/>
          <w:i/>
        </w:rPr>
        <w:t xml:space="preserve"> &lt; 1, and </w:t>
      </w:r>
      <w:r>
        <w:rPr>
          <w:b w:val="0"/>
          <w:i w:val="0"/>
        </w:rPr>
        <w:t>h</w:t>
      </w:r>
      <w:r>
        <w:rPr>
          <w:b w:val="0"/>
          <w:i/>
        </w:rPr>
        <w:t xml:space="preserve"> is increasing above 1, so κ</w:t>
      </w:r>
      <w:r>
        <w:rPr>
          <w:b w:val="0"/>
          <w:i w:val="0"/>
        </w:rPr>
        <w:t xml:space="preserve"> &lt; κ̄. For any κ &lt; κ̄ we have </w:t>
      </w:r>
      <w:r>
        <w:rPr>
          <w:b w:val="0"/>
          <w:i/>
        </w:rPr>
        <w:t>h</w:t>
      </w:r>
      <w:r>
        <w:rPr>
          <w:b w:val="0"/>
          <w:i w:val="0"/>
        </w:rPr>
        <w:t xml:space="preserve">(κ) &lt; </w:t>
      </w:r>
      <w:r>
        <w:rPr>
          <w:b w:val="0"/>
          <w:i/>
        </w:rPr>
        <w:t>A</w:t>
      </w:r>
      <w:r>
        <w:rPr>
          <w:b w:val="0"/>
          <w:i w:val="0"/>
        </w:rPr>
        <w:t xml:space="preserve">, while </w:t>
      </w:r>
      <w:r>
        <w:rPr>
          <w:b w:val="0"/>
          <w:i/>
        </w:rPr>
        <w:t>A h</w:t>
      </w:r>
      <w:r>
        <w:rPr>
          <w:b w:val="0"/>
          <w:i w:val="0"/>
        </w:rPr>
        <w:t xml:space="preserve">(ρκ) → </w:t>
      </w:r>
      <w:r>
        <w:rPr>
          <w:b w:val="0"/>
          <w:i/>
        </w:rPr>
        <w:t>A</w:t>
      </w:r>
      <w:r>
        <w:rPr>
          <w:b w:val="0"/>
          <w:i w:val="0"/>
        </w:rPr>
        <w:t xml:space="preserve"> as ρ → ∞, so Φ(κ) &gt; 0 for large ρ and hence κ</w:t>
      </w:r>
      <w:r>
        <w:rPr>
          <w:b w:val="0"/>
          <w:i/>
        </w:rPr>
        <w:t xml:space="preserve"> &gt; κ. Therefore κ</w:t>
      </w:r>
      <w:r>
        <w:rPr>
          <w:b w:val="0"/>
          <w:i w:val="0"/>
        </w:rPr>
        <w:t xml:space="preserve"> → κ̄. Substituting κ = </w:t>
      </w:r>
      <w:r>
        <w:rPr>
          <w:b w:val="0"/>
          <w:i/>
        </w:rPr>
        <w:t>abf</w:t>
      </w:r>
      <w:r>
        <w:rPr>
          <w:b w:val="0"/>
          <w:i w:val="0"/>
        </w:rPr>
        <w:t xml:space="preserve"> gives (1 − </w:t>
      </w:r>
      <w:r>
        <w:rPr>
          <w:b w:val="0"/>
          <w:i/>
        </w:rPr>
        <w:t>A</w:t>
      </w:r>
      <w:r>
        <w:rPr>
          <w:b w:val="0"/>
          <w:i w:val="0"/>
        </w:rPr>
        <w:t>)κ̄ = 1 + ln κ̄, the equation of Proposition 3 with τ = 0. ∎</w:t>
      </w:r>
    </w:p>
    <w:p>
      <w:pPr>
        <w:spacing w:after="0" w:before="0"/>
      </w:pPr>
      <w:r>
        <w:rPr>
          <w:b w:val="0"/>
          <w:i w:val="0"/>
        </w:rPr>
        <w:t>Proposition 3 with τ = 0 is therefore the exact exclusion boundary in the limit of an arbitrarily cheap or fast tool, and an upper bound on the boundary otherwise.</w:t>
      </w:r>
    </w:p>
    <w:p>
      <w:pPr>
        <w:keepNext/>
        <w:spacing w:line="276" w:lineRule="auto" w:after="80" w:before="160"/>
      </w:pPr>
      <w:r>
        <w:rPr>
          <w:b/>
          <w:i/>
        </w:rPr>
        <w:t>A.3 Proposition 4 (scaling of stakes)</w:t>
      </w:r>
    </w:p>
    <w:p>
      <w:pPr>
        <w:spacing w:after="0" w:before="0"/>
        <w:ind w:firstLine="720"/>
      </w:pPr>
      <w:r>
        <w:rPr>
          <w:b w:val="0"/>
          <w:i w:val="0"/>
        </w:rPr>
        <w:t xml:space="preserve">The proof is in the main text. The factor </w:t>
      </w:r>
      <w:r>
        <w:rPr>
          <w:b w:val="0"/>
          <w:i/>
        </w:rPr>
        <w:t>λ</w:t>
      </w:r>
      <w:r>
        <w:rPr>
          <w:b w:val="0"/>
          <w:i w:val="0"/>
          <w:vertAlign w:val="superscript"/>
        </w:rPr>
        <w:t>*</w:t>
      </w:r>
      <w:r>
        <w:rPr>
          <w:b w:val="0"/>
          <w:i w:val="0"/>
        </w:rPr>
        <w:t xml:space="preserve"> depends on the adoption set only through the geometric mean √(</w:t>
      </w:r>
      <w:r>
        <w:rPr>
          <w:b w:val="0"/>
          <w:i/>
        </w:rPr>
        <w:t>κ</w:t>
      </w:r>
      <w:r>
        <w:rPr>
          <w:b w:val="0"/>
          <w:i w:val="0"/>
          <w:vertAlign w:val="superscript"/>
        </w:rPr>
        <w:t>*</w:t>
      </w:r>
      <w:r>
        <w:rPr>
          <w:b w:val="0"/>
          <w:i w:val="0"/>
        </w:rPr>
        <w:t>/</w:t>
      </w:r>
      <w:r>
        <w:rPr>
          <w:b w:val="0"/>
          <w:i/>
        </w:rPr>
        <w:t>ρ</w:t>
      </w:r>
      <w:r>
        <w:rPr>
          <w:b w:val="0"/>
          <w:i w:val="0"/>
        </w:rPr>
        <w:t xml:space="preserve">) of its endpoints. At the illustrative parameters and </w:t>
      </w:r>
      <w:r>
        <w:rPr>
          <w:b w:val="0"/>
          <w:i/>
        </w:rPr>
        <w:t>A</w:t>
      </w:r>
      <w:r>
        <w:rPr>
          <w:b w:val="0"/>
          <w:i w:val="0"/>
        </w:rPr>
        <w:t xml:space="preserve"> = 0.9, </w:t>
      </w:r>
      <w:r>
        <w:rPr>
          <w:b w:val="0"/>
          <w:i/>
        </w:rPr>
        <w:t>λ</w:t>
      </w:r>
      <w:r>
        <w:rPr>
          <w:b w:val="0"/>
          <w:i w:val="0"/>
          <w:vertAlign w:val="superscript"/>
        </w:rPr>
        <w:t>*</w:t>
      </w:r>
      <w:r>
        <w:rPr>
          <w:b w:val="0"/>
          <w:i w:val="0"/>
        </w:rPr>
        <w:t xml:space="preserve"> = 0.485 and the adopting share at the peak is 77 percent (Fig. 2 of the main text).</w:t>
      </w:r>
    </w:p>
    <w:p>
      <w:pPr>
        <w:keepNext/>
        <w:spacing w:line="276" w:lineRule="auto" w:after="80" w:before="160"/>
      </w:pPr>
      <w:r>
        <w:rPr>
          <w:b/>
          <w:i/>
        </w:rPr>
        <w:t>A.4 Propositions 5 and 6 (entry and the investment jump)</w:t>
      </w:r>
    </w:p>
    <w:p>
      <w:pPr>
        <w:spacing w:after="0" w:before="0"/>
        <w:ind w:firstLine="720"/>
      </w:pPr>
      <w:r>
        <w:rPr>
          <w:b w:val="0"/>
          <w:i w:val="0"/>
        </w:rPr>
        <w:t>The proofs are in the main text. We add two remarks. (i) Continuity of Π</w:t>
      </w:r>
      <w:r>
        <w:rPr>
          <w:b w:val="0"/>
          <w:i w:val="0"/>
          <w:vertAlign w:val="superscript"/>
        </w:rPr>
        <w:t>*</w:t>
      </w:r>
      <w:r>
        <w:rPr>
          <w:b w:val="0"/>
          <w:i w:val="0"/>
        </w:rPr>
        <w:t xml:space="preserve"> in </w:t>
      </w:r>
      <w:r>
        <w:rPr>
          <w:b w:val="0"/>
          <w:i/>
        </w:rPr>
        <w:t>A</w:t>
      </w:r>
      <w:r>
        <w:rPr>
          <w:b w:val="0"/>
          <w:i w:val="0"/>
        </w:rPr>
        <w:t xml:space="preserve"> (assumption P) is used for existence of the maximum in Proposition 6. We argue for it by dominated convergence: the adoption set and the profit integrand vary continuously with </w:t>
      </w:r>
      <w:r>
        <w:rPr>
          <w:b w:val="0"/>
          <w:i/>
        </w:rPr>
        <w:t>A</w:t>
      </w:r>
      <w:r>
        <w:rPr>
          <w:b w:val="0"/>
          <w:i w:val="0"/>
        </w:rPr>
        <w:t xml:space="preserve"> and are dominated by an integrable function of </w:t>
      </w:r>
      <w:r>
        <w:rPr>
          <w:b w:val="0"/>
          <w:i/>
        </w:rPr>
        <w:t>κ</w:t>
      </w:r>
      <w:r>
        <w:rPr>
          <w:b w:val="0"/>
          <w:i w:val="0"/>
        </w:rPr>
        <w:t xml:space="preserve"> (a multiple of ln </w:t>
      </w:r>
      <w:r>
        <w:rPr>
          <w:b w:val="0"/>
          <w:i/>
        </w:rPr>
        <w:t>κ</w:t>
      </w:r>
      <w:r>
        <w:rPr>
          <w:b w:val="0"/>
          <w:i w:val="0"/>
        </w:rPr>
        <w:t xml:space="preserve"> on the adoption set). We have not written out the details, and for general stakes distributions the condition should be verified case by case. (ii) For the vendor's optimal price at a given </w:t>
      </w:r>
      <w:r>
        <w:rPr>
          <w:b w:val="0"/>
          <w:i/>
        </w:rPr>
        <w:t>A</w:t>
      </w:r>
      <w:r>
        <w:rPr>
          <w:b w:val="0"/>
          <w:i w:val="0"/>
        </w:rPr>
        <w:t xml:space="preserve"> we use the supremum over prices; a maximum may not be attained, for instance at </w:t>
      </w:r>
      <w:r>
        <w:rPr>
          <w:b w:val="0"/>
          <w:i/>
        </w:rPr>
        <w:t>A</w:t>
      </w:r>
      <w:r>
        <w:rPr>
          <w:b w:val="0"/>
          <w:i w:val="0"/>
        </w:rPr>
        <w:t xml:space="preserve"> = 1 where the optimal price approaches the adoption cliff from one side.</w:t>
      </w:r>
    </w:p>
    <w:p>
      <w:pPr>
        <w:keepNext/>
        <w:spacing w:line="276" w:lineRule="auto" w:after="80" w:before="160"/>
      </w:pPr>
      <w:r>
        <w:rPr>
          <w:b/>
          <w:i/>
        </w:rPr>
        <w:t>A.5 Proposition 7 (kink at parity)</w:t>
      </w:r>
    </w:p>
    <w:p>
      <w:pPr>
        <w:spacing w:after="0" w:before="0"/>
        <w:ind w:firstLine="720"/>
      </w:pPr>
      <w:r>
        <w:rPr>
          <w:b w:val="0"/>
          <w:i/>
        </w:rPr>
        <w:t>Setup.</w:t>
      </w:r>
      <w:r>
        <w:rPr>
          <w:b w:val="0"/>
          <w:i w:val="0"/>
        </w:rPr>
        <w:t xml:space="preserve"> Let ln </w:t>
      </w:r>
      <w:r>
        <w:rPr>
          <w:b w:val="0"/>
          <w:i/>
        </w:rPr>
        <w:t>κ</w:t>
      </w:r>
      <w:r>
        <w:rPr>
          <w:b w:val="0"/>
          <w:i w:val="0"/>
        </w:rPr>
        <w:t xml:space="preserve"> ~ Normal(</w:t>
      </w:r>
      <w:r>
        <w:rPr>
          <w:b w:val="0"/>
          <w:i/>
        </w:rPr>
        <w:t>m</w:t>
      </w:r>
      <w:r>
        <w:rPr>
          <w:b w:val="0"/>
          <w:i w:val="0"/>
        </w:rPr>
        <w:t xml:space="preserve">, </w:t>
      </w:r>
      <w:r>
        <w:rPr>
          <w:b w:val="0"/>
          <w:i/>
        </w:rPr>
        <w:t>σ</w:t>
      </w:r>
      <w:r>
        <w:rPr>
          <w:b w:val="0"/>
          <w:i w:val="0"/>
        </w:rPr>
        <w:t xml:space="preserve">²), with density </w:t>
      </w:r>
      <w:r>
        <w:rPr>
          <w:b w:val="0"/>
          <w:i/>
        </w:rPr>
        <w:t>q</w:t>
      </w:r>
      <w:r>
        <w:rPr>
          <w:b w:val="0"/>
          <w:i w:val="0"/>
        </w:rPr>
        <w:t xml:space="preserve">. For a given usage price, </w:t>
      </w:r>
      <w:r>
        <w:rPr>
          <w:b w:val="0"/>
          <w:i/>
        </w:rPr>
        <w:t>ρ</w:t>
      </w:r>
      <w:r>
        <w:rPr>
          <w:b w:val="0"/>
          <w:i w:val="0"/>
        </w:rPr>
        <w:t xml:space="preserve"> = </w:t>
      </w:r>
      <w:r>
        <w:rPr>
          <w:b w:val="0"/>
          <w:i/>
        </w:rPr>
        <w:t>AB</w:t>
      </w:r>
      <w:r>
        <w:rPr>
          <w:b w:val="0"/>
          <w:i w:val="0"/>
        </w:rPr>
        <w:t>/(</w:t>
      </w:r>
      <w:r>
        <w:rPr>
          <w:b w:val="0"/>
          <w:i/>
        </w:rPr>
        <w:t>c</w:t>
      </w:r>
      <w:r>
        <w:rPr>
          <w:b w:val="0"/>
          <w:i w:val="0"/>
          <w:vertAlign w:val="subscript"/>
        </w:rPr>
        <w:t>0</w:t>
      </w:r>
      <w:r>
        <w:rPr>
          <w:b w:val="0"/>
          <w:i w:val="0"/>
        </w:rPr>
        <w:t xml:space="preserve"> + </w:t>
      </w:r>
      <w:r>
        <w:rPr>
          <w:b w:val="0"/>
          <w:i/>
        </w:rPr>
        <w:t>p</w:t>
      </w:r>
      <w:r>
        <w:rPr>
          <w:b w:val="0"/>
          <w:i w:val="0"/>
        </w:rPr>
        <w:t xml:space="preserve">), so </w:t>
      </w:r>
      <w:r>
        <w:rPr>
          <w:b w:val="0"/>
          <w:i/>
        </w:rPr>
        <w:t>p</w:t>
      </w:r>
      <w:r>
        <w:rPr>
          <w:b w:val="0"/>
          <w:i w:val="0"/>
        </w:rPr>
        <w:t xml:space="preserve"> − </w:t>
      </w:r>
      <w:r>
        <w:rPr>
          <w:b w:val="0"/>
          <w:i/>
        </w:rPr>
        <w:t>k</w:t>
      </w:r>
      <w:r>
        <w:rPr>
          <w:b w:val="0"/>
          <w:i w:val="0"/>
        </w:rPr>
        <w:t xml:space="preserve"> = </w:t>
      </w:r>
      <w:r>
        <w:rPr>
          <w:b w:val="0"/>
          <w:i/>
        </w:rPr>
        <w:t>AB</w:t>
      </w:r>
      <w:r>
        <w:rPr>
          <w:b w:val="0"/>
          <w:i w:val="0"/>
        </w:rPr>
        <w:t>/</w:t>
      </w:r>
      <w:r>
        <w:rPr>
          <w:b w:val="0"/>
          <w:i/>
        </w:rPr>
        <w:t>ρ</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 xml:space="preserve">. The second-stage profit is </w:t>
      </w:r>
      <w:r>
        <w:rPr>
          <w:b w:val="0"/>
          <w:i/>
        </w:rPr>
        <w:t>π</w:t>
      </w:r>
      <w:r>
        <w:rPr>
          <w:b w:val="0"/>
          <w:i w:val="0"/>
        </w:rPr>
        <w:t xml:space="preserve"> = ((</w:t>
      </w:r>
      <w:r>
        <w:rPr>
          <w:b w:val="0"/>
          <w:i/>
        </w:rPr>
        <w:t>p</w:t>
      </w:r>
      <w:r>
        <w:rPr>
          <w:b w:val="0"/>
          <w:i w:val="0"/>
        </w:rPr>
        <w:t xml:space="preserve"> − </w:t>
      </w:r>
      <w:r>
        <w:rPr>
          <w:b w:val="0"/>
          <w:i/>
        </w:rPr>
        <w:t>k</w:t>
      </w:r>
      <w:r>
        <w:rPr>
          <w:b w:val="0"/>
          <w:i w:val="0"/>
        </w:rPr>
        <w:t>)/(</w:t>
      </w:r>
      <w:r>
        <w:rPr>
          <w:b w:val="0"/>
          <w:i/>
        </w:rPr>
        <w:t>Bb</w:t>
      </w:r>
      <w:r>
        <w:rPr>
          <w:b w:val="0"/>
          <w:i w:val="0"/>
        </w:rPr>
        <w:t>)) E[ln(</w:t>
      </w:r>
      <w:r>
        <w:rPr>
          <w:b w:val="0"/>
          <w:i/>
        </w:rPr>
        <w:t>ρκ</w:t>
      </w:r>
      <w:r>
        <w:rPr>
          <w:b w:val="0"/>
          <w:i w:val="0"/>
        </w:rPr>
        <w:t xml:space="preserve">); </w:t>
      </w:r>
      <w:r>
        <w:rPr>
          <w:b w:val="0"/>
          <w:i/>
        </w:rPr>
        <w:t>κ</w:t>
      </w:r>
      <w:r>
        <w:rPr>
          <w:b w:val="0"/>
          <w:i w:val="0"/>
        </w:rPr>
        <w:t xml:space="preserve"> ∈ </w:t>
      </w:r>
      <w:r>
        <w:rPr>
          <w:b w:val="0"/>
          <w:i/>
        </w:rPr>
        <w:t>S</w:t>
      </w:r>
      <w:r>
        <w:rPr>
          <w:b w:val="0"/>
          <w:i w:val="0"/>
        </w:rPr>
        <w:t>(</w:t>
      </w:r>
      <w:r>
        <w:rPr>
          <w:b w:val="0"/>
          <w:i/>
        </w:rPr>
        <w:t>ρ</w:t>
      </w:r>
      <w:r>
        <w:rPr>
          <w:b w:val="0"/>
          <w:i w:val="0"/>
        </w:rPr>
        <w:t xml:space="preserve">, </w:t>
      </w:r>
      <w:r>
        <w:rPr>
          <w:b w:val="0"/>
          <w:i/>
        </w:rPr>
        <w:t>A</w:t>
      </w:r>
      <w:r>
        <w:rPr>
          <w:b w:val="0"/>
          <w:i w:val="0"/>
        </w:rPr>
        <w:t xml:space="preserve">)], where </w:t>
      </w:r>
      <w:r>
        <w:rPr>
          <w:b w:val="0"/>
          <w:i/>
        </w:rPr>
        <w:t>S</w:t>
      </w:r>
      <w:r>
        <w:rPr>
          <w:b w:val="0"/>
          <w:i w:val="0"/>
        </w:rPr>
        <w:t xml:space="preserve"> is the adoption set from Proposition 2 and the other regions of A.1. Write </w:t>
      </w:r>
      <w:r>
        <w:rPr>
          <w:b w:val="0"/>
          <w:i/>
        </w:rPr>
        <w:t>P</w:t>
      </w:r>
      <w:r>
        <w:rPr>
          <w:b w:val="0"/>
          <w:i w:val="0"/>
        </w:rPr>
        <w:t xml:space="preserve"> = </w:t>
      </w:r>
      <w:r>
        <w:rPr>
          <w:b w:val="0"/>
          <w:i/>
        </w:rPr>
        <w:t>B</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 xml:space="preserve">, </w:t>
      </w:r>
      <w:r>
        <w:rPr>
          <w:b w:val="0"/>
          <w:i/>
        </w:rPr>
        <w:t>M</w:t>
      </w:r>
      <w:r>
        <w:rPr>
          <w:b w:val="0"/>
          <w:i w:val="0"/>
        </w:rPr>
        <w:t xml:space="preserve"> = E[ln </w:t>
      </w:r>
      <w:r>
        <w:rPr>
          <w:b w:val="0"/>
          <w:i/>
        </w:rPr>
        <w:t>κ</w:t>
      </w:r>
      <w:r>
        <w:rPr>
          <w:b w:val="0"/>
          <w:i w:val="0"/>
        </w:rPr>
        <w:t xml:space="preserve">; </w:t>
      </w:r>
      <w:r>
        <w:rPr>
          <w:b w:val="0"/>
          <w:i/>
        </w:rPr>
        <w:t>κ</w:t>
      </w:r>
      <w:r>
        <w:rPr>
          <w:b w:val="0"/>
          <w:i w:val="0"/>
        </w:rPr>
        <w:t xml:space="preserve"> &gt; 1]/(</w:t>
      </w:r>
      <w:r>
        <w:rPr>
          <w:b w:val="0"/>
          <w:i/>
        </w:rPr>
        <w:t>Bb</w:t>
      </w:r>
      <w:r>
        <w:rPr>
          <w:b w:val="0"/>
          <w:i w:val="0"/>
        </w:rPr>
        <w:t xml:space="preserve">), </w:t>
      </w:r>
      <w:r>
        <w:rPr>
          <w:b w:val="0"/>
          <w:i/>
        </w:rPr>
        <w:t>s</w:t>
      </w:r>
      <w:r>
        <w:rPr>
          <w:b w:val="0"/>
          <w:i w:val="0"/>
        </w:rPr>
        <w:t xml:space="preserve"> = Pr(</w:t>
      </w:r>
      <w:r>
        <w:rPr>
          <w:b w:val="0"/>
          <w:i/>
        </w:rPr>
        <w:t>κ</w:t>
      </w:r>
      <w:r>
        <w:rPr>
          <w:b w:val="0"/>
          <w:i w:val="0"/>
        </w:rPr>
        <w:t xml:space="preserve"> &gt; 1) and </w:t>
      </w:r>
      <w:r>
        <w:rPr>
          <w:b w:val="0"/>
          <w:i/>
        </w:rPr>
        <w:t>C</w:t>
      </w:r>
      <w:r>
        <w:rPr>
          <w:b w:val="0"/>
          <w:i w:val="0"/>
          <w:vertAlign w:val="subscript"/>
        </w:rPr>
        <w:t>*ε*</w:t>
      </w:r>
      <w:r>
        <w:rPr>
          <w:b w:val="0"/>
          <w:i w:val="0"/>
        </w:rPr>
        <w:t xml:space="preserve"> = </w:t>
      </w:r>
      <w:r>
        <w:rPr>
          <w:b w:val="0"/>
          <w:i/>
        </w:rPr>
        <w:t>BM</w:t>
      </w:r>
      <w:r>
        <w:rPr>
          <w:b w:val="0"/>
          <w:i w:val="0"/>
        </w:rPr>
        <w:t xml:space="preserve"> − </w:t>
      </w:r>
      <w:r>
        <w:rPr>
          <w:b w:val="0"/>
          <w:i/>
        </w:rPr>
        <w:t>Ps</w:t>
      </w:r>
      <w:r>
        <w:rPr>
          <w:b w:val="0"/>
          <w:i w:val="0"/>
        </w:rPr>
        <w:t>/(</w:t>
      </w:r>
      <w:r>
        <w:rPr>
          <w:b w:val="0"/>
          <w:i/>
        </w:rPr>
        <w:t>Bb</w:t>
      </w:r>
      <w:r>
        <w:rPr>
          <w:b w:val="0"/>
          <w:i w:val="0"/>
        </w:rPr>
        <w:t>), assumed positive (condition Q).</w:t>
      </w:r>
    </w:p>
    <w:p>
      <w:pPr>
        <w:spacing w:after="0" w:before="0"/>
        <w:ind w:firstLine="720"/>
      </w:pPr>
      <w:r>
        <w:rPr>
          <w:b w:val="0"/>
          <w:i/>
        </w:rPr>
        <w:t>(i) Π^{</w:t>
      </w:r>
      <w:r>
        <w:rPr>
          <w:b w:val="0"/>
          <w:i w:val="0"/>
        </w:rPr>
        <w:t>}(1) = PM.</w:t>
      </w:r>
      <w:r>
        <w:rPr>
          <w:b w:val="0"/>
          <w:i/>
        </w:rPr>
        <w:t xml:space="preserve"> At </w:t>
      </w:r>
      <w:r>
        <w:rPr>
          <w:b w:val="0"/>
          <w:i w:val="0"/>
        </w:rPr>
        <w:t>A</w:t>
      </w:r>
      <w:r>
        <w:rPr>
          <w:b w:val="0"/>
          <w:i/>
        </w:rPr>
        <w:t xml:space="preserve"> = 1: if </w:t>
      </w:r>
      <w:r>
        <w:rPr>
          <w:b w:val="0"/>
          <w:i w:val="0"/>
        </w:rPr>
        <w:t>ρ</w:t>
      </w:r>
      <w:r>
        <w:rPr>
          <w:b w:val="0"/>
          <w:i/>
        </w:rPr>
        <w:t xml:space="preserve"> ≤ 1 then Φ ≤ 0 and no firm adopts. For </w:t>
      </w:r>
      <w:r>
        <w:rPr>
          <w:b w:val="0"/>
          <w:i w:val="0"/>
        </w:rPr>
        <w:t>ρ</w:t>
      </w:r>
      <w:r>
        <w:rPr>
          <w:b w:val="0"/>
          <w:i/>
        </w:rPr>
        <w:t xml:space="preserve"> = 1 + </w:t>
      </w:r>
      <w:r>
        <w:rPr>
          <w:b w:val="0"/>
          <w:i w:val="0"/>
        </w:rPr>
        <w:t>ε</w:t>
      </w:r>
      <w:r>
        <w:rPr>
          <w:b w:val="0"/>
          <w:i/>
        </w:rPr>
        <w:t xml:space="preserve"> with </w:t>
      </w:r>
      <w:r>
        <w:rPr>
          <w:b w:val="0"/>
          <w:i w:val="0"/>
        </w:rPr>
        <w:t>ε</w:t>
      </w:r>
      <w:r>
        <w:rPr>
          <w:b w:val="0"/>
          <w:i/>
        </w:rPr>
        <w:t xml:space="preserve"> &gt; 0, the adoption set is (1/</w:t>
      </w:r>
      <w:r>
        <w:rPr>
          <w:b w:val="0"/>
          <w:i w:val="0"/>
        </w:rPr>
        <w:t>ρ</w:t>
      </w:r>
      <w:r>
        <w:rPr>
          <w:b w:val="0"/>
          <w:i/>
        </w:rPr>
        <w:t xml:space="preserve">, ∞) and </w:t>
      </w:r>
      <w:r>
        <w:rPr>
          <w:b w:val="0"/>
          <w:i w:val="0"/>
        </w:rPr>
        <w:t>p</w:t>
      </w:r>
      <w:r>
        <w:rPr>
          <w:b w:val="0"/>
          <w:i/>
        </w:rPr>
        <w:t xml:space="preserve"> − </w:t>
      </w:r>
      <w:r>
        <w:rPr>
          <w:b w:val="0"/>
          <w:i w:val="0"/>
        </w:rPr>
        <w:t>k</w:t>
      </w:r>
      <w:r>
        <w:rPr>
          <w:b w:val="0"/>
          <w:i/>
        </w:rPr>
        <w:t xml:space="preserve"> = </w:t>
      </w:r>
      <w:r>
        <w:rPr>
          <w:b w:val="0"/>
          <w:i w:val="0"/>
        </w:rPr>
        <w:t>P</w:t>
      </w:r>
      <w:r>
        <w:rPr>
          <w:b w:val="0"/>
          <w:i/>
        </w:rPr>
        <w:t xml:space="preserve"> − </w:t>
      </w:r>
      <w:r>
        <w:rPr>
          <w:b w:val="0"/>
          <w:i w:val="0"/>
        </w:rPr>
        <w:t>B ε</w:t>
      </w:r>
      <w:r>
        <w:rPr>
          <w:b w:val="0"/>
          <w:i/>
        </w:rPr>
        <w:t xml:space="preserve">/(1 + </w:t>
      </w:r>
      <w:r>
        <w:rPr>
          <w:b w:val="0"/>
          <w:i w:val="0"/>
        </w:rPr>
        <w:t>ε</w:t>
      </w:r>
      <w:r>
        <w:rPr>
          <w:b w:val="0"/>
          <w:i/>
        </w:rPr>
        <w:t>). Demand is E[ln(</w:t>
      </w:r>
      <w:r>
        <w:rPr>
          <w:b w:val="0"/>
          <w:i w:val="0"/>
        </w:rPr>
        <w:t>ρκ</w:t>
      </w:r>
      <w:r>
        <w:rPr>
          <w:b w:val="0"/>
          <w:i/>
        </w:rPr>
        <w:t xml:space="preserve">); </w:t>
      </w:r>
      <w:r>
        <w:rPr>
          <w:b w:val="0"/>
          <w:i w:val="0"/>
        </w:rPr>
        <w:t>κ</w:t>
      </w:r>
      <w:r>
        <w:rPr>
          <w:b w:val="0"/>
          <w:i/>
        </w:rPr>
        <w:t xml:space="preserve"> &gt; 1/</w:t>
      </w:r>
      <w:r>
        <w:rPr>
          <w:b w:val="0"/>
          <w:i w:val="0"/>
        </w:rPr>
        <w:t>ρ</w:t>
      </w:r>
      <w:r>
        <w:rPr>
          <w:b w:val="0"/>
          <w:i/>
        </w:rPr>
        <w:t>]/(</w:t>
      </w:r>
      <w:r>
        <w:rPr>
          <w:b w:val="0"/>
          <w:i w:val="0"/>
        </w:rPr>
        <w:t>Bb</w:t>
      </w:r>
      <w:r>
        <w:rPr>
          <w:b w:val="0"/>
          <w:i/>
        </w:rPr>
        <w:t>). The part of the integrand on (1/</w:t>
      </w:r>
      <w:r>
        <w:rPr>
          <w:b w:val="0"/>
          <w:i w:val="0"/>
        </w:rPr>
        <w:t>ρ</w:t>
      </w:r>
      <w:r>
        <w:rPr>
          <w:b w:val="0"/>
          <w:i/>
        </w:rPr>
        <w:t xml:space="preserve">, 1] has ln </w:t>
      </w:r>
      <w:r>
        <w:rPr>
          <w:b w:val="0"/>
          <w:i w:val="0"/>
        </w:rPr>
        <w:t>κ</w:t>
      </w:r>
      <w:r>
        <w:rPr>
          <w:b w:val="0"/>
          <w:i/>
        </w:rPr>
        <w:t xml:space="preserve"> ≤ 0, and ln(</w:t>
      </w:r>
      <w:r>
        <w:rPr>
          <w:b w:val="0"/>
          <w:i w:val="0"/>
        </w:rPr>
        <w:t>ρκ</w:t>
      </w:r>
      <w:r>
        <w:rPr>
          <w:b w:val="0"/>
          <w:i/>
        </w:rPr>
        <w:t xml:space="preserve">) = ln </w:t>
      </w:r>
      <w:r>
        <w:rPr>
          <w:b w:val="0"/>
          <w:i w:val="0"/>
        </w:rPr>
        <w:t>ρ</w:t>
      </w:r>
      <w:r>
        <w:rPr>
          <w:b w:val="0"/>
          <w:i/>
        </w:rPr>
        <w:t xml:space="preserve"> + ln </w:t>
      </w:r>
      <w:r>
        <w:rPr>
          <w:b w:val="0"/>
          <w:i w:val="0"/>
        </w:rPr>
        <w:t>κ</w:t>
      </w:r>
      <w:r>
        <w:rPr>
          <w:b w:val="0"/>
          <w:i/>
        </w:rPr>
        <w:t xml:space="preserve">, so demand is at most </w:t>
      </w:r>
      <w:r>
        <w:rPr>
          <w:b w:val="0"/>
          <w:i w:val="0"/>
        </w:rPr>
        <w:t>M</w:t>
      </w:r>
      <w:r>
        <w:rPr>
          <w:b w:val="0"/>
          <w:i/>
        </w:rPr>
        <w:t xml:space="preserve"> + ln </w:t>
      </w:r>
      <w:r>
        <w:rPr>
          <w:b w:val="0"/>
          <w:i w:val="0"/>
        </w:rPr>
        <w:t>ρ</w:t>
      </w:r>
      <w:r>
        <w:rPr>
          <w:b w:val="0"/>
          <w:i/>
        </w:rPr>
        <w:t xml:space="preserve"> · Pr(</w:t>
      </w:r>
      <w:r>
        <w:rPr>
          <w:b w:val="0"/>
          <w:i w:val="0"/>
        </w:rPr>
        <w:t>κ</w:t>
      </w:r>
      <w:r>
        <w:rPr>
          <w:b w:val="0"/>
          <w:i/>
        </w:rPr>
        <w:t xml:space="preserve"> &gt; 1/</w:t>
      </w:r>
      <w:r>
        <w:rPr>
          <w:b w:val="0"/>
          <w:i w:val="0"/>
        </w:rPr>
        <w:t>ρ</w:t>
      </w:r>
      <w:r>
        <w:rPr>
          <w:b w:val="0"/>
          <w:i/>
        </w:rPr>
        <w:t>)/(</w:t>
      </w:r>
      <w:r>
        <w:rPr>
          <w:b w:val="0"/>
          <w:i w:val="0"/>
        </w:rPr>
        <w:t>Bb</w:t>
      </w:r>
      <w:r>
        <w:rPr>
          <w:b w:val="0"/>
          <w:i/>
        </w:rPr>
        <w:t xml:space="preserve">) ≤ </w:t>
      </w:r>
      <w:r>
        <w:rPr>
          <w:b w:val="0"/>
          <w:i w:val="0"/>
        </w:rPr>
        <w:t>M</w:t>
      </w:r>
      <w:r>
        <w:rPr>
          <w:b w:val="0"/>
          <w:i/>
        </w:rPr>
        <w:t xml:space="preserve"> + </w:t>
      </w:r>
      <w:r>
        <w:rPr>
          <w:b w:val="0"/>
          <w:i w:val="0"/>
        </w:rPr>
        <w:t>ε s</w:t>
      </w:r>
      <w:r>
        <w:rPr>
          <w:b w:val="0"/>
          <w:i/>
        </w:rPr>
        <w:t>/(</w:t>
      </w:r>
      <w:r>
        <w:rPr>
          <w:b w:val="0"/>
          <w:i w:val="0"/>
        </w:rPr>
        <w:t>Bb</w:t>
      </w:r>
      <w:r>
        <w:rPr>
          <w:b w:val="0"/>
          <w:i/>
        </w:rPr>
        <w:t xml:space="preserve">) + </w:t>
      </w:r>
      <w:r>
        <w:rPr>
          <w:b w:val="0"/>
          <w:i w:val="0"/>
        </w:rPr>
        <w:t>O</w:t>
      </w:r>
      <w:r>
        <w:rPr>
          <w:b w:val="0"/>
          <w:i/>
        </w:rPr>
        <w:t>(</w:t>
      </w:r>
      <w:r>
        <w:rPr>
          <w:b w:val="0"/>
          <w:i w:val="0"/>
        </w:rPr>
        <w:t>ε</w:t>
      </w:r>
      <w:r>
        <w:rPr>
          <w:b w:val="0"/>
          <w:i/>
        </w:rPr>
        <w:t xml:space="preserve">²). Therefore </w:t>
      </w:r>
      <w:r>
        <w:rPr>
          <w:b w:val="0"/>
          <w:i w:val="0"/>
        </w:rPr>
        <w:t>π</w:t>
      </w:r>
      <w:r>
        <w:rPr>
          <w:b w:val="0"/>
          <w:i/>
        </w:rPr>
        <w:t xml:space="preserve"> ≤ </w:t>
      </w:r>
      <w:r>
        <w:rPr>
          <w:b w:val="0"/>
          <w:i w:val="0"/>
        </w:rPr>
        <w:t>PM</w:t>
      </w:r>
      <w:r>
        <w:rPr>
          <w:b w:val="0"/>
          <w:i/>
        </w:rPr>
        <w:t xml:space="preserve"> − </w:t>
      </w:r>
      <w:r>
        <w:rPr>
          <w:b w:val="0"/>
          <w:i w:val="0"/>
        </w:rPr>
        <w:t>C</w:t>
      </w:r>
      <w:r>
        <w:rPr>
          <w:b w:val="0"/>
          <w:i/>
        </w:rPr>
        <w:t>_{</w:t>
      </w:r>
      <w:r>
        <w:rPr>
          <w:b w:val="0"/>
          <w:i w:val="0"/>
        </w:rPr>
        <w:t>ε</w:t>
      </w:r>
      <w:r>
        <w:rPr>
          <w:b w:val="0"/>
          <w:i/>
        </w:rPr>
        <w:t xml:space="preserve">} </w:t>
      </w:r>
      <w:r>
        <w:rPr>
          <w:b w:val="0"/>
          <w:i w:val="0"/>
        </w:rPr>
        <w:t>ε</w:t>
      </w:r>
      <w:r>
        <w:rPr>
          <w:b w:val="0"/>
          <w:i/>
        </w:rPr>
        <w:t xml:space="preserve"> + </w:t>
      </w:r>
      <w:r>
        <w:rPr>
          <w:b w:val="0"/>
          <w:i w:val="0"/>
        </w:rPr>
        <w:t>O</w:t>
      </w:r>
      <w:r>
        <w:rPr>
          <w:b w:val="0"/>
          <w:i/>
        </w:rPr>
        <w:t>(</w:t>
      </w:r>
      <w:r>
        <w:rPr>
          <w:b w:val="0"/>
          <w:i w:val="0"/>
        </w:rPr>
        <w:t>ε</w:t>
      </w:r>
      <w:r>
        <w:rPr>
          <w:b w:val="0"/>
          <w:i/>
        </w:rPr>
        <w:t xml:space="preserve">²). Under (Q) small </w:t>
      </w:r>
      <w:r>
        <w:rPr>
          <w:b w:val="0"/>
          <w:i w:val="0"/>
        </w:rPr>
        <w:t>ε</w:t>
      </w:r>
      <w:r>
        <w:rPr>
          <w:b w:val="0"/>
          <w:i/>
        </w:rPr>
        <w:t xml:space="preserve"> is a loss. For large </w:t>
      </w:r>
      <w:r>
        <w:rPr>
          <w:b w:val="0"/>
          <w:i w:val="0"/>
        </w:rPr>
        <w:t>ε</w:t>
      </w:r>
      <w:r>
        <w:rPr>
          <w:b w:val="0"/>
          <w:i/>
        </w:rPr>
        <w:t xml:space="preserve"> the comparison with </w:t>
      </w:r>
      <w:r>
        <w:rPr>
          <w:b w:val="0"/>
          <w:i w:val="0"/>
        </w:rPr>
        <w:t>PM</w:t>
      </w:r>
      <w:r>
        <w:rPr>
          <w:b w:val="0"/>
          <w:i/>
        </w:rPr>
        <w:t xml:space="preserve"> is a global statement that we verified numerically (the optimum over </w:t>
      </w:r>
      <w:r>
        <w:rPr>
          <w:b w:val="0"/>
          <w:i w:val="0"/>
        </w:rPr>
        <w:t>ρ</w:t>
      </w:r>
      <w:r>
        <w:rPr>
          <w:b w:val="0"/>
          <w:i/>
        </w:rPr>
        <w:t xml:space="preserve"> in the continuous-stakes model is at </w:t>
      </w:r>
      <w:r>
        <w:rPr>
          <w:b w:val="0"/>
          <w:i w:val="0"/>
        </w:rPr>
        <w:t>ρ</w:t>
      </w:r>
      <w:r>
        <w:rPr>
          <w:b w:val="0"/>
          <w:i/>
        </w:rPr>
        <w:t xml:space="preserve"> = 1.000000). As </w:t>
      </w:r>
      <w:r>
        <w:rPr>
          <w:b w:val="0"/>
          <w:i w:val="0"/>
        </w:rPr>
        <w:t>ε</w:t>
      </w:r>
      <w:r>
        <w:rPr>
          <w:b w:val="0"/>
          <w:i/>
        </w:rPr>
        <w:t xml:space="preserve"> ↓ 0, demand converges to </w:t>
      </w:r>
      <w:r>
        <w:rPr>
          <w:b w:val="0"/>
          <w:i w:val="0"/>
        </w:rPr>
        <w:t>M</w:t>
      </w:r>
      <w:r>
        <w:rPr>
          <w:b w:val="0"/>
          <w:i/>
        </w:rPr>
        <w:t xml:space="preserve"> and the margin </w:t>
      </w:r>
      <w:r>
        <w:rPr>
          <w:b w:val="0"/>
          <w:i w:val="0"/>
        </w:rPr>
        <w:t>p</w:t>
      </w:r>
      <w:r>
        <w:rPr>
          <w:b w:val="0"/>
          <w:i/>
        </w:rPr>
        <w:t xml:space="preserve"> − </w:t>
      </w:r>
      <w:r>
        <w:rPr>
          <w:b w:val="0"/>
          <w:i w:val="0"/>
        </w:rPr>
        <w:t>k</w:t>
      </w:r>
      <w:r>
        <w:rPr>
          <w:b w:val="0"/>
          <w:i/>
        </w:rPr>
        <w:t xml:space="preserve"> to </w:t>
      </w:r>
      <w:r>
        <w:rPr>
          <w:b w:val="0"/>
          <w:i w:val="0"/>
        </w:rPr>
        <w:t>P</w:t>
      </w:r>
      <w:r>
        <w:rPr>
          <w:b w:val="0"/>
          <w:i/>
        </w:rPr>
        <w:t xml:space="preserve">, so profit approaches </w:t>
      </w:r>
      <w:r>
        <w:rPr>
          <w:b w:val="0"/>
          <w:i w:val="0"/>
        </w:rPr>
        <w:t>PM</w:t>
      </w:r>
      <w:r>
        <w:rPr>
          <w:b w:val="0"/>
          <w:i/>
        </w:rPr>
        <w:t xml:space="preserve"> from below and Π^{</w:t>
      </w:r>
      <w:r>
        <w:rPr>
          <w:b w:val="0"/>
          <w:i w:val="0"/>
        </w:rPr>
        <w:t xml:space="preserve">}(1) = </w:t>
      </w:r>
      <w:r>
        <w:rPr>
          <w:b w:val="0"/>
          <w:i/>
        </w:rPr>
        <w:t>PM</w:t>
      </w:r>
      <w:r>
        <w:rPr>
          <w:b w:val="0"/>
          <w:i w:val="0"/>
        </w:rPr>
        <w:t xml:space="preserve"> as a supremum. In the illustration </w:t>
      </w:r>
      <w:r>
        <w:rPr>
          <w:b w:val="0"/>
          <w:i/>
        </w:rPr>
        <w:t>PM</w:t>
      </w:r>
      <w:r>
        <w:rPr>
          <w:b w:val="0"/>
          <w:i w:val="0"/>
        </w:rPr>
        <w:t xml:space="preserve"> = 5.7729, matching the numerical optimum of the continuous model (5.7729).</w:t>
      </w:r>
    </w:p>
    <w:p>
      <w:pPr>
        <w:spacing w:after="0" w:before="0"/>
        <w:ind w:firstLine="720"/>
      </w:pPr>
      <w:r>
        <w:rPr>
          <w:b w:val="0"/>
          <w:i/>
        </w:rPr>
        <w:t>(ii) Right derivative.</w:t>
      </w:r>
      <w:r>
        <w:rPr>
          <w:b w:val="0"/>
          <w:i w:val="0"/>
        </w:rPr>
        <w:t xml:space="preserve"> Take </w:t>
      </w:r>
      <w:r>
        <w:rPr>
          <w:b w:val="0"/>
          <w:i/>
        </w:rPr>
        <w:t>A</w:t>
      </w:r>
      <w:r>
        <w:rPr>
          <w:b w:val="0"/>
          <w:i w:val="0"/>
        </w:rPr>
        <w:t xml:space="preserve"> = 1 + </w:t>
      </w:r>
      <w:r>
        <w:rPr>
          <w:b w:val="0"/>
          <w:i/>
        </w:rPr>
        <w:t>η</w:t>
      </w:r>
      <w:r>
        <w:rPr>
          <w:b w:val="0"/>
          <w:i w:val="0"/>
        </w:rPr>
        <w:t xml:space="preserve">. </w:t>
      </w:r>
      <w:r>
        <w:rPr>
          <w:b w:val="0"/>
          <w:i/>
        </w:rPr>
        <w:t>Lower bound:</w:t>
      </w:r>
      <w:r>
        <w:rPr>
          <w:b w:val="0"/>
          <w:i w:val="0"/>
        </w:rPr>
        <w:t xml:space="preserve"> set the price so that </w:t>
      </w:r>
      <w:r>
        <w:rPr>
          <w:b w:val="0"/>
          <w:i/>
        </w:rPr>
        <w:t>ρ</w:t>
      </w:r>
      <w:r>
        <w:rPr>
          <w:b w:val="0"/>
          <w:i w:val="0"/>
        </w:rPr>
        <w:t xml:space="preserve"> is just above 1; all firms with </w:t>
      </w:r>
      <w:r>
        <w:rPr>
          <w:b w:val="0"/>
          <w:i/>
        </w:rPr>
        <w:t>κ</w:t>
      </w:r>
      <w:r>
        <w:rPr>
          <w:b w:val="0"/>
          <w:i w:val="0"/>
        </w:rPr>
        <w:t xml:space="preserve"> &gt; 1 adopt, and </w:t>
      </w:r>
      <w:r>
        <w:rPr>
          <w:b w:val="0"/>
          <w:i/>
        </w:rPr>
        <w:t>p</w:t>
      </w:r>
      <w:r>
        <w:rPr>
          <w:b w:val="0"/>
          <w:i w:val="0"/>
        </w:rPr>
        <w:t xml:space="preserve"> − </w:t>
      </w:r>
      <w:r>
        <w:rPr>
          <w:b w:val="0"/>
          <w:i/>
        </w:rPr>
        <w:t>k</w:t>
      </w:r>
      <w:r>
        <w:rPr>
          <w:b w:val="0"/>
          <w:i w:val="0"/>
        </w:rPr>
        <w:t xml:space="preserve"> is </w:t>
      </w:r>
      <w:r>
        <w:rPr>
          <w:b w:val="0"/>
          <w:i/>
        </w:rPr>
        <w:t>P</w:t>
      </w:r>
      <w:r>
        <w:rPr>
          <w:b w:val="0"/>
          <w:i w:val="0"/>
        </w:rPr>
        <w:t xml:space="preserve"> + </w:t>
      </w:r>
      <w:r>
        <w:rPr>
          <w:b w:val="0"/>
          <w:i/>
        </w:rPr>
        <w:t>Bη</w:t>
      </w:r>
      <w:r>
        <w:rPr>
          <w:b w:val="0"/>
          <w:i w:val="0"/>
        </w:rPr>
        <w:t xml:space="preserve"> minus an arbitrarily small amount, so Π</w:t>
      </w:r>
      <w:r>
        <w:rPr>
          <w:b w:val="0"/>
          <w:i w:val="0"/>
          <w:vertAlign w:val="superscript"/>
        </w:rPr>
        <w:t>*</w:t>
      </w:r>
      <w:r>
        <w:rPr>
          <w:b w:val="0"/>
          <w:i w:val="0"/>
        </w:rPr>
        <w:t xml:space="preserve">(1 + </w:t>
      </w:r>
      <w:r>
        <w:rPr>
          <w:b w:val="0"/>
          <w:i/>
        </w:rPr>
        <w:t>η</w:t>
      </w:r>
      <w:r>
        <w:rPr>
          <w:b w:val="0"/>
          <w:i w:val="0"/>
        </w:rPr>
        <w:t>) ≥ (</w:t>
      </w:r>
      <w:r>
        <w:rPr>
          <w:b w:val="0"/>
          <w:i/>
        </w:rPr>
        <w:t>P</w:t>
      </w:r>
      <w:r>
        <w:rPr>
          <w:b w:val="0"/>
          <w:i w:val="0"/>
        </w:rPr>
        <w:t xml:space="preserve"> + </w:t>
      </w:r>
      <w:r>
        <w:rPr>
          <w:b w:val="0"/>
          <w:i/>
        </w:rPr>
        <w:t>Bη</w:t>
      </w:r>
      <w:r>
        <w:rPr>
          <w:b w:val="0"/>
          <w:i w:val="0"/>
        </w:rPr>
        <w:t>)</w:t>
      </w:r>
      <w:r>
        <w:rPr>
          <w:b w:val="0"/>
          <w:i/>
        </w:rPr>
        <w:t>M</w:t>
      </w:r>
      <w:r>
        <w:rPr>
          <w:b w:val="0"/>
          <w:i w:val="0"/>
        </w:rPr>
        <w:t xml:space="preserve">. </w:t>
      </w:r>
      <w:r>
        <w:rPr>
          <w:b w:val="0"/>
          <w:i/>
        </w:rPr>
        <w:t>Upper bound:</w:t>
      </w:r>
      <w:r>
        <w:rPr>
          <w:b w:val="0"/>
          <w:i w:val="0"/>
        </w:rPr>
        <w:t xml:space="preserve"> extra gains are possible only from prices above the cliff, </w:t>
      </w:r>
      <w:r>
        <w:rPr>
          <w:b w:val="0"/>
          <w:i/>
        </w:rPr>
        <w:t>ρ</w:t>
      </w:r>
      <w:r>
        <w:rPr>
          <w:b w:val="0"/>
          <w:i w:val="0"/>
        </w:rPr>
        <w:t xml:space="preserve"> = 1 − </w:t>
      </w:r>
      <w:r>
        <w:rPr>
          <w:b w:val="0"/>
          <w:i/>
        </w:rPr>
        <w:t>ε</w:t>
      </w:r>
      <w:r>
        <w:rPr>
          <w:b w:val="0"/>
          <w:i w:val="0"/>
        </w:rPr>
        <w:t xml:space="preserve">′ with </w:t>
      </w:r>
      <w:r>
        <w:rPr>
          <w:b w:val="0"/>
          <w:i/>
        </w:rPr>
        <w:t>ε</w:t>
      </w:r>
      <w:r>
        <w:rPr>
          <w:b w:val="0"/>
          <w:i w:val="0"/>
        </w:rPr>
        <w:t xml:space="preserve">′ &gt; 0. Then adoption requires </w:t>
      </w:r>
      <w:r>
        <w:rPr>
          <w:b w:val="0"/>
          <w:i/>
        </w:rPr>
        <w:t>R</w:t>
      </w:r>
      <w:r>
        <w:rPr>
          <w:b w:val="0"/>
          <w:i w:val="0"/>
        </w:rPr>
        <w:t>(</w:t>
      </w:r>
      <w:r>
        <w:rPr>
          <w:b w:val="0"/>
          <w:i/>
        </w:rPr>
        <w:t>κ</w:t>
      </w:r>
      <w:r>
        <w:rPr>
          <w:b w:val="0"/>
          <w:i w:val="0"/>
        </w:rPr>
        <w:t xml:space="preserve">) &lt; </w:t>
      </w:r>
      <w:r>
        <w:rPr>
          <w:b w:val="0"/>
          <w:i/>
        </w:rPr>
        <w:t>A</w:t>
      </w:r>
      <w:r>
        <w:rPr>
          <w:b w:val="0"/>
          <w:i w:val="0"/>
        </w:rPr>
        <w:t xml:space="preserve">, and by the mean value theorem ln </w:t>
      </w:r>
      <w:r>
        <w:rPr>
          <w:b w:val="0"/>
          <w:i/>
        </w:rPr>
        <w:t>R</w:t>
      </w:r>
      <w:r>
        <w:rPr>
          <w:b w:val="0"/>
          <w:i w:val="0"/>
        </w:rPr>
        <w:t>(</w:t>
      </w:r>
      <w:r>
        <w:rPr>
          <w:b w:val="0"/>
          <w:i/>
        </w:rPr>
        <w:t>κ</w:t>
      </w:r>
      <w:r>
        <w:rPr>
          <w:b w:val="0"/>
          <w:i w:val="0"/>
        </w:rPr>
        <w:t xml:space="preserve">) = </w:t>
      </w:r>
      <w:r>
        <w:rPr>
          <w:b w:val="0"/>
          <w:i/>
        </w:rPr>
        <w:t>ε</w:t>
      </w:r>
      <w:r>
        <w:rPr>
          <w:b w:val="0"/>
          <w:i w:val="0"/>
        </w:rPr>
        <w:t xml:space="preserve">′ </w:t>
      </w:r>
      <w:r>
        <w:rPr>
          <w:b w:val="0"/>
          <w:i/>
        </w:rPr>
        <w:t>g</w:t>
      </w:r>
      <w:r>
        <w:rPr>
          <w:b w:val="0"/>
          <w:i w:val="0"/>
        </w:rPr>
        <w:t>(</w:t>
      </w:r>
      <w:r>
        <w:rPr>
          <w:b w:val="0"/>
          <w:i/>
        </w:rPr>
        <w:t>ξ</w:t>
      </w:r>
      <w:r>
        <w:rPr>
          <w:b w:val="0"/>
          <w:i w:val="0"/>
        </w:rPr>
        <w:t xml:space="preserve">) with </w:t>
      </w:r>
      <w:r>
        <w:rPr>
          <w:b w:val="0"/>
          <w:i/>
        </w:rPr>
        <w:t>ξ</w:t>
      </w:r>
      <w:r>
        <w:rPr>
          <w:b w:val="0"/>
          <w:i w:val="0"/>
        </w:rPr>
        <w:t xml:space="preserve"> between </w:t>
      </w:r>
      <w:r>
        <w:rPr>
          <w:b w:val="0"/>
          <w:i/>
        </w:rPr>
        <w:t>ρκ</w:t>
      </w:r>
      <w:r>
        <w:rPr>
          <w:b w:val="0"/>
          <w:i w:val="0"/>
        </w:rPr>
        <w:t xml:space="preserve"> and </w:t>
      </w:r>
      <w:r>
        <w:rPr>
          <w:b w:val="0"/>
          <w:i/>
        </w:rPr>
        <w:t>κ</w:t>
      </w:r>
      <w:r>
        <w:rPr>
          <w:b w:val="0"/>
          <w:i w:val="0"/>
        </w:rPr>
        <w:t xml:space="preserve">; since </w:t>
      </w:r>
      <w:r>
        <w:rPr>
          <w:b w:val="0"/>
          <w:i/>
        </w:rPr>
        <w:t>g</w:t>
      </w:r>
      <w:r>
        <w:rPr>
          <w:b w:val="0"/>
          <w:i w:val="0"/>
        </w:rPr>
        <w:t xml:space="preserve"> is decreasing, ln </w:t>
      </w:r>
      <w:r>
        <w:rPr>
          <w:b w:val="0"/>
          <w:i/>
        </w:rPr>
        <w:t>R</w:t>
      </w:r>
      <w:r>
        <w:rPr>
          <w:b w:val="0"/>
          <w:i w:val="0"/>
        </w:rPr>
        <w:t>(</w:t>
      </w:r>
      <w:r>
        <w:rPr>
          <w:b w:val="0"/>
          <w:i/>
        </w:rPr>
        <w:t>κ</w:t>
      </w:r>
      <w:r>
        <w:rPr>
          <w:b w:val="0"/>
          <w:i w:val="0"/>
        </w:rPr>
        <w:t xml:space="preserve">) ≥ </w:t>
      </w:r>
      <w:r>
        <w:rPr>
          <w:b w:val="0"/>
          <w:i/>
        </w:rPr>
        <w:t>ε</w:t>
      </w:r>
      <w:r>
        <w:rPr>
          <w:b w:val="0"/>
          <w:i w:val="0"/>
        </w:rPr>
        <w:t xml:space="preserve">′ </w:t>
      </w:r>
      <w:r>
        <w:rPr>
          <w:b w:val="0"/>
          <w:i/>
        </w:rPr>
        <w:t>g</w:t>
      </w:r>
      <w:r>
        <w:rPr>
          <w:b w:val="0"/>
          <w:i w:val="0"/>
        </w:rPr>
        <w:t>(</w:t>
      </w:r>
      <w:r>
        <w:rPr>
          <w:b w:val="0"/>
          <w:i/>
        </w:rPr>
        <w:t>κ</w:t>
      </w:r>
      <w:r>
        <w:rPr>
          <w:b w:val="0"/>
          <w:i w:val="0"/>
        </w:rPr>
        <w:t xml:space="preserve">). Since ln </w:t>
      </w:r>
      <w:r>
        <w:rPr>
          <w:b w:val="0"/>
          <w:i/>
        </w:rPr>
        <w:t>A</w:t>
      </w:r>
      <w:r>
        <w:rPr>
          <w:b w:val="0"/>
          <w:i w:val="0"/>
        </w:rPr>
        <w:t xml:space="preserve"> ≤ </w:t>
      </w:r>
      <w:r>
        <w:rPr>
          <w:b w:val="0"/>
          <w:i/>
        </w:rPr>
        <w:t>η</w:t>
      </w:r>
      <w:r>
        <w:rPr>
          <w:b w:val="0"/>
          <w:i w:val="0"/>
        </w:rPr>
        <w:t xml:space="preserve">, adoption needs </w:t>
      </w:r>
      <w:r>
        <w:rPr>
          <w:b w:val="0"/>
          <w:i/>
        </w:rPr>
        <w:t>g</w:t>
      </w:r>
      <w:r>
        <w:rPr>
          <w:b w:val="0"/>
          <w:i w:val="0"/>
        </w:rPr>
        <w:t>(</w:t>
      </w:r>
      <w:r>
        <w:rPr>
          <w:b w:val="0"/>
          <w:i/>
        </w:rPr>
        <w:t>κ</w:t>
      </w:r>
      <w:r>
        <w:rPr>
          <w:b w:val="0"/>
          <w:i w:val="0"/>
        </w:rPr>
        <w:t xml:space="preserve">) &lt; </w:t>
      </w:r>
      <w:r>
        <w:rPr>
          <w:b w:val="0"/>
          <w:i/>
        </w:rPr>
        <w:t>η</w:t>
      </w:r>
      <w:r>
        <w:rPr>
          <w:b w:val="0"/>
          <w:i w:val="0"/>
        </w:rPr>
        <w:t>/</w:t>
      </w:r>
      <w:r>
        <w:rPr>
          <w:b w:val="0"/>
          <w:i/>
        </w:rPr>
        <w:t>ε</w:t>
      </w:r>
      <w:r>
        <w:rPr>
          <w:b w:val="0"/>
          <w:i w:val="0"/>
        </w:rPr>
        <w:t xml:space="preserve">′, that is, </w:t>
      </w:r>
      <w:r>
        <w:rPr>
          <w:b w:val="0"/>
          <w:i/>
        </w:rPr>
        <w:t>κ</w:t>
      </w:r>
      <w:r>
        <w:rPr>
          <w:b w:val="0"/>
          <w:i w:val="0"/>
        </w:rPr>
        <w:t xml:space="preserve"> &gt; </w:t>
      </w:r>
      <w:r>
        <w:rPr>
          <w:b w:val="0"/>
          <w:i/>
        </w:rPr>
        <w:t>κ</w:t>
      </w:r>
      <w:r>
        <w:rPr>
          <w:b w:val="0"/>
          <w:i w:val="0"/>
          <w:vertAlign w:val="subscript"/>
        </w:rPr>
        <w:t>l</w:t>
      </w:r>
      <w:r>
        <w:rPr>
          <w:b w:val="0"/>
          <w:i w:val="0"/>
        </w:rPr>
        <w:t xml:space="preserve"> with </w:t>
      </w:r>
      <w:r>
        <w:rPr>
          <w:b w:val="0"/>
          <w:i/>
        </w:rPr>
        <w:t>g</w:t>
      </w:r>
      <w:r>
        <w:rPr>
          <w:b w:val="0"/>
          <w:i w:val="0"/>
        </w:rPr>
        <w:t>(</w:t>
      </w:r>
      <w:r>
        <w:rPr>
          <w:b w:val="0"/>
          <w:i/>
        </w:rPr>
        <w:t>κ</w:t>
      </w:r>
      <w:r>
        <w:rPr>
          <w:b w:val="0"/>
          <w:i w:val="0"/>
          <w:vertAlign w:val="subscript"/>
        </w:rPr>
        <w:t>l</w:t>
      </w:r>
      <w:r>
        <w:rPr>
          <w:b w:val="0"/>
          <w:i w:val="0"/>
        </w:rPr>
        <w:t xml:space="preserve">) = </w:t>
      </w:r>
      <w:r>
        <w:rPr>
          <w:b w:val="0"/>
          <w:i/>
        </w:rPr>
        <w:t>η</w:t>
      </w:r>
      <w:r>
        <w:rPr>
          <w:b w:val="0"/>
          <w:i w:val="0"/>
        </w:rPr>
        <w:t>/</w:t>
      </w:r>
      <w:r>
        <w:rPr>
          <w:b w:val="0"/>
          <w:i/>
        </w:rPr>
        <w:t>ε</w:t>
      </w:r>
      <w:r>
        <w:rPr>
          <w:b w:val="0"/>
          <w:i w:val="0"/>
        </w:rPr>
        <w:t xml:space="preserve">′. Near </w:t>
      </w:r>
      <w:r>
        <w:rPr>
          <w:b w:val="0"/>
          <w:i/>
        </w:rPr>
        <w:t>κ</w:t>
      </w:r>
      <w:r>
        <w:rPr>
          <w:b w:val="0"/>
          <w:i w:val="0"/>
        </w:rPr>
        <w:t xml:space="preserve"> = 1, </w:t>
      </w:r>
      <w:r>
        <w:rPr>
          <w:b w:val="0"/>
          <w:i/>
        </w:rPr>
        <w:t>g</w:t>
      </w:r>
      <w:r>
        <w:rPr>
          <w:b w:val="0"/>
          <w:i w:val="0"/>
        </w:rPr>
        <w:t>(</w:t>
      </w:r>
      <w:r>
        <w:rPr>
          <w:b w:val="0"/>
          <w:i/>
        </w:rPr>
        <w:t>κ</w:t>
      </w:r>
      <w:r>
        <w:rPr>
          <w:b w:val="0"/>
          <w:i w:val="0"/>
        </w:rPr>
        <w:t>) ≈ 2/(</w:t>
      </w:r>
      <w:r>
        <w:rPr>
          <w:b w:val="0"/>
          <w:i/>
        </w:rPr>
        <w:t>κ</w:t>
      </w:r>
      <w:r>
        <w:rPr>
          <w:b w:val="0"/>
          <w:i w:val="0"/>
        </w:rPr>
        <w:t xml:space="preserve"> − 1), so </w:t>
      </w:r>
      <w:r>
        <w:rPr>
          <w:b w:val="0"/>
          <w:i/>
        </w:rPr>
        <w:t>κ</w:t>
      </w:r>
      <w:r>
        <w:rPr>
          <w:b w:val="0"/>
          <w:i w:val="0"/>
          <w:vertAlign w:val="subscript"/>
        </w:rPr>
        <w:t>l</w:t>
      </w:r>
      <w:r>
        <w:rPr>
          <w:b w:val="0"/>
          <w:i w:val="0"/>
        </w:rPr>
        <w:t xml:space="preserve"> − 1 ≈ 2</w:t>
      </w:r>
      <w:r>
        <w:rPr>
          <w:b w:val="0"/>
          <w:i/>
        </w:rPr>
        <w:t>ε</w:t>
      </w:r>
      <w:r>
        <w:rPr>
          <w:b w:val="0"/>
          <w:i w:val="0"/>
        </w:rPr>
        <w:t>′/</w:t>
      </w:r>
      <w:r>
        <w:rPr>
          <w:b w:val="0"/>
          <w:i/>
        </w:rPr>
        <w:t>η</w:t>
      </w:r>
      <w:r>
        <w:rPr>
          <w:b w:val="0"/>
          <w:i w:val="0"/>
        </w:rPr>
        <w:t>. The lost demand ∫</w:t>
      </w:r>
      <w:r>
        <w:rPr>
          <w:b w:val="0"/>
          <w:i w:val="0"/>
          <w:vertAlign w:val="subscript"/>
        </w:rPr>
        <w:t>1</w:t>
      </w:r>
      <w:r>
        <w:rPr>
          <w:b w:val="0"/>
          <w:i w:val="0"/>
          <w:vertAlign w:val="superscript"/>
        </w:rPr>
        <w:t>κ_l</w:t>
      </w:r>
      <w:r>
        <w:rPr>
          <w:b w:val="0"/>
          <w:i w:val="0"/>
        </w:rPr>
        <w:t xml:space="preserve"> ln </w:t>
      </w:r>
      <w:r>
        <w:rPr>
          <w:b w:val="0"/>
          <w:i/>
        </w:rPr>
        <w:t>κ</w:t>
      </w:r>
      <w:r>
        <w:rPr>
          <w:b w:val="0"/>
          <w:i w:val="0"/>
        </w:rPr>
        <w:t xml:space="preserve"> </w:t>
      </w:r>
      <w:r>
        <w:rPr>
          <w:b w:val="0"/>
          <w:i/>
        </w:rPr>
        <w:t>q</w:t>
      </w:r>
      <w:r>
        <w:rPr>
          <w:b w:val="0"/>
          <w:i w:val="0"/>
        </w:rPr>
        <w:t>(</w:t>
      </w:r>
      <w:r>
        <w:rPr>
          <w:b w:val="0"/>
          <w:i/>
        </w:rPr>
        <w:t>κ</w:t>
      </w:r>
      <w:r>
        <w:rPr>
          <w:b w:val="0"/>
          <w:i w:val="0"/>
        </w:rPr>
        <w:t>) d</w:t>
      </w:r>
      <w:r>
        <w:rPr>
          <w:b w:val="0"/>
          <w:i/>
        </w:rPr>
        <w:t>κ</w:t>
      </w:r>
      <w:r>
        <w:rPr>
          <w:b w:val="0"/>
          <w:i w:val="0"/>
        </w:rPr>
        <w:t xml:space="preserve"> is bounded below by a constant times (</w:t>
      </w:r>
      <w:r>
        <w:rPr>
          <w:b w:val="0"/>
          <w:i/>
        </w:rPr>
        <w:t>ε</w:t>
      </w:r>
      <w:r>
        <w:rPr>
          <w:b w:val="0"/>
          <w:i w:val="0"/>
        </w:rPr>
        <w:t>′/</w:t>
      </w:r>
      <w:r>
        <w:rPr>
          <w:b w:val="0"/>
          <w:i/>
        </w:rPr>
        <w:t>η</w:t>
      </w:r>
      <w:r>
        <w:rPr>
          <w:b w:val="0"/>
          <w:i w:val="0"/>
        </w:rPr>
        <w:t xml:space="preserve">)² when </w:t>
      </w:r>
      <w:r>
        <w:rPr>
          <w:b w:val="0"/>
          <w:i/>
        </w:rPr>
        <w:t>ε</w:t>
      </w:r>
      <w:r>
        <w:rPr>
          <w:b w:val="0"/>
          <w:i w:val="0"/>
        </w:rPr>
        <w:t>′/</w:t>
      </w:r>
      <w:r>
        <w:rPr>
          <w:b w:val="0"/>
          <w:i/>
        </w:rPr>
        <w:t>η</w:t>
      </w:r>
      <w:r>
        <w:rPr>
          <w:b w:val="0"/>
          <w:i w:val="0"/>
        </w:rPr>
        <w:t xml:space="preserve"> is small, and by a positive constant otherwise. The gain from the higher price is at most </w:t>
      </w:r>
      <w:r>
        <w:rPr>
          <w:b w:val="0"/>
          <w:i/>
        </w:rPr>
        <w:t>BM ε</w:t>
      </w:r>
      <w:r>
        <w:rPr>
          <w:b w:val="0"/>
          <w:i w:val="0"/>
        </w:rPr>
        <w:t>′. So the extra profit is at most max</w:t>
      </w:r>
      <w:r>
        <w:rPr>
          <w:b w:val="0"/>
          <w:i w:val="0"/>
          <w:vertAlign w:val="subscript"/>
        </w:rPr>
        <w:t>*ε*′</w:t>
      </w:r>
      <w:r>
        <w:rPr>
          <w:b w:val="0"/>
          <w:i w:val="0"/>
        </w:rPr>
        <w:t xml:space="preserve"> [</w:t>
      </w:r>
      <w:r>
        <w:rPr>
          <w:b w:val="0"/>
          <w:i/>
        </w:rPr>
        <w:t>BM ε</w:t>
      </w:r>
      <w:r>
        <w:rPr>
          <w:b w:val="0"/>
          <w:i w:val="0"/>
        </w:rPr>
        <w:t xml:space="preserve">′ − </w:t>
      </w:r>
      <w:r>
        <w:rPr>
          <w:b w:val="0"/>
          <w:i/>
        </w:rPr>
        <w:t>P c</w:t>
      </w:r>
      <w:r>
        <w:rPr>
          <w:b w:val="0"/>
          <w:i w:val="0"/>
        </w:rPr>
        <w:t>(</w:t>
      </w:r>
      <w:r>
        <w:rPr>
          <w:b w:val="0"/>
          <w:i/>
        </w:rPr>
        <w:t>ε</w:t>
      </w:r>
      <w:r>
        <w:rPr>
          <w:b w:val="0"/>
          <w:i w:val="0"/>
        </w:rPr>
        <w:t>′/</w:t>
      </w:r>
      <w:r>
        <w:rPr>
          <w:b w:val="0"/>
          <w:i/>
        </w:rPr>
        <w:t>η</w:t>
      </w:r>
      <w:r>
        <w:rPr>
          <w:b w:val="0"/>
          <w:i w:val="0"/>
        </w:rPr>
        <w:t xml:space="preserve">)²] = </w:t>
      </w:r>
      <w:r>
        <w:rPr>
          <w:b w:val="0"/>
          <w:i/>
        </w:rPr>
        <w:t>O</w:t>
      </w:r>
      <w:r>
        <w:rPr>
          <w:b w:val="0"/>
          <w:i w:val="0"/>
        </w:rPr>
        <w:t>(</w:t>
      </w:r>
      <w:r>
        <w:rPr>
          <w:b w:val="0"/>
          <w:i/>
        </w:rPr>
        <w:t>η</w:t>
      </w:r>
      <w:r>
        <w:rPr>
          <w:b w:val="0"/>
          <w:i w:val="0"/>
        </w:rPr>
        <w:t>²). Combining with the lower bound, Π</w:t>
      </w:r>
      <w:r>
        <w:rPr>
          <w:b w:val="0"/>
          <w:i w:val="0"/>
          <w:vertAlign w:val="superscript"/>
        </w:rPr>
        <w:t>*</w:t>
      </w:r>
      <w:r>
        <w:rPr>
          <w:b w:val="0"/>
          <w:i w:val="0"/>
        </w:rPr>
        <w:t xml:space="preserve">(1 + </w:t>
      </w:r>
      <w:r>
        <w:rPr>
          <w:b w:val="0"/>
          <w:i/>
        </w:rPr>
        <w:t>η</w:t>
      </w:r>
      <w:r>
        <w:rPr>
          <w:b w:val="0"/>
          <w:i w:val="0"/>
        </w:rPr>
        <w:t>) = (</w:t>
      </w:r>
      <w:r>
        <w:rPr>
          <w:b w:val="0"/>
          <w:i/>
        </w:rPr>
        <w:t>P</w:t>
      </w:r>
      <w:r>
        <w:rPr>
          <w:b w:val="0"/>
          <w:i w:val="0"/>
        </w:rPr>
        <w:t xml:space="preserve"> + </w:t>
      </w:r>
      <w:r>
        <w:rPr>
          <w:b w:val="0"/>
          <w:i/>
        </w:rPr>
        <w:t>Bη</w:t>
      </w:r>
      <w:r>
        <w:rPr>
          <w:b w:val="0"/>
          <w:i w:val="0"/>
        </w:rPr>
        <w:t>)</w:t>
      </w:r>
      <w:r>
        <w:rPr>
          <w:b w:val="0"/>
          <w:i/>
        </w:rPr>
        <w:t>M</w:t>
      </w:r>
      <w:r>
        <w:rPr>
          <w:b w:val="0"/>
          <w:i w:val="0"/>
        </w:rPr>
        <w:t xml:space="preserve"> + </w:t>
      </w:r>
      <w:r>
        <w:rPr>
          <w:b w:val="0"/>
          <w:i/>
        </w:rPr>
        <w:t>O</w:t>
      </w:r>
      <w:r>
        <w:rPr>
          <w:b w:val="0"/>
          <w:i w:val="0"/>
        </w:rPr>
        <w:t>(</w:t>
      </w:r>
      <w:r>
        <w:rPr>
          <w:b w:val="0"/>
          <w:i/>
        </w:rPr>
        <w:t>η</w:t>
      </w:r>
      <w:r>
        <w:rPr>
          <w:b w:val="0"/>
          <w:i w:val="0"/>
        </w:rPr>
        <w:t>²), hence Π</w:t>
      </w:r>
      <w:r>
        <w:rPr>
          <w:b w:val="0"/>
          <w:i w:val="0"/>
          <w:vertAlign w:val="superscript"/>
        </w:rPr>
        <w:t>*</w:t>
      </w:r>
      <w:r>
        <w:rPr>
          <w:b w:val="0"/>
          <w:i w:val="0"/>
        </w:rPr>
        <w:t xml:space="preserve">′(1⁺) = </w:t>
      </w:r>
      <w:r>
        <w:rPr>
          <w:b w:val="0"/>
          <w:i/>
        </w:rPr>
        <w:t>BM</w:t>
      </w:r>
      <w:r>
        <w:rPr>
          <w:b w:val="0"/>
          <w:i w:val="0"/>
        </w:rPr>
        <w:t xml:space="preserve"> = E[ln </w:t>
      </w:r>
      <w:r>
        <w:rPr>
          <w:b w:val="0"/>
          <w:i/>
        </w:rPr>
        <w:t>κ</w:t>
      </w:r>
      <w:r>
        <w:rPr>
          <w:b w:val="0"/>
          <w:i w:val="0"/>
        </w:rPr>
        <w:t xml:space="preserve">; </w:t>
      </w:r>
      <w:r>
        <w:rPr>
          <w:b w:val="0"/>
          <w:i/>
        </w:rPr>
        <w:t>κ</w:t>
      </w:r>
      <w:r>
        <w:rPr>
          <w:b w:val="0"/>
          <w:i w:val="0"/>
        </w:rPr>
        <w:t xml:space="preserve"> &gt; 1]/</w:t>
      </w:r>
      <w:r>
        <w:rPr>
          <w:b w:val="0"/>
          <w:i/>
        </w:rPr>
        <w:t>b</w:t>
      </w:r>
      <w:r>
        <w:rPr>
          <w:b w:val="0"/>
          <w:i w:val="0"/>
        </w:rPr>
        <w:t xml:space="preserve">. In the illustration this is 13.195. Numerically, at </w:t>
      </w:r>
      <w:r>
        <w:rPr>
          <w:b w:val="0"/>
          <w:i/>
        </w:rPr>
        <w:t>η</w:t>
      </w:r>
      <w:r>
        <w:rPr>
          <w:b w:val="0"/>
          <w:i w:val="0"/>
        </w:rPr>
        <w:t xml:space="preserve"> = 0.001 and 0.004 the average slope is 13.21 and 13.20 with the optimal price at the cliff; at </w:t>
      </w:r>
      <w:r>
        <w:rPr>
          <w:b w:val="0"/>
          <w:i/>
        </w:rPr>
        <w:t>η</w:t>
      </w:r>
      <w:r>
        <w:rPr>
          <w:b w:val="0"/>
          <w:i w:val="0"/>
        </w:rPr>
        <w:t xml:space="preserve"> ≥ 0.01 the optimal </w:t>
      </w:r>
      <w:r>
        <w:rPr>
          <w:b w:val="0"/>
          <w:i/>
        </w:rPr>
        <w:t>ρ</w:t>
      </w:r>
      <w:r>
        <w:rPr>
          <w:b w:val="0"/>
          <w:i w:val="0"/>
        </w:rPr>
        <w:t xml:space="preserve"> is slightly below 1 and the average slope exceeds </w:t>
      </w:r>
      <w:r>
        <w:rPr>
          <w:b w:val="0"/>
          <w:i/>
        </w:rPr>
        <w:t>BM</w:t>
      </w:r>
      <w:r>
        <w:rPr>
          <w:b w:val="0"/>
          <w:i w:val="0"/>
        </w:rPr>
        <w:t xml:space="preserve"> by an amount of order </w:t>
      </w:r>
      <w:r>
        <w:rPr>
          <w:b w:val="0"/>
          <w:i/>
        </w:rPr>
        <w:t>η</w:t>
      </w:r>
      <w:r>
        <w:rPr>
          <w:b w:val="0"/>
          <w:i w:val="0"/>
        </w:rPr>
        <w:t xml:space="preserve"> (13.5 to 14.2 for </w:t>
      </w:r>
      <w:r>
        <w:rPr>
          <w:b w:val="0"/>
          <w:i/>
        </w:rPr>
        <w:t>η</w:t>
      </w:r>
      <w:r>
        <w:rPr>
          <w:b w:val="0"/>
          <w:i w:val="0"/>
        </w:rPr>
        <w:t xml:space="preserve"> between 0.01 and 0.04).</w:t>
      </w:r>
    </w:p>
    <w:p>
      <w:pPr>
        <w:spacing w:after="0" w:before="0"/>
        <w:ind w:firstLine="720"/>
      </w:pPr>
      <w:r>
        <w:rPr>
          <w:b w:val="0"/>
          <w:i/>
        </w:rPr>
        <w:t>(iii) Left derivative.</w:t>
      </w:r>
      <w:r>
        <w:rPr>
          <w:b w:val="0"/>
          <w:i w:val="0"/>
        </w:rPr>
        <w:t xml:space="preserve"> Take </w:t>
      </w:r>
      <w:r>
        <w:rPr>
          <w:b w:val="0"/>
          <w:i/>
        </w:rPr>
        <w:t>A</w:t>
      </w:r>
      <w:r>
        <w:rPr>
          <w:b w:val="0"/>
          <w:i w:val="0"/>
        </w:rPr>
        <w:t xml:space="preserve"> = 1 − </w:t>
      </w:r>
      <w:r>
        <w:rPr>
          <w:b w:val="0"/>
          <w:i/>
        </w:rPr>
        <w:t>δ</w:t>
      </w:r>
      <w:r>
        <w:rPr>
          <w:b w:val="0"/>
          <w:i w:val="0"/>
        </w:rPr>
        <w:t xml:space="preserve"> and a price with </w:t>
      </w:r>
      <w:r>
        <w:rPr>
          <w:b w:val="0"/>
          <w:i/>
        </w:rPr>
        <w:t>ρ</w:t>
      </w:r>
      <w:r>
        <w:rPr>
          <w:b w:val="0"/>
          <w:i w:val="0"/>
        </w:rPr>
        <w:t xml:space="preserve"> = 1 + </w:t>
      </w:r>
      <w:r>
        <w:rPr>
          <w:b w:val="0"/>
          <w:i/>
        </w:rPr>
        <w:t>ε</w:t>
      </w:r>
      <w:r>
        <w:rPr>
          <w:b w:val="0"/>
          <w:i w:val="0"/>
        </w:rPr>
        <w:t xml:space="preserve">. Three facts are used. (a) The price margin is </w:t>
      </w:r>
      <w:r>
        <w:rPr>
          <w:b w:val="0"/>
          <w:i/>
        </w:rPr>
        <w:t>p</w:t>
      </w:r>
      <w:r>
        <w:rPr>
          <w:b w:val="0"/>
          <w:i w:val="0"/>
        </w:rPr>
        <w:t xml:space="preserve"> − </w:t>
      </w:r>
      <w:r>
        <w:rPr>
          <w:b w:val="0"/>
          <w:i/>
        </w:rPr>
        <w:t>k</w:t>
      </w:r>
      <w:r>
        <w:rPr>
          <w:b w:val="0"/>
          <w:i w:val="0"/>
        </w:rPr>
        <w:t xml:space="preserve"> = </w:t>
      </w:r>
      <w:r>
        <w:rPr>
          <w:b w:val="0"/>
          <w:i/>
        </w:rPr>
        <w:t>P</w:t>
      </w:r>
      <w:r>
        <w:rPr>
          <w:b w:val="0"/>
          <w:i w:val="0"/>
        </w:rPr>
        <w:t xml:space="preserve"> − </w:t>
      </w:r>
      <w:r>
        <w:rPr>
          <w:b w:val="0"/>
          <w:i/>
        </w:rPr>
        <w:t>B</w:t>
      </w:r>
      <w:r>
        <w:rPr>
          <w:b w:val="0"/>
          <w:i w:val="0"/>
        </w:rPr>
        <w:t>(</w:t>
      </w:r>
      <w:r>
        <w:rPr>
          <w:b w:val="0"/>
          <w:i/>
        </w:rPr>
        <w:t>ε</w:t>
      </w:r>
      <w:r>
        <w:rPr>
          <w:b w:val="0"/>
          <w:i w:val="0"/>
        </w:rPr>
        <w:t xml:space="preserve"> + </w:t>
      </w:r>
      <w:r>
        <w:rPr>
          <w:b w:val="0"/>
          <w:i/>
        </w:rPr>
        <w:t>δ</w:t>
      </w:r>
      <w:r>
        <w:rPr>
          <w:b w:val="0"/>
          <w:i w:val="0"/>
        </w:rPr>
        <w:t xml:space="preserve">)/(1 + </w:t>
      </w:r>
      <w:r>
        <w:rPr>
          <w:b w:val="0"/>
          <w:i/>
        </w:rPr>
        <w:t>ε</w:t>
      </w:r>
      <w:r>
        <w:rPr>
          <w:b w:val="0"/>
          <w:i w:val="0"/>
        </w:rPr>
        <w:t>) exactly. (b) The adoption set is contained in (1/</w:t>
      </w:r>
      <w:r>
        <w:rPr>
          <w:b w:val="0"/>
          <w:i/>
        </w:rPr>
        <w:t>ρ</w:t>
      </w:r>
      <w:r>
        <w:rPr>
          <w:b w:val="0"/>
          <w:i w:val="0"/>
        </w:rPr>
        <w:t xml:space="preserve">, </w:t>
      </w:r>
      <w:r>
        <w:rPr>
          <w:b w:val="0"/>
          <w:i/>
        </w:rPr>
        <w:t>κ̄</w:t>
      </w:r>
      <w:r>
        <w:rPr>
          <w:b w:val="0"/>
          <w:i w:val="0"/>
        </w:rPr>
        <w:t xml:space="preserve">) with </w:t>
      </w:r>
      <w:r>
        <w:rPr>
          <w:b w:val="0"/>
          <w:i/>
        </w:rPr>
        <w:t>κ̄</w:t>
      </w:r>
      <w:r>
        <w:rPr>
          <w:b w:val="0"/>
          <w:i w:val="0"/>
        </w:rPr>
        <w:t xml:space="preserve"> = </w:t>
      </w:r>
      <w:r>
        <w:rPr>
          <w:b w:val="0"/>
          <w:i/>
        </w:rPr>
        <w:t>g</w:t>
      </w:r>
      <w:r>
        <w:rPr>
          <w:b w:val="0"/>
          <w:i w:val="0"/>
          <w:vertAlign w:val="superscript"/>
        </w:rPr>
        <w:t>−1</w:t>
      </w:r>
      <w:r>
        <w:rPr>
          <w:b w:val="0"/>
          <w:i w:val="0"/>
        </w:rPr>
        <w:t>(</w:t>
      </w:r>
      <w:r>
        <w:rPr>
          <w:b w:val="0"/>
          <w:i/>
        </w:rPr>
        <w:t>δ</w:t>
      </w:r>
      <w:r>
        <w:rPr>
          <w:b w:val="0"/>
          <w:i w:val="0"/>
        </w:rPr>
        <w:t>/</w:t>
      </w:r>
      <w:r>
        <w:rPr>
          <w:b w:val="0"/>
          <w:i/>
        </w:rPr>
        <w:t>ε</w:t>
      </w:r>
      <w:r>
        <w:rPr>
          <w:b w:val="0"/>
          <w:i w:val="0"/>
        </w:rPr>
        <w:t xml:space="preserve">): adoption requires ln </w:t>
      </w:r>
      <w:r>
        <w:rPr>
          <w:b w:val="0"/>
          <w:i/>
        </w:rPr>
        <w:t>R</w:t>
      </w:r>
      <w:r>
        <w:rPr>
          <w:b w:val="0"/>
          <w:i w:val="0"/>
        </w:rPr>
        <w:t xml:space="preserve"> &lt; ln </w:t>
      </w:r>
      <w:r>
        <w:rPr>
          <w:b w:val="0"/>
          <w:i/>
        </w:rPr>
        <w:t>A</w:t>
      </w:r>
      <w:r>
        <w:rPr>
          <w:b w:val="0"/>
          <w:i w:val="0"/>
        </w:rPr>
        <w:t xml:space="preserve"> ≤ −</w:t>
      </w:r>
      <w:r>
        <w:rPr>
          <w:b w:val="0"/>
          <w:i/>
        </w:rPr>
        <w:t>δ</w:t>
      </w:r>
      <w:r>
        <w:rPr>
          <w:b w:val="0"/>
          <w:i w:val="0"/>
        </w:rPr>
        <w:t xml:space="preserve">, while by the mean value theorem ln </w:t>
      </w:r>
      <w:r>
        <w:rPr>
          <w:b w:val="0"/>
          <w:i/>
        </w:rPr>
        <w:t>h</w:t>
      </w:r>
      <w:r>
        <w:rPr>
          <w:b w:val="0"/>
          <w:i w:val="0"/>
        </w:rPr>
        <w:t>(</w:t>
      </w:r>
      <w:r>
        <w:rPr>
          <w:b w:val="0"/>
          <w:i/>
        </w:rPr>
        <w:t>ρκ</w:t>
      </w:r>
      <w:r>
        <w:rPr>
          <w:b w:val="0"/>
          <w:i w:val="0"/>
        </w:rPr>
        <w:t xml:space="preserve">) − ln </w:t>
      </w:r>
      <w:r>
        <w:rPr>
          <w:b w:val="0"/>
          <w:i/>
        </w:rPr>
        <w:t>h</w:t>
      </w:r>
      <w:r>
        <w:rPr>
          <w:b w:val="0"/>
          <w:i w:val="0"/>
        </w:rPr>
        <w:t>(</w:t>
      </w:r>
      <w:r>
        <w:rPr>
          <w:b w:val="0"/>
          <w:i/>
        </w:rPr>
        <w:t>κ</w:t>
      </w:r>
      <w:r>
        <w:rPr>
          <w:b w:val="0"/>
          <w:i w:val="0"/>
        </w:rPr>
        <w:t xml:space="preserve">) = ln </w:t>
      </w:r>
      <w:r>
        <w:rPr>
          <w:b w:val="0"/>
          <w:i/>
        </w:rPr>
        <w:t>ρ</w:t>
      </w:r>
      <w:r>
        <w:rPr>
          <w:b w:val="0"/>
          <w:i w:val="0"/>
        </w:rPr>
        <w:t xml:space="preserve"> · </w:t>
      </w:r>
      <w:r>
        <w:rPr>
          <w:b w:val="0"/>
          <w:i/>
        </w:rPr>
        <w:t>g</w:t>
      </w:r>
      <w:r>
        <w:rPr>
          <w:b w:val="0"/>
          <w:i w:val="0"/>
        </w:rPr>
        <w:t>(</w:t>
      </w:r>
      <w:r>
        <w:rPr>
          <w:b w:val="0"/>
          <w:i/>
        </w:rPr>
        <w:t>ξ</w:t>
      </w:r>
      <w:r>
        <w:rPr>
          <w:b w:val="0"/>
          <w:i w:val="0"/>
        </w:rPr>
        <w:t xml:space="preserve">) for some </w:t>
      </w:r>
      <w:r>
        <w:rPr>
          <w:b w:val="0"/>
          <w:i/>
        </w:rPr>
        <w:t>ξ</w:t>
      </w:r>
      <w:r>
        <w:rPr>
          <w:b w:val="0"/>
          <w:i w:val="0"/>
        </w:rPr>
        <w:t xml:space="preserve"> ∈ (</w:t>
      </w:r>
      <w:r>
        <w:rPr>
          <w:b w:val="0"/>
          <w:i/>
        </w:rPr>
        <w:t>κ</w:t>
      </w:r>
      <w:r>
        <w:rPr>
          <w:b w:val="0"/>
          <w:i w:val="0"/>
        </w:rPr>
        <w:t xml:space="preserve">, </w:t>
      </w:r>
      <w:r>
        <w:rPr>
          <w:b w:val="0"/>
          <w:i/>
        </w:rPr>
        <w:t>ρκ</w:t>
      </w:r>
      <w:r>
        <w:rPr>
          <w:b w:val="0"/>
          <w:i w:val="0"/>
        </w:rPr>
        <w:t xml:space="preserve">). Adoption therefore needs ln </w:t>
      </w:r>
      <w:r>
        <w:rPr>
          <w:b w:val="0"/>
          <w:i/>
        </w:rPr>
        <w:t>ρ</w:t>
      </w:r>
      <w:r>
        <w:rPr>
          <w:b w:val="0"/>
          <w:i w:val="0"/>
        </w:rPr>
        <w:t xml:space="preserve"> · </w:t>
      </w:r>
      <w:r>
        <w:rPr>
          <w:b w:val="0"/>
          <w:i/>
        </w:rPr>
        <w:t>g</w:t>
      </w:r>
      <w:r>
        <w:rPr>
          <w:b w:val="0"/>
          <w:i w:val="0"/>
        </w:rPr>
        <w:t>(</w:t>
      </w:r>
      <w:r>
        <w:rPr>
          <w:b w:val="0"/>
          <w:i/>
        </w:rPr>
        <w:t>ξ</w:t>
      </w:r>
      <w:r>
        <w:rPr>
          <w:b w:val="0"/>
          <w:i w:val="0"/>
        </w:rPr>
        <w:t xml:space="preserve">) &gt; </w:t>
      </w:r>
      <w:r>
        <w:rPr>
          <w:b w:val="0"/>
          <w:i/>
        </w:rPr>
        <w:t>δ</w:t>
      </w:r>
      <w:r>
        <w:rPr>
          <w:b w:val="0"/>
          <w:i w:val="0"/>
        </w:rPr>
        <w:t xml:space="preserve">, and since </w:t>
      </w:r>
      <w:r>
        <w:rPr>
          <w:b w:val="0"/>
          <w:i/>
        </w:rPr>
        <w:t>g</w:t>
      </w:r>
      <w:r>
        <w:rPr>
          <w:b w:val="0"/>
          <w:i w:val="0"/>
        </w:rPr>
        <w:t>(</w:t>
      </w:r>
      <w:r>
        <w:rPr>
          <w:b w:val="0"/>
          <w:i/>
        </w:rPr>
        <w:t>ξ</w:t>
      </w:r>
      <w:r>
        <w:rPr>
          <w:b w:val="0"/>
          <w:i w:val="0"/>
        </w:rPr>
        <w:t xml:space="preserve">) ≤ </w:t>
      </w:r>
      <w:r>
        <w:rPr>
          <w:b w:val="0"/>
          <w:i/>
        </w:rPr>
        <w:t>g</w:t>
      </w:r>
      <w:r>
        <w:rPr>
          <w:b w:val="0"/>
          <w:i w:val="0"/>
        </w:rPr>
        <w:t>(</w:t>
      </w:r>
      <w:r>
        <w:rPr>
          <w:b w:val="0"/>
          <w:i/>
        </w:rPr>
        <w:t>κ</w:t>
      </w:r>
      <w:r>
        <w:rPr>
          <w:b w:val="0"/>
          <w:i w:val="0"/>
        </w:rPr>
        <w:t xml:space="preserve">) we get </w:t>
      </w:r>
      <w:r>
        <w:rPr>
          <w:b w:val="0"/>
          <w:i/>
        </w:rPr>
        <w:t>g</w:t>
      </w:r>
      <w:r>
        <w:rPr>
          <w:b w:val="0"/>
          <w:i w:val="0"/>
        </w:rPr>
        <w:t>(</w:t>
      </w:r>
      <w:r>
        <w:rPr>
          <w:b w:val="0"/>
          <w:i/>
        </w:rPr>
        <w:t>κ</w:t>
      </w:r>
      <w:r>
        <w:rPr>
          <w:b w:val="0"/>
          <w:i w:val="0"/>
        </w:rPr>
        <w:t xml:space="preserve">) &gt; </w:t>
      </w:r>
      <w:r>
        <w:rPr>
          <w:b w:val="0"/>
          <w:i/>
        </w:rPr>
        <w:t>δ</w:t>
      </w:r>
      <w:r>
        <w:rPr>
          <w:b w:val="0"/>
          <w:i w:val="0"/>
        </w:rPr>
        <w:t xml:space="preserve">/ln </w:t>
      </w:r>
      <w:r>
        <w:rPr>
          <w:b w:val="0"/>
          <w:i/>
        </w:rPr>
        <w:t>ρ</w:t>
      </w:r>
      <w:r>
        <w:rPr>
          <w:b w:val="0"/>
          <w:i w:val="0"/>
        </w:rPr>
        <w:t xml:space="preserve"> ≥ </w:t>
      </w:r>
      <w:r>
        <w:rPr>
          <w:b w:val="0"/>
          <w:i/>
        </w:rPr>
        <w:t>δ</w:t>
      </w:r>
      <w:r>
        <w:rPr>
          <w:b w:val="0"/>
          <w:i w:val="0"/>
        </w:rPr>
        <w:t>/</w:t>
      </w:r>
      <w:r>
        <w:rPr>
          <w:b w:val="0"/>
          <w:i/>
        </w:rPr>
        <w:t>ε</w:t>
      </w:r>
      <w:r>
        <w:rPr>
          <w:b w:val="0"/>
          <w:i w:val="0"/>
        </w:rPr>
        <w:t xml:space="preserve">. (c) Demand is at most </w:t>
      </w:r>
      <w:r>
        <w:rPr>
          <w:b w:val="0"/>
          <w:i/>
        </w:rPr>
        <w:t>M</w:t>
      </w:r>
      <w:r>
        <w:rPr>
          <w:b w:val="0"/>
          <w:i w:val="0"/>
        </w:rPr>
        <w:t xml:space="preserve"> + </w:t>
      </w:r>
      <w:r>
        <w:rPr>
          <w:b w:val="0"/>
          <w:i/>
        </w:rPr>
        <w:t>ε s</w:t>
      </w:r>
      <w:r>
        <w:rPr>
          <w:b w:val="0"/>
          <w:i w:val="0"/>
        </w:rPr>
        <w:t>/(</w:t>
      </w:r>
      <w:r>
        <w:rPr>
          <w:b w:val="0"/>
          <w:i/>
        </w:rPr>
        <w:t>Bb</w:t>
      </w:r>
      <w:r>
        <w:rPr>
          <w:b w:val="0"/>
          <w:i w:val="0"/>
        </w:rPr>
        <w:t xml:space="preserve">) + </w:t>
      </w:r>
      <w:r>
        <w:rPr>
          <w:b w:val="0"/>
          <w:i/>
        </w:rPr>
        <w:t>C</w:t>
      </w:r>
      <w:r>
        <w:rPr>
          <w:b w:val="0"/>
          <w:i w:val="0"/>
        </w:rPr>
        <w:t>′</w:t>
      </w:r>
      <w:r>
        <w:rPr>
          <w:b w:val="0"/>
          <w:i/>
        </w:rPr>
        <w:t>ε</w:t>
      </w:r>
      <w:r>
        <w:rPr>
          <w:b w:val="0"/>
          <w:i w:val="0"/>
        </w:rPr>
        <w:t xml:space="preserve">² − </w:t>
      </w:r>
      <w:r>
        <w:rPr>
          <w:b w:val="0"/>
          <w:i/>
        </w:rPr>
        <w:t>Z</w:t>
      </w:r>
      <w:r>
        <w:rPr>
          <w:b w:val="0"/>
          <w:i w:val="0"/>
        </w:rPr>
        <w:t>(</w:t>
      </w:r>
      <w:r>
        <w:rPr>
          <w:b w:val="0"/>
          <w:i/>
        </w:rPr>
        <w:t>κ̄</w:t>
      </w:r>
      <w:r>
        <w:rPr>
          <w:b w:val="0"/>
          <w:i w:val="0"/>
        </w:rPr>
        <w:t xml:space="preserve">), where </w:t>
      </w:r>
      <w:r>
        <w:rPr>
          <w:b w:val="0"/>
          <w:i/>
        </w:rPr>
        <w:t>Z</w:t>
      </w:r>
      <w:r>
        <w:rPr>
          <w:b w:val="0"/>
          <w:i w:val="0"/>
        </w:rPr>
        <w:t>(</w:t>
      </w:r>
      <w:r>
        <w:rPr>
          <w:b w:val="0"/>
          <w:i/>
        </w:rPr>
        <w:t>κ̄</w:t>
      </w:r>
      <w:r>
        <w:rPr>
          <w:b w:val="0"/>
          <w:i w:val="0"/>
        </w:rPr>
        <w:t xml:space="preserve">) = E[ln </w:t>
      </w:r>
      <w:r>
        <w:rPr>
          <w:b w:val="0"/>
          <w:i/>
        </w:rPr>
        <w:t>κ</w:t>
      </w:r>
      <w:r>
        <w:rPr>
          <w:b w:val="0"/>
          <w:i w:val="0"/>
        </w:rPr>
        <w:t xml:space="preserve">; </w:t>
      </w:r>
      <w:r>
        <w:rPr>
          <w:b w:val="0"/>
          <w:i/>
        </w:rPr>
        <w:t>κ</w:t>
      </w:r>
      <w:r>
        <w:rPr>
          <w:b w:val="0"/>
          <w:i w:val="0"/>
        </w:rPr>
        <w:t xml:space="preserve"> &gt; </w:t>
      </w:r>
      <w:r>
        <w:rPr>
          <w:b w:val="0"/>
          <w:i/>
        </w:rPr>
        <w:t>κ̄</w:t>
      </w:r>
      <w:r>
        <w:rPr>
          <w:b w:val="0"/>
          <w:i w:val="0"/>
        </w:rPr>
        <w:t>]/(</w:t>
      </w:r>
      <w:r>
        <w:rPr>
          <w:b w:val="0"/>
          <w:i/>
        </w:rPr>
        <w:t>Bb</w:t>
      </w:r>
      <w:r>
        <w:rPr>
          <w:b w:val="0"/>
          <w:i w:val="0"/>
        </w:rPr>
        <w:t xml:space="preserve">) is the excluded tail. Combining, the loss </w:t>
      </w:r>
      <w:r>
        <w:rPr>
          <w:b w:val="0"/>
          <w:i/>
        </w:rPr>
        <w:t>L</w:t>
      </w:r>
      <w:r>
        <w:rPr>
          <w:b w:val="0"/>
          <w:i w:val="0"/>
        </w:rPr>
        <w:t xml:space="preserve"> = </w:t>
      </w:r>
      <w:r>
        <w:rPr>
          <w:b w:val="0"/>
          <w:i/>
        </w:rPr>
        <w:t>PM</w:t>
      </w:r>
      <w:r>
        <w:rPr>
          <w:b w:val="0"/>
          <w:i w:val="0"/>
        </w:rPr>
        <w:t xml:space="preserve"> − </w:t>
      </w:r>
      <w:r>
        <w:rPr>
          <w:b w:val="0"/>
          <w:i/>
        </w:rPr>
        <w:t>π</w:t>
      </w:r>
      <w:r>
        <w:rPr>
          <w:b w:val="0"/>
          <w:i w:val="0"/>
        </w:rPr>
        <w:t xml:space="preserve"> satisfies, for small </w:t>
      </w:r>
      <w:r>
        <w:rPr>
          <w:b w:val="0"/>
          <w:i/>
        </w:rPr>
        <w:t>ε</w:t>
      </w:r>
      <w:r>
        <w:rPr>
          <w:b w:val="0"/>
          <w:i w:val="0"/>
        </w:rPr>
        <w:t xml:space="preserve">, </w:t>
      </w:r>
      <w:r>
        <w:rPr>
          <w:b w:val="0"/>
          <w:i/>
        </w:rPr>
        <w:t>L</w:t>
      </w:r>
      <w:r>
        <w:rPr>
          <w:b w:val="0"/>
          <w:i w:val="0"/>
        </w:rPr>
        <w:t xml:space="preserve"> ≥ </w:t>
      </w:r>
      <w:r>
        <w:rPr>
          <w:b w:val="0"/>
          <w:i/>
        </w:rPr>
        <w:t>C</w:t>
      </w:r>
      <w:r>
        <w:rPr>
          <w:b w:val="0"/>
          <w:i w:val="0"/>
          <w:vertAlign w:val="subscript"/>
        </w:rPr>
        <w:t>*ε*</w:t>
      </w:r>
      <w:r>
        <w:rPr>
          <w:b w:val="0"/>
          <w:i w:val="0"/>
        </w:rPr>
        <w:t xml:space="preserve"> </w:t>
      </w:r>
      <w:r>
        <w:rPr>
          <w:b w:val="0"/>
          <w:i/>
        </w:rPr>
        <w:t>ε</w:t>
      </w:r>
      <w:r>
        <w:rPr>
          <w:b w:val="0"/>
          <w:i w:val="0"/>
        </w:rPr>
        <w:t xml:space="preserve"> + </w:t>
      </w:r>
      <w:r>
        <w:rPr>
          <w:b w:val="0"/>
          <w:i/>
        </w:rPr>
        <w:t>BM δ</w:t>
      </w:r>
      <w:r>
        <w:rPr>
          <w:b w:val="0"/>
          <w:i w:val="0"/>
        </w:rPr>
        <w:t xml:space="preserve"> − </w:t>
      </w:r>
      <w:r>
        <w:rPr>
          <w:b w:val="0"/>
          <w:i/>
        </w:rPr>
        <w:t>C</w:t>
      </w:r>
      <w:r>
        <w:rPr>
          <w:b w:val="0"/>
          <w:i w:val="0"/>
        </w:rPr>
        <w:t>″</w:t>
      </w:r>
      <w:r>
        <w:rPr>
          <w:b w:val="0"/>
          <w:i/>
        </w:rPr>
        <w:t>ε</w:t>
      </w:r>
      <w:r>
        <w:rPr>
          <w:b w:val="0"/>
          <w:i w:val="0"/>
        </w:rPr>
        <w:t>² + (</w:t>
      </w:r>
      <w:r>
        <w:rPr>
          <w:b w:val="0"/>
          <w:i/>
        </w:rPr>
        <w:t>P</w:t>
      </w:r>
      <w:r>
        <w:rPr>
          <w:b w:val="0"/>
          <w:i w:val="0"/>
        </w:rPr>
        <w:t xml:space="preserve">/2) </w:t>
      </w:r>
      <w:r>
        <w:rPr>
          <w:b w:val="0"/>
          <w:i/>
        </w:rPr>
        <w:t>Z</w:t>
      </w:r>
      <w:r>
        <w:rPr>
          <w:b w:val="0"/>
          <w:i w:val="0"/>
        </w:rPr>
        <w:t>(</w:t>
      </w:r>
      <w:r>
        <w:rPr>
          <w:b w:val="0"/>
          <w:i/>
        </w:rPr>
        <w:t>κ̄</w:t>
      </w:r>
      <w:r>
        <w:rPr>
          <w:b w:val="0"/>
          <w:i w:val="0"/>
        </w:rPr>
        <w:t>(</w:t>
      </w:r>
      <w:r>
        <w:rPr>
          <w:b w:val="0"/>
          <w:i/>
        </w:rPr>
        <w:t>δ</w:t>
      </w:r>
      <w:r>
        <w:rPr>
          <w:b w:val="0"/>
          <w:i w:val="0"/>
        </w:rPr>
        <w:t>/</w:t>
      </w:r>
      <w:r>
        <w:rPr>
          <w:b w:val="0"/>
          <w:i/>
        </w:rPr>
        <w:t>ε</w:t>
      </w:r>
      <w:r>
        <w:rPr>
          <w:b w:val="0"/>
          <w:i w:val="0"/>
        </w:rPr>
        <w:t xml:space="preserve">)). Suppose, for contradiction, that there are a constant </w:t>
      </w:r>
      <w:r>
        <w:rPr>
          <w:b w:val="0"/>
          <w:i/>
        </w:rPr>
        <w:t>K</w:t>
      </w:r>
      <w:r>
        <w:rPr>
          <w:b w:val="0"/>
          <w:i w:val="0"/>
        </w:rPr>
        <w:t xml:space="preserve"> and a sequence </w:t>
      </w:r>
      <w:r>
        <w:rPr>
          <w:b w:val="0"/>
          <w:i/>
        </w:rPr>
        <w:t>δ</w:t>
      </w:r>
      <w:r>
        <w:rPr>
          <w:b w:val="0"/>
          <w:i w:val="0"/>
          <w:vertAlign w:val="subscript"/>
        </w:rPr>
        <w:t>n</w:t>
      </w:r>
      <w:r>
        <w:rPr>
          <w:b w:val="0"/>
          <w:i w:val="0"/>
        </w:rPr>
        <w:t xml:space="preserve"> → 0 with </w:t>
      </w:r>
      <w:r>
        <w:rPr>
          <w:b w:val="0"/>
          <w:i/>
        </w:rPr>
        <w:t>L</w:t>
      </w:r>
      <w:r>
        <w:rPr>
          <w:b w:val="0"/>
          <w:i w:val="0"/>
        </w:rPr>
        <w:t xml:space="preserve"> ≤ </w:t>
      </w:r>
      <w:r>
        <w:rPr>
          <w:b w:val="0"/>
          <w:i/>
        </w:rPr>
        <w:t>Kδ</w:t>
      </w:r>
      <w:r>
        <w:rPr>
          <w:b w:val="0"/>
          <w:i w:val="0"/>
          <w:vertAlign w:val="subscript"/>
        </w:rPr>
        <w:t>n</w:t>
      </w:r>
      <w:r>
        <w:rPr>
          <w:b w:val="0"/>
          <w:i w:val="0"/>
        </w:rPr>
        <w:t xml:space="preserve"> at the optimal choice of </w:t>
      </w:r>
      <w:r>
        <w:rPr>
          <w:b w:val="0"/>
          <w:i/>
        </w:rPr>
        <w:t>ε</w:t>
      </w:r>
      <w:r>
        <w:rPr>
          <w:b w:val="0"/>
          <w:i w:val="0"/>
          <w:vertAlign w:val="subscript"/>
        </w:rPr>
        <w:t>n</w:t>
      </w:r>
      <w:r>
        <w:rPr>
          <w:b w:val="0"/>
          <w:i w:val="0"/>
        </w:rPr>
        <w:t xml:space="preserve">. If </w:t>
      </w:r>
      <w:r>
        <w:rPr>
          <w:b w:val="0"/>
          <w:i/>
        </w:rPr>
        <w:t>ε</w:t>
      </w:r>
      <w:r>
        <w:rPr>
          <w:b w:val="0"/>
          <w:i w:val="0"/>
          <w:vertAlign w:val="subscript"/>
        </w:rPr>
        <w:t>n</w:t>
      </w:r>
      <w:r>
        <w:rPr>
          <w:b w:val="0"/>
          <w:i w:val="0"/>
        </w:rPr>
        <w:t xml:space="preserve"> stays above a fixed </w:t>
      </w:r>
      <w:r>
        <w:rPr>
          <w:b w:val="0"/>
          <w:i/>
        </w:rPr>
        <w:t>ε</w:t>
      </w:r>
      <w:r>
        <w:rPr>
          <w:b w:val="0"/>
          <w:i w:val="0"/>
          <w:vertAlign w:val="subscript"/>
        </w:rPr>
        <w:t>0</w:t>
      </w:r>
      <w:r>
        <w:rPr>
          <w:b w:val="0"/>
          <w:i w:val="0"/>
        </w:rPr>
        <w:t xml:space="preserve">, </w:t>
      </w:r>
      <w:r>
        <w:rPr>
          <w:b w:val="0"/>
          <w:i/>
        </w:rPr>
        <w:t>L</w:t>
      </w:r>
      <w:r>
        <w:rPr>
          <w:b w:val="0"/>
          <w:i w:val="0"/>
        </w:rPr>
        <w:t xml:space="preserve"> is bounded below by a positive constant, a contradiction. If </w:t>
      </w:r>
      <w:r>
        <w:rPr>
          <w:b w:val="0"/>
          <w:i/>
        </w:rPr>
        <w:t>ε</w:t>
      </w:r>
      <w:r>
        <w:rPr>
          <w:b w:val="0"/>
          <w:i w:val="0"/>
          <w:vertAlign w:val="subscript"/>
        </w:rPr>
        <w:t>n</w:t>
      </w:r>
      <w:r>
        <w:rPr>
          <w:b w:val="0"/>
          <w:i w:val="0"/>
        </w:rPr>
        <w:t xml:space="preserve"> → 0, the first and third terms give </w:t>
      </w:r>
      <w:r>
        <w:rPr>
          <w:b w:val="0"/>
          <w:i/>
        </w:rPr>
        <w:t>ε</w:t>
      </w:r>
      <w:r>
        <w:rPr>
          <w:b w:val="0"/>
          <w:i w:val="0"/>
          <w:vertAlign w:val="subscript"/>
        </w:rPr>
        <w:t>n</w:t>
      </w:r>
      <w:r>
        <w:rPr>
          <w:b w:val="0"/>
          <w:i w:val="0"/>
        </w:rPr>
        <w:t xml:space="preserve"> ≤ 2</w:t>
      </w:r>
      <w:r>
        <w:rPr>
          <w:b w:val="0"/>
          <w:i/>
        </w:rPr>
        <w:t>Kδ</w:t>
      </w:r>
      <w:r>
        <w:rPr>
          <w:b w:val="0"/>
          <w:i w:val="0"/>
          <w:vertAlign w:val="subscript"/>
        </w:rPr>
        <w:t>n</w:t>
      </w:r>
      <w:r>
        <w:rPr>
          <w:b w:val="0"/>
          <w:i w:val="0"/>
        </w:rPr>
        <w:t>/</w:t>
      </w:r>
      <w:r>
        <w:rPr>
          <w:b w:val="0"/>
          <w:i/>
        </w:rPr>
        <w:t>C</w:t>
      </w:r>
      <w:r>
        <w:rPr>
          <w:b w:val="0"/>
          <w:i w:val="0"/>
          <w:vertAlign w:val="subscript"/>
        </w:rPr>
        <w:t>*ε*</w:t>
      </w:r>
      <w:r>
        <w:rPr>
          <w:b w:val="0"/>
          <w:i w:val="0"/>
        </w:rPr>
        <w:t xml:space="preserve"> for large </w:t>
      </w:r>
      <w:r>
        <w:rPr>
          <w:b w:val="0"/>
          <w:i/>
        </w:rPr>
        <w:t>n</w:t>
      </w:r>
      <w:r>
        <w:rPr>
          <w:b w:val="0"/>
          <w:i w:val="0"/>
        </w:rPr>
        <w:t xml:space="preserve">, so </w:t>
      </w:r>
      <w:r>
        <w:rPr>
          <w:b w:val="0"/>
          <w:i/>
        </w:rPr>
        <w:t>δ</w:t>
      </w:r>
      <w:r>
        <w:rPr>
          <w:b w:val="0"/>
          <w:i w:val="0"/>
          <w:vertAlign w:val="subscript"/>
        </w:rPr>
        <w:t>n</w:t>
      </w:r>
      <w:r>
        <w:rPr>
          <w:b w:val="0"/>
          <w:i w:val="0"/>
        </w:rPr>
        <w:t>/</w:t>
      </w:r>
      <w:r>
        <w:rPr>
          <w:b w:val="0"/>
          <w:i/>
        </w:rPr>
        <w:t>ε</w:t>
      </w:r>
      <w:r>
        <w:rPr>
          <w:b w:val="0"/>
          <w:i w:val="0"/>
          <w:vertAlign w:val="subscript"/>
        </w:rPr>
        <w:t>n</w:t>
      </w:r>
      <w:r>
        <w:rPr>
          <w:b w:val="0"/>
          <w:i w:val="0"/>
        </w:rPr>
        <w:t xml:space="preserve"> ≥ </w:t>
      </w:r>
      <w:r>
        <w:rPr>
          <w:b w:val="0"/>
          <w:i/>
        </w:rPr>
        <w:t>r</w:t>
      </w:r>
      <w:r>
        <w:rPr>
          <w:b w:val="0"/>
          <w:i w:val="0"/>
          <w:vertAlign w:val="subscript"/>
        </w:rPr>
        <w:t>0</w:t>
      </w:r>
      <w:r>
        <w:rPr>
          <w:b w:val="0"/>
          <w:i w:val="0"/>
        </w:rPr>
        <w:t xml:space="preserve"> = </w:t>
      </w:r>
      <w:r>
        <w:rPr>
          <w:b w:val="0"/>
          <w:i/>
        </w:rPr>
        <w:t>C</w:t>
      </w:r>
      <w:r>
        <w:rPr>
          <w:b w:val="0"/>
          <w:i w:val="0"/>
          <w:vertAlign w:val="subscript"/>
        </w:rPr>
        <w:t>*ε*</w:t>
      </w:r>
      <w:r>
        <w:rPr>
          <w:b w:val="0"/>
          <w:i w:val="0"/>
        </w:rPr>
        <w:t>/(2</w:t>
      </w:r>
      <w:r>
        <w:rPr>
          <w:b w:val="0"/>
          <w:i/>
        </w:rPr>
        <w:t>K</w:t>
      </w:r>
      <w:r>
        <w:rPr>
          <w:b w:val="0"/>
          <w:i w:val="0"/>
        </w:rPr>
        <w:t xml:space="preserve">) &gt; 0. Then </w:t>
      </w:r>
      <w:r>
        <w:rPr>
          <w:b w:val="0"/>
          <w:i/>
        </w:rPr>
        <w:t>κ̄</w:t>
      </w:r>
      <w:r>
        <w:rPr>
          <w:b w:val="0"/>
          <w:i w:val="0"/>
        </w:rPr>
        <w:t xml:space="preserve"> ≤ </w:t>
      </w:r>
      <w:r>
        <w:rPr>
          <w:b w:val="0"/>
          <w:i/>
        </w:rPr>
        <w:t>g</w:t>
      </w:r>
      <w:r>
        <w:rPr>
          <w:b w:val="0"/>
          <w:i w:val="0"/>
          <w:vertAlign w:val="superscript"/>
        </w:rPr>
        <w:t>−1</w:t>
      </w:r>
      <w:r>
        <w:rPr>
          <w:b w:val="0"/>
          <w:i w:val="0"/>
        </w:rPr>
        <w:t>(</w:t>
      </w:r>
      <w:r>
        <w:rPr>
          <w:b w:val="0"/>
          <w:i/>
        </w:rPr>
        <w:t>r</w:t>
      </w:r>
      <w:r>
        <w:rPr>
          <w:b w:val="0"/>
          <w:i w:val="0"/>
          <w:vertAlign w:val="subscript"/>
        </w:rPr>
        <w:t>0</w:t>
      </w:r>
      <w:r>
        <w:rPr>
          <w:b w:val="0"/>
          <w:i w:val="0"/>
        </w:rPr>
        <w:t xml:space="preserve">) &lt; ∞ and </w:t>
      </w:r>
      <w:r>
        <w:rPr>
          <w:b w:val="0"/>
          <w:i/>
        </w:rPr>
        <w:t>Z</w:t>
      </w:r>
      <w:r>
        <w:rPr>
          <w:b w:val="0"/>
          <w:i w:val="0"/>
        </w:rPr>
        <w:t>(</w:t>
      </w:r>
      <w:r>
        <w:rPr>
          <w:b w:val="0"/>
          <w:i/>
        </w:rPr>
        <w:t>κ̄</w:t>
      </w:r>
      <w:r>
        <w:rPr>
          <w:b w:val="0"/>
          <w:i w:val="0"/>
        </w:rPr>
        <w:t xml:space="preserve">) ≥ </w:t>
      </w:r>
      <w:r>
        <w:rPr>
          <w:b w:val="0"/>
          <w:i/>
        </w:rPr>
        <w:t>Z</w:t>
      </w:r>
      <w:r>
        <w:rPr>
          <w:b w:val="0"/>
          <w:i w:val="0"/>
        </w:rPr>
        <w:t>(</w:t>
      </w:r>
      <w:r>
        <w:rPr>
          <w:b w:val="0"/>
          <w:i/>
        </w:rPr>
        <w:t>g</w:t>
      </w:r>
      <w:r>
        <w:rPr>
          <w:b w:val="0"/>
          <w:i w:val="0"/>
          <w:vertAlign w:val="superscript"/>
        </w:rPr>
        <w:t>−1</w:t>
      </w:r>
      <w:r>
        <w:rPr>
          <w:b w:val="0"/>
          <w:i w:val="0"/>
        </w:rPr>
        <w:t>(</w:t>
      </w:r>
      <w:r>
        <w:rPr>
          <w:b w:val="0"/>
          <w:i/>
        </w:rPr>
        <w:t>r</w:t>
      </w:r>
      <w:r>
        <w:rPr>
          <w:b w:val="0"/>
          <w:i w:val="0"/>
          <w:vertAlign w:val="subscript"/>
        </w:rPr>
        <w:t>0</w:t>
      </w:r>
      <w:r>
        <w:rPr>
          <w:b w:val="0"/>
          <w:i w:val="0"/>
        </w:rPr>
        <w:t xml:space="preserve">)) &gt; 0, so </w:t>
      </w:r>
      <w:r>
        <w:rPr>
          <w:b w:val="0"/>
          <w:i/>
        </w:rPr>
        <w:t>L</w:t>
      </w:r>
      <w:r>
        <w:rPr>
          <w:b w:val="0"/>
          <w:i w:val="0"/>
        </w:rPr>
        <w:t xml:space="preserve"> is bounded below by a positive constant, again a contradiction with </w:t>
      </w:r>
      <w:r>
        <w:rPr>
          <w:b w:val="0"/>
          <w:i/>
        </w:rPr>
        <w:t>L</w:t>
      </w:r>
      <w:r>
        <w:rPr>
          <w:b w:val="0"/>
          <w:i w:val="0"/>
        </w:rPr>
        <w:t xml:space="preserve"> ≤ </w:t>
      </w:r>
      <w:r>
        <w:rPr>
          <w:b w:val="0"/>
          <w:i/>
        </w:rPr>
        <w:t>Kδ</w:t>
      </w:r>
      <w:r>
        <w:rPr>
          <w:b w:val="0"/>
          <w:i w:val="0"/>
          <w:vertAlign w:val="subscript"/>
        </w:rPr>
        <w:t>n</w:t>
      </w:r>
      <w:r>
        <w:rPr>
          <w:b w:val="0"/>
          <w:i w:val="0"/>
        </w:rPr>
        <w:t xml:space="preserve"> → 0. Hence (Π</w:t>
      </w:r>
      <w:r>
        <w:rPr>
          <w:b w:val="0"/>
          <w:i w:val="0"/>
          <w:vertAlign w:val="superscript"/>
        </w:rPr>
        <w:t>*</w:t>
      </w:r>
      <w:r>
        <w:rPr>
          <w:b w:val="0"/>
          <w:i w:val="0"/>
        </w:rPr>
        <w:t>(1) − Π</w:t>
      </w:r>
      <w:r>
        <w:rPr>
          <w:b w:val="0"/>
          <w:i w:val="0"/>
          <w:vertAlign w:val="superscript"/>
        </w:rPr>
        <w:t>*</w:t>
      </w:r>
      <w:r>
        <w:rPr>
          <w:b w:val="0"/>
          <w:i w:val="0"/>
        </w:rPr>
        <w:t xml:space="preserve">(1 − </w:t>
      </w:r>
      <w:r>
        <w:rPr>
          <w:b w:val="0"/>
          <w:i/>
        </w:rPr>
        <w:t>δ</w:t>
      </w:r>
      <w:r>
        <w:rPr>
          <w:b w:val="0"/>
          <w:i w:val="0"/>
        </w:rPr>
        <w:t>))/</w:t>
      </w:r>
      <w:r>
        <w:rPr>
          <w:b w:val="0"/>
          <w:i/>
        </w:rPr>
        <w:t>δ</w:t>
      </w:r>
      <w:r>
        <w:rPr>
          <w:b w:val="0"/>
          <w:i w:val="0"/>
        </w:rPr>
        <w:t xml:space="preserve"> → ∞. ∎</w:t>
      </w:r>
    </w:p>
    <w:p>
      <w:pPr>
        <w:spacing w:after="0" w:before="0"/>
        <w:ind w:firstLine="720"/>
      </w:pPr>
      <w:r>
        <w:rPr>
          <w:b w:val="0"/>
          <w:i/>
        </w:rPr>
        <w:t>Caveats.</w:t>
      </w:r>
      <w:r>
        <w:rPr>
          <w:b w:val="0"/>
          <w:i w:val="0"/>
        </w:rPr>
        <w:t xml:space="preserve"> The argument shows the logical structure fully but does not trace the uniformity of the constants </w:t>
      </w:r>
      <w:r>
        <w:rPr>
          <w:b w:val="0"/>
          <w:i/>
        </w:rPr>
        <w:t>C</w:t>
      </w:r>
      <w:r>
        <w:rPr>
          <w:b w:val="0"/>
          <w:i w:val="0"/>
        </w:rPr>
        <w:t xml:space="preserve">′ and </w:t>
      </w:r>
      <w:r>
        <w:rPr>
          <w:b w:val="0"/>
          <w:i/>
        </w:rPr>
        <w:t>C</w:t>
      </w:r>
      <w:r>
        <w:rPr>
          <w:b w:val="0"/>
          <w:i w:val="0"/>
        </w:rPr>
        <w:t xml:space="preserve">″ in the </w:t>
      </w:r>
      <w:r>
        <w:rPr>
          <w:b w:val="0"/>
          <w:i/>
        </w:rPr>
        <w:t>O</w:t>
      </w:r>
      <w:r>
        <w:rPr>
          <w:b w:val="0"/>
          <w:i w:val="0"/>
        </w:rPr>
        <w:t>(</w:t>
      </w:r>
      <w:r>
        <w:rPr>
          <w:b w:val="0"/>
          <w:i/>
        </w:rPr>
        <w:t>ε</w:t>
      </w:r>
      <w:r>
        <w:rPr>
          <w:b w:val="0"/>
          <w:i w:val="0"/>
        </w:rPr>
        <w:t xml:space="preserve">²) terms. It also covers only the lognormal case. </w:t>
      </w:r>
      <w:r>
        <w:rPr>
          <w:b w:val="0"/>
          <w:i/>
        </w:rPr>
        <w:t>Rate.</w:t>
      </w:r>
      <w:r>
        <w:rPr>
          <w:b w:val="0"/>
          <w:i w:val="0"/>
        </w:rPr>
        <w:t xml:space="preserve"> An approximation of the optimal discount gives ln(1/</w:t>
      </w:r>
      <w:r>
        <w:rPr>
          <w:b w:val="0"/>
          <w:i/>
        </w:rPr>
        <w:t>r</w:t>
      </w:r>
      <w:r>
        <w:rPr>
          <w:b w:val="0"/>
          <w:i w:val="0"/>
        </w:rPr>
        <w:t>(</w:t>
      </w:r>
      <w:r>
        <w:rPr>
          <w:b w:val="0"/>
          <w:i/>
        </w:rPr>
        <w:t>δ</w:t>
      </w:r>
      <w:r>
        <w:rPr>
          <w:b w:val="0"/>
          <w:i w:val="0"/>
        </w:rPr>
        <w:t xml:space="preserve">)) ≈ </w:t>
      </w:r>
      <w:r>
        <w:rPr>
          <w:b w:val="0"/>
          <w:i/>
        </w:rPr>
        <w:t>σ</w:t>
      </w:r>
      <w:r>
        <w:rPr>
          <w:b w:val="0"/>
          <w:i w:val="0"/>
        </w:rPr>
        <w:t>√(2 ln(1/</w:t>
      </w:r>
      <w:r>
        <w:rPr>
          <w:b w:val="0"/>
          <w:i/>
        </w:rPr>
        <w:t>δ</w:t>
      </w:r>
      <w:r>
        <w:rPr>
          <w:b w:val="0"/>
          <w:i w:val="0"/>
        </w:rPr>
        <w:t xml:space="preserve">)), so that the left slope grows like </w:t>
      </w:r>
      <w:r>
        <w:rPr>
          <w:b w:val="0"/>
          <w:i/>
        </w:rPr>
        <w:t>BM</w:t>
      </w:r>
      <w:r>
        <w:rPr>
          <w:b w:val="0"/>
          <w:i w:val="0"/>
        </w:rPr>
        <w:t xml:space="preserve"> + </w:t>
      </w:r>
      <w:r>
        <w:rPr>
          <w:b w:val="0"/>
          <w:i/>
        </w:rPr>
        <w:t>C</w:t>
      </w:r>
      <w:r>
        <w:rPr>
          <w:b w:val="0"/>
          <w:i w:val="0"/>
          <w:vertAlign w:val="subscript"/>
        </w:rPr>
        <w:t>*ε*</w:t>
      </w:r>
      <w:r>
        <w:rPr>
          <w:b w:val="0"/>
          <w:i w:val="0"/>
        </w:rPr>
        <w:t>/</w:t>
      </w:r>
      <w:r>
        <w:rPr>
          <w:b w:val="0"/>
          <w:i/>
        </w:rPr>
        <w:t>r</w:t>
      </w:r>
      <w:r>
        <w:rPr>
          <w:b w:val="0"/>
          <w:i w:val="0"/>
        </w:rPr>
        <w:t>(</w:t>
      </w:r>
      <w:r>
        <w:rPr>
          <w:b w:val="0"/>
          <w:i/>
        </w:rPr>
        <w:t>δ</w:t>
      </w:r>
      <w:r>
        <w:rPr>
          <w:b w:val="0"/>
          <w:i w:val="0"/>
        </w:rPr>
        <w:t>), which is slower than any power of 1/</w:t>
      </w:r>
      <w:r>
        <w:rPr>
          <w:b w:val="0"/>
          <w:i/>
        </w:rPr>
        <w:t>δ</w:t>
      </w:r>
      <w:r>
        <w:rPr>
          <w:b w:val="0"/>
          <w:i w:val="0"/>
        </w:rPr>
        <w:t xml:space="preserve"> and faster than any power of the logarithm. At the illustrative parameters the loss divided by </w:t>
      </w:r>
      <w:r>
        <w:rPr>
          <w:b w:val="0"/>
          <w:i/>
        </w:rPr>
        <w:t>δ</w:t>
      </w:r>
      <w:r>
        <w:rPr>
          <w:b w:val="0"/>
          <w:i w:val="0"/>
        </w:rPr>
        <w:t xml:space="preserve"> is 47, 74, 94, 113, 139, 160, 183, 274, and 393 at </w:t>
      </w:r>
      <w:r>
        <w:rPr>
          <w:b w:val="0"/>
          <w:i/>
        </w:rPr>
        <w:t>δ</w:t>
      </w:r>
      <w:r>
        <w:rPr>
          <w:b w:val="0"/>
          <w:i w:val="0"/>
        </w:rPr>
        <w:t xml:space="preserve"> = 0.1, 0.04, 0.02, 0.01, 0.004, 0.002, 0.001, 10</w:t>
      </w:r>
      <w:r>
        <w:rPr>
          <w:b w:val="0"/>
          <w:i w:val="0"/>
          <w:vertAlign w:val="superscript"/>
        </w:rPr>
        <w:t>−4</w:t>
      </w:r>
      <w:r>
        <w:rPr>
          <w:b w:val="0"/>
          <w:i w:val="0"/>
        </w:rPr>
        <w:t>, and 10</w:t>
      </w:r>
      <w:r>
        <w:rPr>
          <w:b w:val="0"/>
          <w:i w:val="0"/>
          <w:vertAlign w:val="superscript"/>
        </w:rPr>
        <w:t>−5</w:t>
      </w:r>
      <w:r>
        <w:rPr>
          <w:b w:val="0"/>
          <w:i w:val="0"/>
        </w:rPr>
        <w:t xml:space="preserve">. The approximation overstates these numbers by about a factor of two at the smallest </w:t>
      </w:r>
      <w:r>
        <w:rPr>
          <w:b w:val="0"/>
          <w:i/>
        </w:rPr>
        <w:t>δ</w:t>
      </w:r>
      <w:r>
        <w:rPr>
          <w:b w:val="0"/>
          <w:i w:val="0"/>
        </w:rPr>
        <w:t xml:space="preserve"> (991 versus 393) and should be used only for the qualitative form.</w:t>
      </w:r>
    </w:p>
    <w:p>
      <w:pPr>
        <w:keepNext/>
        <w:spacing w:line="276" w:lineRule="auto" w:after="80" w:before="160"/>
      </w:pPr>
      <w:r>
        <w:rPr>
          <w:b/>
          <w:i/>
        </w:rPr>
        <w:t>A.6 Proposition 8 (bunching)</w:t>
      </w:r>
    </w:p>
    <w:p>
      <w:pPr>
        <w:spacing w:after="0" w:before="0"/>
        <w:ind w:firstLine="720"/>
      </w:pPr>
      <w:r>
        <w:rPr>
          <w:b w:val="0"/>
          <w:i/>
        </w:rPr>
        <w:t>Local maximum at parity.</w:t>
      </w:r>
      <w:r>
        <w:rPr>
          <w:b w:val="0"/>
          <w:i w:val="0"/>
        </w:rPr>
        <w:t xml:space="preserve"> Let </w:t>
      </w:r>
      <w:r>
        <w:rPr>
          <w:b w:val="0"/>
          <w:i/>
        </w:rPr>
        <w:t>ψ</w:t>
      </w:r>
      <w:r>
        <w:rPr>
          <w:b w:val="0"/>
          <w:i w:val="0"/>
        </w:rPr>
        <w:t>(</w:t>
      </w:r>
      <w:r>
        <w:rPr>
          <w:b w:val="0"/>
          <w:i/>
        </w:rPr>
        <w:t>A</w:t>
      </w:r>
      <w:r>
        <w:rPr>
          <w:b w:val="0"/>
          <w:i w:val="0"/>
        </w:rPr>
        <w:t>) = Π</w:t>
      </w:r>
      <w:r>
        <w:rPr>
          <w:b w:val="0"/>
          <w:i w:val="0"/>
          <w:vertAlign w:val="superscript"/>
        </w:rPr>
        <w:t>*</w:t>
      </w:r>
      <w:r>
        <w:rPr>
          <w:b w:val="0"/>
          <w:i w:val="0"/>
        </w:rPr>
        <w:t>(</w:t>
      </w:r>
      <w:r>
        <w:rPr>
          <w:b w:val="0"/>
          <w:i/>
        </w:rPr>
        <w:t>A</w:t>
      </w:r>
      <w:r>
        <w:rPr>
          <w:b w:val="0"/>
          <w:i w:val="0"/>
        </w:rPr>
        <w:t>)/</w:t>
      </w:r>
      <w:r>
        <w:rPr>
          <w:b w:val="0"/>
          <w:i/>
        </w:rPr>
        <w:t>c</w:t>
      </w:r>
      <w:r>
        <w:rPr>
          <w:b w:val="0"/>
          <w:i w:val="0"/>
        </w:rPr>
        <w:t>(</w:t>
      </w:r>
      <w:r>
        <w:rPr>
          <w:b w:val="0"/>
          <w:i/>
        </w:rPr>
        <w:t>A</w:t>
      </w:r>
      <w:r>
        <w:rPr>
          <w:b w:val="0"/>
          <w:i w:val="0"/>
        </w:rPr>
        <w:t xml:space="preserve">) with </w:t>
      </w:r>
      <w:r>
        <w:rPr>
          <w:b w:val="0"/>
          <w:i/>
        </w:rPr>
        <w:t>c</w:t>
      </w:r>
      <w:r>
        <w:rPr>
          <w:b w:val="0"/>
          <w:i w:val="0"/>
        </w:rPr>
        <w:t>(</w:t>
      </w:r>
      <w:r>
        <w:rPr>
          <w:b w:val="0"/>
          <w:i/>
        </w:rPr>
        <w:t>A</w:t>
      </w:r>
      <w:r>
        <w:rPr>
          <w:b w:val="0"/>
          <w:i w:val="0"/>
        </w:rPr>
        <w:t>) = (</w:t>
      </w:r>
      <w:r>
        <w:rPr>
          <w:b w:val="0"/>
          <w:i/>
        </w:rPr>
        <w:t>A</w:t>
      </w:r>
      <w:r>
        <w:rPr>
          <w:b w:val="0"/>
          <w:i w:val="0"/>
        </w:rPr>
        <w:t xml:space="preserve"> − </w:t>
      </w:r>
      <w:r>
        <w:rPr>
          <w:b w:val="0"/>
          <w:i/>
        </w:rPr>
        <w:t>A</w:t>
      </w:r>
      <w:r>
        <w:rPr>
          <w:b w:val="0"/>
          <w:i w:val="0"/>
          <w:vertAlign w:val="subscript"/>
        </w:rPr>
        <w:t>0</w:t>
      </w:r>
      <w:r>
        <w:rPr>
          <w:b w:val="0"/>
          <w:i w:val="0"/>
        </w:rPr>
        <w:t xml:space="preserve">)²/2. The sign of </w:t>
      </w:r>
      <w:r>
        <w:rPr>
          <w:b w:val="0"/>
          <w:i/>
        </w:rPr>
        <w:t>ψ</w:t>
      </w:r>
      <w:r>
        <w:rPr>
          <w:b w:val="0"/>
          <w:i w:val="0"/>
        </w:rPr>
        <w:t>′ equals the sign of Π</w:t>
      </w:r>
      <w:r>
        <w:rPr>
          <w:b w:val="0"/>
          <w:i w:val="0"/>
          <w:vertAlign w:val="superscript"/>
        </w:rPr>
        <w:t>*</w:t>
      </w:r>
      <w:r>
        <w:rPr>
          <w:b w:val="0"/>
          <w:i w:val="0"/>
        </w:rPr>
        <w:t>′(</w:t>
      </w:r>
      <w:r>
        <w:rPr>
          <w:b w:val="0"/>
          <w:i/>
        </w:rPr>
        <w:t>A</w:t>
      </w:r>
      <w:r>
        <w:rPr>
          <w:b w:val="0"/>
          <w:i w:val="0"/>
        </w:rPr>
        <w:t>)(</w:t>
      </w:r>
      <w:r>
        <w:rPr>
          <w:b w:val="0"/>
          <w:i/>
        </w:rPr>
        <w:t>A</w:t>
      </w:r>
      <w:r>
        <w:rPr>
          <w:b w:val="0"/>
          <w:i w:val="0"/>
        </w:rPr>
        <w:t xml:space="preserve"> − </w:t>
      </w:r>
      <w:r>
        <w:rPr>
          <w:b w:val="0"/>
          <w:i/>
        </w:rPr>
        <w:t>A</w:t>
      </w:r>
      <w:r>
        <w:rPr>
          <w:b w:val="0"/>
          <w:i w:val="0"/>
          <w:vertAlign w:val="subscript"/>
        </w:rPr>
        <w:t>0</w:t>
      </w:r>
      <w:r>
        <w:rPr>
          <w:b w:val="0"/>
          <w:i w:val="0"/>
        </w:rPr>
        <w:t>)/2 − Π</w:t>
      </w:r>
      <w:r>
        <w:rPr>
          <w:b w:val="0"/>
          <w:i w:val="0"/>
          <w:vertAlign w:val="superscript"/>
        </w:rPr>
        <w:t>*</w:t>
      </w:r>
      <w:r>
        <w:rPr>
          <w:b w:val="0"/>
          <w:i w:val="0"/>
        </w:rPr>
        <w:t>(</w:t>
      </w:r>
      <w:r>
        <w:rPr>
          <w:b w:val="0"/>
          <w:i/>
        </w:rPr>
        <w:t>A</w:t>
      </w:r>
      <w:r>
        <w:rPr>
          <w:b w:val="0"/>
          <w:i w:val="0"/>
        </w:rPr>
        <w:t xml:space="preserve">). As </w:t>
      </w:r>
      <w:r>
        <w:rPr>
          <w:b w:val="0"/>
          <w:i/>
        </w:rPr>
        <w:t>A</w:t>
      </w:r>
      <w:r>
        <w:rPr>
          <w:b w:val="0"/>
          <w:i w:val="0"/>
        </w:rPr>
        <w:t xml:space="preserve"> ↑ 1, Π</w:t>
      </w:r>
      <w:r>
        <w:rPr>
          <w:b w:val="0"/>
          <w:i w:val="0"/>
          <w:vertAlign w:val="superscript"/>
        </w:rPr>
        <w:t>*</w:t>
      </w:r>
      <w:r>
        <w:rPr>
          <w:b w:val="0"/>
          <w:i w:val="0"/>
        </w:rPr>
        <w:t xml:space="preserve">′ → ∞ by Proposition 7(iii), so </w:t>
      </w:r>
      <w:r>
        <w:rPr>
          <w:b w:val="0"/>
          <w:i/>
        </w:rPr>
        <w:t>ψ</w:t>
      </w:r>
      <w:r>
        <w:rPr>
          <w:b w:val="0"/>
          <w:i w:val="0"/>
        </w:rPr>
        <w:t xml:space="preserve">′ &gt; 0 just below 1. As </w:t>
      </w:r>
      <w:r>
        <w:rPr>
          <w:b w:val="0"/>
          <w:i/>
        </w:rPr>
        <w:t>A</w:t>
      </w:r>
      <w:r>
        <w:rPr>
          <w:b w:val="0"/>
          <w:i w:val="0"/>
        </w:rPr>
        <w:t xml:space="preserve"> ↓ 1, Π</w:t>
      </w:r>
      <w:r>
        <w:rPr>
          <w:b w:val="0"/>
          <w:i w:val="0"/>
          <w:vertAlign w:val="superscript"/>
        </w:rPr>
        <w:t>*</w:t>
      </w:r>
      <w:r>
        <w:rPr>
          <w:b w:val="0"/>
          <w:i w:val="0"/>
        </w:rPr>
        <w:t xml:space="preserve">′ → </w:t>
      </w:r>
      <w:r>
        <w:rPr>
          <w:b w:val="0"/>
          <w:i/>
        </w:rPr>
        <w:t>BM</w:t>
      </w:r>
      <w:r>
        <w:rPr>
          <w:b w:val="0"/>
          <w:i w:val="0"/>
        </w:rPr>
        <w:t xml:space="preserve">, and </w:t>
      </w:r>
      <w:r>
        <w:rPr>
          <w:b w:val="0"/>
          <w:i/>
        </w:rPr>
        <w:t>BM</w:t>
      </w:r>
      <w:r>
        <w:rPr>
          <w:b w:val="0"/>
          <w:i w:val="0"/>
        </w:rPr>
        <w:t xml:space="preserve">(1 − </w:t>
      </w:r>
      <w:r>
        <w:rPr>
          <w:b w:val="0"/>
          <w:i/>
        </w:rPr>
        <w:t>A</w:t>
      </w:r>
      <w:r>
        <w:rPr>
          <w:b w:val="0"/>
          <w:i w:val="0"/>
          <w:vertAlign w:val="subscript"/>
        </w:rPr>
        <w:t>0</w:t>
      </w:r>
      <w:r>
        <w:rPr>
          <w:b w:val="0"/>
          <w:i w:val="0"/>
        </w:rPr>
        <w:t xml:space="preserve">)/2 − </w:t>
      </w:r>
      <w:r>
        <w:rPr>
          <w:b w:val="0"/>
          <w:i/>
        </w:rPr>
        <w:t>PM</w:t>
      </w:r>
      <w:r>
        <w:rPr>
          <w:b w:val="0"/>
          <w:i w:val="0"/>
        </w:rPr>
        <w:t xml:space="preserve"> &lt; 0 is equivalent to </w:t>
      </w:r>
      <w:r>
        <w:rPr>
          <w:b w:val="0"/>
          <w:i/>
        </w:rPr>
        <w:t>B</w:t>
      </w:r>
      <w:r>
        <w:rPr>
          <w:b w:val="0"/>
          <w:i w:val="0"/>
        </w:rPr>
        <w:t xml:space="preserve">(1 − </w:t>
      </w:r>
      <w:r>
        <w:rPr>
          <w:b w:val="0"/>
          <w:i/>
        </w:rPr>
        <w:t>A</w:t>
      </w:r>
      <w:r>
        <w:rPr>
          <w:b w:val="0"/>
          <w:i w:val="0"/>
          <w:vertAlign w:val="subscript"/>
        </w:rPr>
        <w:t>0</w:t>
      </w:r>
      <w:r>
        <w:rPr>
          <w:b w:val="0"/>
          <w:i w:val="0"/>
        </w:rPr>
        <w:t>) &lt; 2</w:t>
      </w:r>
      <w:r>
        <w:rPr>
          <w:b w:val="0"/>
          <w:i/>
        </w:rPr>
        <w:t>P</w:t>
      </w:r>
      <w:r>
        <w:rPr>
          <w:b w:val="0"/>
          <w:i w:val="0"/>
        </w:rPr>
        <w:t xml:space="preserve"> = 2(</w:t>
      </w:r>
      <w:r>
        <w:rPr>
          <w:b w:val="0"/>
          <w:i/>
        </w:rPr>
        <w:t>B</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 xml:space="preserve">), that is, </w:t>
      </w:r>
      <w:r>
        <w:rPr>
          <w:b w:val="0"/>
          <w:i/>
        </w:rPr>
        <w:t>B</w:t>
      </w:r>
      <w:r>
        <w:rPr>
          <w:b w:val="0"/>
          <w:i w:val="0"/>
        </w:rPr>
        <w:t xml:space="preserve">(1 + </w:t>
      </w:r>
      <w:r>
        <w:rPr>
          <w:b w:val="0"/>
          <w:i/>
        </w:rPr>
        <w:t>A</w:t>
      </w:r>
      <w:r>
        <w:rPr>
          <w:b w:val="0"/>
          <w:i w:val="0"/>
          <w:vertAlign w:val="subscript"/>
        </w:rPr>
        <w:t>0</w:t>
      </w:r>
      <w:r>
        <w:rPr>
          <w:b w:val="0"/>
          <w:i w:val="0"/>
        </w:rPr>
        <w:t>) &gt; 2(</w:t>
      </w:r>
      <w:r>
        <w:rPr>
          <w:b w:val="0"/>
          <w:i/>
        </w:rPr>
        <w:t>c</w:t>
      </w:r>
      <w:r>
        <w:rPr>
          <w:b w:val="0"/>
          <w:i w:val="0"/>
          <w:vertAlign w:val="subscript"/>
        </w:rPr>
        <w:t>0</w:t>
      </w:r>
      <w:r>
        <w:rPr>
          <w:b w:val="0"/>
          <w:i w:val="0"/>
        </w:rPr>
        <w:t xml:space="preserve"> + </w:t>
      </w:r>
      <w:r>
        <w:rPr>
          <w:b w:val="0"/>
          <w:i/>
        </w:rPr>
        <w:t>k</w:t>
      </w:r>
      <w:r>
        <w:rPr>
          <w:b w:val="0"/>
          <w:i w:val="0"/>
        </w:rPr>
        <w:t xml:space="preserve">), which is condition (Q′). So </w:t>
      </w:r>
      <w:r>
        <w:rPr>
          <w:b w:val="0"/>
          <w:i/>
        </w:rPr>
        <w:t>ψ</w:t>
      </w:r>
      <w:r>
        <w:rPr>
          <w:b w:val="0"/>
          <w:i w:val="0"/>
        </w:rPr>
        <w:t xml:space="preserve"> has a strict local maximum at 1, with value </w:t>
      </w:r>
      <w:r>
        <w:rPr>
          <w:b w:val="0"/>
          <w:i/>
        </w:rPr>
        <w:t>ψ</w:t>
      </w:r>
      <w:r>
        <w:rPr>
          <w:b w:val="0"/>
          <w:i w:val="0"/>
        </w:rPr>
        <w:t>(1) = 2</w:t>
      </w:r>
      <w:r>
        <w:rPr>
          <w:b w:val="0"/>
          <w:i/>
        </w:rPr>
        <w:t>PM</w:t>
      </w:r>
      <w:r>
        <w:rPr>
          <w:b w:val="0"/>
          <w:i w:val="0"/>
        </w:rPr>
        <w:t xml:space="preserve">/(1 − </w:t>
      </w:r>
      <w:r>
        <w:rPr>
          <w:b w:val="0"/>
          <w:i/>
        </w:rPr>
        <w:t>A</w:t>
      </w:r>
      <w:r>
        <w:rPr>
          <w:b w:val="0"/>
          <w:i w:val="0"/>
          <w:vertAlign w:val="subscript"/>
        </w:rPr>
        <w:t>0</w:t>
      </w:r>
      <w:r>
        <w:rPr>
          <w:b w:val="0"/>
          <w:i w:val="0"/>
        </w:rPr>
        <w:t>)² = 46.18.</w:t>
      </w:r>
    </w:p>
    <w:p>
      <w:pPr>
        <w:spacing w:after="0" w:before="0"/>
        <w:ind w:firstLine="720"/>
      </w:pPr>
      <w:r>
        <w:rPr>
          <w:b w:val="0"/>
          <w:i/>
        </w:rPr>
        <w:t>Global maximum and the interval.</w:t>
      </w:r>
      <w:r>
        <w:rPr>
          <w:b w:val="0"/>
          <w:i w:val="0"/>
        </w:rPr>
        <w:t xml:space="preserve"> That </w:t>
      </w:r>
      <w:r>
        <w:rPr>
          <w:b w:val="0"/>
          <w:i/>
        </w:rPr>
        <w:t>ψ</w:t>
      </w:r>
      <w:r>
        <w:rPr>
          <w:b w:val="0"/>
          <w:i w:val="0"/>
        </w:rPr>
        <w:t xml:space="preserve"> is largest at </w:t>
      </w:r>
      <w:r>
        <w:rPr>
          <w:b w:val="0"/>
          <w:i/>
        </w:rPr>
        <w:t>A</w:t>
      </w:r>
      <w:r>
        <w:rPr>
          <w:b w:val="0"/>
          <w:i w:val="0"/>
        </w:rPr>
        <w:t xml:space="preserve"> = 1 among all </w:t>
      </w:r>
      <w:r>
        <w:rPr>
          <w:b w:val="0"/>
          <w:i/>
        </w:rPr>
        <w:t>A</w:t>
      </w:r>
      <w:r>
        <w:rPr>
          <w:b w:val="0"/>
          <w:i w:val="0"/>
        </w:rPr>
        <w:t xml:space="preserve"> &gt; </w:t>
      </w:r>
      <w:r>
        <w:rPr>
          <w:b w:val="0"/>
          <w:i/>
        </w:rPr>
        <w:t>A</w:t>
      </w:r>
      <w:r>
        <w:rPr>
          <w:b w:val="0"/>
          <w:i w:val="0"/>
          <w:vertAlign w:val="subscript"/>
        </w:rPr>
        <w:t>0</w:t>
      </w:r>
      <w:r>
        <w:rPr>
          <w:b w:val="0"/>
          <w:i w:val="0"/>
        </w:rPr>
        <w:t xml:space="preserve"> is verified numerically (</w:t>
      </w:r>
      <w:r>
        <w:rPr>
          <w:b w:val="0"/>
          <w:i/>
        </w:rPr>
        <w:t>ψ</w:t>
      </w:r>
      <w:r>
        <w:rPr>
          <w:b w:val="0"/>
          <w:i w:val="0"/>
        </w:rPr>
        <w:t xml:space="preserve">(1.1) = 40.5, </w:t>
      </w:r>
      <w:r>
        <w:rPr>
          <w:b w:val="0"/>
          <w:i/>
        </w:rPr>
        <w:t>ψ</w:t>
      </w:r>
      <w:r>
        <w:rPr>
          <w:b w:val="0"/>
          <w:i w:val="0"/>
        </w:rPr>
        <w:t xml:space="preserve">(1.3) = 36.7). Given that, </w:t>
      </w:r>
      <w:r>
        <w:rPr>
          <w:b w:val="0"/>
          <w:i/>
        </w:rPr>
        <w:t>θ̂</w:t>
      </w:r>
      <w:r>
        <w:rPr>
          <w:b w:val="0"/>
          <w:i w:val="0"/>
        </w:rPr>
        <w:t xml:space="preserve"> = </w:t>
      </w:r>
      <w:r>
        <w:rPr>
          <w:b w:val="0"/>
          <w:i/>
        </w:rPr>
        <w:t>ψ</w:t>
      </w:r>
      <w:r>
        <w:rPr>
          <w:b w:val="0"/>
          <w:i w:val="0"/>
        </w:rPr>
        <w:t xml:space="preserve">(1) by Proposition 6, and </w:t>
      </w:r>
      <w:r>
        <w:rPr>
          <w:b w:val="0"/>
          <w:i/>
        </w:rPr>
        <w:t>A</w:t>
      </w:r>
      <w:r>
        <w:rPr>
          <w:b w:val="0"/>
          <w:i w:val="0"/>
          <w:vertAlign w:val="superscript"/>
        </w:rPr>
        <w:t>*</w:t>
      </w:r>
      <w:r>
        <w:rPr>
          <w:b w:val="0"/>
          <w:i w:val="0"/>
        </w:rPr>
        <w:t>(</w:t>
      </w:r>
      <w:r>
        <w:rPr>
          <w:b w:val="0"/>
          <w:i/>
        </w:rPr>
        <w:t>θ</w:t>
      </w:r>
      <w:r>
        <w:rPr>
          <w:b w:val="0"/>
          <w:i w:val="0"/>
        </w:rPr>
        <w:t xml:space="preserve">) = 1 requires </w:t>
      </w:r>
      <w:r>
        <w:rPr>
          <w:b w:val="0"/>
          <w:i/>
        </w:rPr>
        <w:t>J</w:t>
      </w:r>
      <w:r>
        <w:rPr>
          <w:b w:val="0"/>
          <w:i w:val="0"/>
        </w:rPr>
        <w:t xml:space="preserve">(1) ≥ </w:t>
      </w:r>
      <w:r>
        <w:rPr>
          <w:b w:val="0"/>
          <w:i/>
        </w:rPr>
        <w:t>J</w:t>
      </w:r>
      <w:r>
        <w:rPr>
          <w:b w:val="0"/>
          <w:i w:val="0"/>
        </w:rPr>
        <w:t>(</w:t>
      </w:r>
      <w:r>
        <w:rPr>
          <w:b w:val="0"/>
          <w:i/>
        </w:rPr>
        <w:t>A</w:t>
      </w:r>
      <w:r>
        <w:rPr>
          <w:b w:val="0"/>
          <w:i w:val="0"/>
        </w:rPr>
        <w:t xml:space="preserve">) for all </w:t>
      </w:r>
      <w:r>
        <w:rPr>
          <w:b w:val="0"/>
          <w:i/>
        </w:rPr>
        <w:t>A</w:t>
      </w:r>
      <w:r>
        <w:rPr>
          <w:b w:val="0"/>
          <w:i w:val="0"/>
        </w:rPr>
        <w:t xml:space="preserve">. For </w:t>
      </w:r>
      <w:r>
        <w:rPr>
          <w:b w:val="0"/>
          <w:i/>
        </w:rPr>
        <w:t>A</w:t>
      </w:r>
      <w:r>
        <w:rPr>
          <w:b w:val="0"/>
          <w:i w:val="0"/>
        </w:rPr>
        <w:t xml:space="preserve"> &lt; 1 this follows from the global maximum of </w:t>
      </w:r>
      <w:r>
        <w:rPr>
          <w:b w:val="0"/>
          <w:i/>
        </w:rPr>
        <w:t>ψ</w:t>
      </w:r>
      <w:r>
        <w:rPr>
          <w:b w:val="0"/>
          <w:i w:val="0"/>
        </w:rPr>
        <w:t xml:space="preserve">. For </w:t>
      </w:r>
      <w:r>
        <w:rPr>
          <w:b w:val="0"/>
          <w:i/>
        </w:rPr>
        <w:t>A</w:t>
      </w:r>
      <w:r>
        <w:rPr>
          <w:b w:val="0"/>
          <w:i w:val="0"/>
        </w:rPr>
        <w:t xml:space="preserve"> &gt; 1, it requires </w:t>
      </w:r>
      <w:r>
        <w:rPr>
          <w:b w:val="0"/>
          <w:i/>
        </w:rPr>
        <w:t>θ</w:t>
      </w:r>
      <w:r>
        <w:rPr>
          <w:b w:val="0"/>
          <w:i w:val="0"/>
        </w:rPr>
        <w:t xml:space="preserve"> ≥ [Π</w:t>
      </w:r>
      <w:r>
        <w:rPr>
          <w:b w:val="0"/>
          <w:i w:val="0"/>
          <w:vertAlign w:val="superscript"/>
        </w:rPr>
        <w:t>*</w:t>
      </w:r>
      <w:r>
        <w:rPr>
          <w:b w:val="0"/>
          <w:i w:val="0"/>
        </w:rPr>
        <w:t>(</w:t>
      </w:r>
      <w:r>
        <w:rPr>
          <w:b w:val="0"/>
          <w:i/>
        </w:rPr>
        <w:t>A</w:t>
      </w:r>
      <w:r>
        <w:rPr>
          <w:b w:val="0"/>
          <w:i w:val="0"/>
        </w:rPr>
        <w:t>) − Π</w:t>
      </w:r>
      <w:r>
        <w:rPr>
          <w:b w:val="0"/>
          <w:i w:val="0"/>
          <w:vertAlign w:val="superscript"/>
        </w:rPr>
        <w:t>*</w:t>
      </w:r>
      <w:r>
        <w:rPr>
          <w:b w:val="0"/>
          <w:i w:val="0"/>
        </w:rPr>
        <w:t>(1)]/[</w:t>
      </w:r>
      <w:r>
        <w:rPr>
          <w:b w:val="0"/>
          <w:i/>
        </w:rPr>
        <w:t>c</w:t>
      </w:r>
      <w:r>
        <w:rPr>
          <w:b w:val="0"/>
          <w:i w:val="0"/>
        </w:rPr>
        <w:t>(</w:t>
      </w:r>
      <w:r>
        <w:rPr>
          <w:b w:val="0"/>
          <w:i/>
        </w:rPr>
        <w:t>A</w:t>
      </w:r>
      <w:r>
        <w:rPr>
          <w:b w:val="0"/>
          <w:i w:val="0"/>
        </w:rPr>
        <w:t xml:space="preserve">) − </w:t>
      </w:r>
      <w:r>
        <w:rPr>
          <w:b w:val="0"/>
          <w:i/>
        </w:rPr>
        <w:t>c</w:t>
      </w:r>
      <w:r>
        <w:rPr>
          <w:b w:val="0"/>
          <w:i w:val="0"/>
        </w:rPr>
        <w:t xml:space="preserve">(1)], and taking the supremum over </w:t>
      </w:r>
      <w:r>
        <w:rPr>
          <w:b w:val="0"/>
          <w:i/>
        </w:rPr>
        <w:t>A</w:t>
      </w:r>
      <w:r>
        <w:rPr>
          <w:b w:val="0"/>
          <w:i w:val="0"/>
        </w:rPr>
        <w:t xml:space="preserve"> gives </w:t>
      </w:r>
      <w:r>
        <w:rPr>
          <w:b w:val="0"/>
          <w:i/>
        </w:rPr>
        <w:t>θ</w:t>
      </w:r>
      <w:r>
        <w:rPr>
          <w:b w:val="0"/>
          <w:i w:val="0"/>
          <w:vertAlign w:val="subscript"/>
        </w:rPr>
        <w:t>low</w:t>
      </w:r>
      <w:r>
        <w:rPr>
          <w:b w:val="0"/>
          <w:i w:val="0"/>
        </w:rPr>
        <w:t xml:space="preserve">. Letting </w:t>
      </w:r>
      <w:r>
        <w:rPr>
          <w:b w:val="0"/>
          <w:i/>
        </w:rPr>
        <w:t>A</w:t>
      </w:r>
      <w:r>
        <w:rPr>
          <w:b w:val="0"/>
          <w:i w:val="0"/>
        </w:rPr>
        <w:t xml:space="preserve"> ↓ 1 gives the local lower bound </w:t>
      </w:r>
      <w:r>
        <w:rPr>
          <w:b w:val="0"/>
          <w:i/>
        </w:rPr>
        <w:t>BM</w:t>
      </w:r>
      <w:r>
        <w:rPr>
          <w:b w:val="0"/>
          <w:i w:val="0"/>
        </w:rPr>
        <w:t xml:space="preserve">/(1 − </w:t>
      </w:r>
      <w:r>
        <w:rPr>
          <w:b w:val="0"/>
          <w:i/>
        </w:rPr>
        <w:t>A</w:t>
      </w:r>
      <w:r>
        <w:rPr>
          <w:b w:val="0"/>
          <w:i w:val="0"/>
          <w:vertAlign w:val="subscript"/>
        </w:rPr>
        <w:t>0</w:t>
      </w:r>
      <w:r>
        <w:rPr>
          <w:b w:val="0"/>
          <w:i w:val="0"/>
        </w:rPr>
        <w:t xml:space="preserve">) = 26.39. The global value </w:t>
      </w:r>
      <w:r>
        <w:rPr>
          <w:b w:val="0"/>
          <w:i/>
        </w:rPr>
        <w:t>θ</w:t>
      </w:r>
      <w:r>
        <w:rPr>
          <w:b w:val="0"/>
          <w:i w:val="0"/>
          <w:vertAlign w:val="subscript"/>
        </w:rPr>
        <w:t>low</w:t>
      </w:r>
      <w:r>
        <w:rPr>
          <w:b w:val="0"/>
          <w:i w:val="0"/>
        </w:rPr>
        <w:t xml:space="preserve"> = 27.58 (attained at </w:t>
      </w:r>
      <w:r>
        <w:rPr>
          <w:b w:val="0"/>
          <w:i/>
        </w:rPr>
        <w:t>A</w:t>
      </w:r>
      <w:r>
        <w:rPr>
          <w:b w:val="0"/>
          <w:i w:val="0"/>
        </w:rPr>
        <w:t xml:space="preserve"> = 1.09) is numerical. In the continuous model the optimal reach is exactly 1.000 for </w:t>
      </w:r>
      <w:r>
        <w:rPr>
          <w:b w:val="0"/>
          <w:i/>
        </w:rPr>
        <w:t>θ</w:t>
      </w:r>
      <w:r>
        <w:rPr>
          <w:b w:val="0"/>
          <w:i w:val="0"/>
        </w:rPr>
        <w:t xml:space="preserve"> = 30, 35, 40, 45, and 46, and at </w:t>
      </w:r>
      <w:r>
        <w:rPr>
          <w:b w:val="0"/>
          <w:i/>
        </w:rPr>
        <w:t>θ</w:t>
      </w:r>
      <w:r>
        <w:rPr>
          <w:b w:val="0"/>
          <w:i w:val="0"/>
        </w:rPr>
        <w:t xml:space="preserve"> = 27 it moves to 1.12, as the bounds predict. An earlier grid-based calculation put the upper end at 45.4–45.9; this was an artifact of a coarse price grid that missed prices at the cliff, and the closed form 46.18 is correct. ∎</w:t>
      </w:r>
    </w:p>
    <w:p>
      <w:pPr>
        <w:keepNext/>
        <w:spacing w:line="276" w:lineRule="auto" w:after="80" w:before="160"/>
      </w:pPr>
      <w:r>
        <w:rPr>
          <w:b/>
          <w:i/>
        </w:rPr>
        <w:t>A.7 Proposition 9 (under-investment and subsidies)</w:t>
      </w:r>
    </w:p>
    <w:p>
      <w:pPr>
        <w:spacing w:after="120"/>
        <w:ind w:firstLine="720"/>
      </w:pPr>
      <w:r>
        <w:rPr>
          <w:i/>
        </w:rPr>
        <w:t xml:space="preserve">Proof. </w:t>
      </w:r>
      <w:r>
        <w:rPr>
          <w:b w:val="0"/>
          <w:i w:val="0"/>
        </w:rPr>
        <w:t xml:space="preserve">Since </w:t>
      </w:r>
      <w:r>
        <w:rPr>
          <w:b w:val="0"/>
          <w:i/>
        </w:rPr>
        <w:t>W</w:t>
      </w:r>
      <w:r>
        <w:rPr>
          <w:b w:val="0"/>
          <w:i w:val="0"/>
        </w:rPr>
        <w:t xml:space="preserve"> ≥ Π</w:t>
      </w:r>
      <w:r>
        <w:rPr>
          <w:b w:val="0"/>
          <w:i w:val="0"/>
          <w:vertAlign w:val="superscript"/>
        </w:rPr>
        <w:t>*</w:t>
      </w:r>
      <w:r>
        <w:rPr>
          <w:b w:val="0"/>
          <w:i w:val="0"/>
        </w:rPr>
        <w:t xml:space="preserve">, </w:t>
      </w:r>
      <w:r>
        <w:rPr>
          <w:b w:val="0"/>
          <w:i/>
        </w:rPr>
        <w:t>θ</w:t>
      </w:r>
      <w:r>
        <w:rPr>
          <w:b w:val="0"/>
          <w:i w:val="0"/>
          <w:vertAlign w:val="subscript"/>
        </w:rPr>
        <w:t>s</w:t>
      </w:r>
      <w:r>
        <w:rPr>
          <w:b w:val="0"/>
          <w:i w:val="0"/>
        </w:rPr>
        <w:t xml:space="preserve"> = sup </w:t>
      </w:r>
      <w:r>
        <w:rPr>
          <w:b w:val="0"/>
          <w:i/>
        </w:rPr>
        <w:t>W</w:t>
      </w:r>
      <w:r>
        <w:rPr>
          <w:b w:val="0"/>
          <w:i w:val="0"/>
        </w:rPr>
        <w:t>/</w:t>
      </w:r>
      <w:r>
        <w:rPr>
          <w:b w:val="0"/>
          <w:i/>
        </w:rPr>
        <w:t>c</w:t>
      </w:r>
      <w:r>
        <w:rPr>
          <w:b w:val="0"/>
          <w:i w:val="0"/>
        </w:rPr>
        <w:t xml:space="preserve"> ≥ sup Π</w:t>
      </w:r>
      <w:r>
        <w:rPr>
          <w:b w:val="0"/>
          <w:i w:val="0"/>
          <w:vertAlign w:val="superscript"/>
        </w:rPr>
        <w:t>*</w:t>
      </w:r>
      <w:r>
        <w:rPr>
          <w:b w:val="0"/>
          <w:i w:val="0"/>
        </w:rPr>
        <w:t>/</w:t>
      </w:r>
      <w:r>
        <w:rPr>
          <w:b w:val="0"/>
          <w:i/>
        </w:rPr>
        <w:t>c</w:t>
      </w:r>
      <w:r>
        <w:rPr>
          <w:b w:val="0"/>
          <w:i w:val="0"/>
        </w:rPr>
        <w:t xml:space="preserve"> = </w:t>
      </w:r>
      <w:r>
        <w:rPr>
          <w:b w:val="0"/>
          <w:i/>
        </w:rPr>
        <w:t>θ̂</w:t>
      </w:r>
      <w:r>
        <w:rPr>
          <w:b w:val="0"/>
          <w:i w:val="0"/>
        </w:rPr>
        <w:t xml:space="preserve">. At </w:t>
      </w:r>
      <w:r>
        <w:rPr>
          <w:b w:val="0"/>
          <w:i/>
        </w:rPr>
        <w:t>A</w:t>
      </w:r>
      <w:r>
        <w:rPr>
          <w:b w:val="0"/>
          <w:i w:val="0"/>
          <w:vertAlign w:val="subscript"/>
        </w:rPr>
        <w:t>t</w:t>
      </w:r>
      <w:r>
        <w:rPr>
          <w:b w:val="0"/>
          <w:i w:val="0"/>
        </w:rPr>
        <w:t>, some firms have positive net saving from adopting, so CS(</w:t>
      </w:r>
      <w:r>
        <w:rPr>
          <w:b w:val="0"/>
          <w:i/>
        </w:rPr>
        <w:t>A</w:t>
      </w:r>
      <w:r>
        <w:rPr>
          <w:b w:val="0"/>
          <w:i w:val="0"/>
          <w:vertAlign w:val="subscript"/>
        </w:rPr>
        <w:t>t</w:t>
      </w:r>
      <w:r>
        <w:rPr>
          <w:b w:val="0"/>
          <w:i w:val="0"/>
        </w:rPr>
        <w:t xml:space="preserve">) &gt; 0 and </w:t>
      </w:r>
      <w:r>
        <w:rPr>
          <w:b w:val="0"/>
          <w:i/>
        </w:rPr>
        <w:t>W</w:t>
      </w:r>
      <w:r>
        <w:rPr>
          <w:b w:val="0"/>
          <w:i w:val="0"/>
        </w:rPr>
        <w:t>(</w:t>
      </w:r>
      <w:r>
        <w:rPr>
          <w:b w:val="0"/>
          <w:i/>
        </w:rPr>
        <w:t>A</w:t>
      </w:r>
      <w:r>
        <w:rPr>
          <w:b w:val="0"/>
          <w:i w:val="0"/>
          <w:vertAlign w:val="subscript"/>
        </w:rPr>
        <w:t>t</w:t>
      </w:r>
      <w:r>
        <w:rPr>
          <w:b w:val="0"/>
          <w:i w:val="0"/>
        </w:rPr>
        <w:t>)/</w:t>
      </w:r>
      <w:r>
        <w:rPr>
          <w:b w:val="0"/>
          <w:i/>
        </w:rPr>
        <w:t>c</w:t>
      </w:r>
      <w:r>
        <w:rPr>
          <w:b w:val="0"/>
          <w:i w:val="0"/>
        </w:rPr>
        <w:t>(</w:t>
      </w:r>
      <w:r>
        <w:rPr>
          <w:b w:val="0"/>
          <w:i/>
        </w:rPr>
        <w:t>A</w:t>
      </w:r>
      <w:r>
        <w:rPr>
          <w:b w:val="0"/>
          <w:i w:val="0"/>
          <w:vertAlign w:val="subscript"/>
        </w:rPr>
        <w:t>t</w:t>
      </w:r>
      <w:r>
        <w:rPr>
          <w:b w:val="0"/>
          <w:i w:val="0"/>
        </w:rPr>
        <w:t xml:space="preserve">) &gt; </w:t>
      </w:r>
      <w:r>
        <w:rPr>
          <w:b w:val="0"/>
          <w:i/>
        </w:rPr>
        <w:t>θ̂</w:t>
      </w:r>
      <w:r>
        <w:rPr>
          <w:b w:val="0"/>
          <w:i w:val="0"/>
        </w:rPr>
        <w:t xml:space="preserve">, which makes the inequality strict. Applying Proposition 6 to </w:t>
      </w:r>
      <w:r>
        <w:rPr>
          <w:b w:val="0"/>
          <w:i/>
        </w:rPr>
        <w:t>W</w:t>
      </w:r>
      <w:r>
        <w:rPr>
          <w:b w:val="0"/>
          <w:i w:val="0"/>
        </w:rPr>
        <w:t xml:space="preserve"> shows that the planner's optimum jumps at </w:t>
      </w:r>
      <w:r>
        <w:rPr>
          <w:b w:val="0"/>
          <w:i/>
        </w:rPr>
        <w:t>θ</w:t>
      </w:r>
      <w:r>
        <w:rPr>
          <w:b w:val="0"/>
          <w:i w:val="0"/>
          <w:vertAlign w:val="subscript"/>
        </w:rPr>
        <w:t>s</w:t>
      </w:r>
      <w:r>
        <w:rPr>
          <w:b w:val="0"/>
          <w:i w:val="0"/>
        </w:rPr>
        <w:t xml:space="preserve">. A subsidy at rate </w:t>
      </w:r>
      <w:r>
        <w:rPr>
          <w:b w:val="0"/>
          <w:i/>
        </w:rPr>
        <w:t>s</w:t>
      </w:r>
      <w:r>
        <w:rPr>
          <w:b w:val="0"/>
          <w:i w:val="0"/>
        </w:rPr>
        <w:t xml:space="preserve"> multiplies the vendor's cost by (1 − </w:t>
      </w:r>
      <w:r>
        <w:rPr>
          <w:b w:val="0"/>
          <w:i/>
        </w:rPr>
        <w:t>s</w:t>
      </w:r>
      <w:r>
        <w:rPr>
          <w:b w:val="0"/>
          <w:i w:val="0"/>
        </w:rPr>
        <w:t xml:space="preserve">), replacing </w:t>
      </w:r>
      <w:r>
        <w:rPr>
          <w:b w:val="0"/>
          <w:i/>
        </w:rPr>
        <w:t>θ</w:t>
      </w:r>
      <w:r>
        <w:rPr>
          <w:b w:val="0"/>
          <w:i w:val="0"/>
        </w:rPr>
        <w:t xml:space="preserve"> by (1 − </w:t>
      </w:r>
      <w:r>
        <w:rPr>
          <w:b w:val="0"/>
          <w:i/>
        </w:rPr>
        <w:t>s</w:t>
      </w:r>
      <w:r>
        <w:rPr>
          <w:b w:val="0"/>
          <w:i w:val="0"/>
        </w:rPr>
        <w:t>)</w:t>
      </w:r>
      <w:r>
        <w:rPr>
          <w:b w:val="0"/>
          <w:i/>
        </w:rPr>
        <w:t>θ</w:t>
      </w:r>
      <w:r>
        <w:rPr>
          <w:b w:val="0"/>
          <w:i w:val="0"/>
        </w:rPr>
        <w:t xml:space="preserve"> in </w:t>
      </w:r>
      <w:r>
        <w:rPr>
          <w:b w:val="0"/>
          <w:i/>
        </w:rPr>
        <w:t>J</w:t>
      </w:r>
      <w:r>
        <w:rPr>
          <w:b w:val="0"/>
          <w:i w:val="0"/>
        </w:rPr>
        <w:t xml:space="preserve">, so the vendor's threshold becomes </w:t>
      </w:r>
      <w:r>
        <w:rPr>
          <w:b w:val="0"/>
          <w:i/>
        </w:rPr>
        <w:t>θ̂</w:t>
      </w:r>
      <w:r>
        <w:rPr>
          <w:b w:val="0"/>
          <w:i w:val="0"/>
        </w:rPr>
        <w:t xml:space="preserve">/(1 − </w:t>
      </w:r>
      <w:r>
        <w:rPr>
          <w:b w:val="0"/>
          <w:i/>
        </w:rPr>
        <w:t>s</w:t>
      </w:r>
      <w:r>
        <w:rPr>
          <w:b w:val="0"/>
          <w:i w:val="0"/>
        </w:rPr>
        <w:t xml:space="preserve">), which reaches </w:t>
      </w:r>
      <w:r>
        <w:rPr>
          <w:b w:val="0"/>
          <w:i/>
        </w:rPr>
        <w:t>θ</w:t>
      </w:r>
      <w:r>
        <w:rPr>
          <w:b w:val="0"/>
          <w:i w:val="0"/>
          <w:vertAlign w:val="subscript"/>
        </w:rPr>
        <w:t>s</w:t>
      </w:r>
      <w:r>
        <w:rPr>
          <w:b w:val="0"/>
          <w:i w:val="0"/>
        </w:rPr>
        <w:t xml:space="preserve"> when </w:t>
      </w:r>
      <w:r>
        <w:rPr>
          <w:b w:val="0"/>
          <w:i/>
        </w:rPr>
        <w:t>s</w:t>
      </w:r>
      <w:r>
        <w:rPr>
          <w:b w:val="0"/>
          <w:i w:val="0"/>
        </w:rPr>
        <w:t xml:space="preserve"> = 1 − </w:t>
      </w:r>
      <w:r>
        <w:rPr>
          <w:b w:val="0"/>
          <w:i/>
        </w:rPr>
        <w:t>θ̂</w:t>
      </w:r>
      <w:r>
        <w:rPr>
          <w:b w:val="0"/>
          <w:i w:val="0"/>
        </w:rPr>
        <w:t>/</w:t>
      </w:r>
      <w:r>
        <w:rPr>
          <w:b w:val="0"/>
          <w:i/>
        </w:rPr>
        <w:t>θ</w:t>
      </w:r>
      <w:r>
        <w:rPr>
          <w:b w:val="0"/>
          <w:i w:val="0"/>
          <w:vertAlign w:val="subscript"/>
        </w:rPr>
        <w:t>s</w:t>
      </w:r>
      <w:r>
        <w:rPr>
          <w:b w:val="0"/>
          <w:i w:val="0"/>
        </w:rPr>
        <w:t xml:space="preserve">. For smaller </w:t>
      </w:r>
      <w:r>
        <w:rPr>
          <w:b w:val="0"/>
          <w:i/>
        </w:rPr>
        <w:t>s</w:t>
      </w:r>
      <w:r>
        <w:rPr>
          <w:b w:val="0"/>
          <w:i w:val="0"/>
        </w:rPr>
        <w:t xml:space="preserve">, vendors with </w:t>
      </w:r>
      <w:r>
        <w:rPr>
          <w:b w:val="0"/>
          <w:i/>
        </w:rPr>
        <w:t>θ</w:t>
      </w:r>
      <w:r>
        <w:rPr>
          <w:b w:val="0"/>
          <w:i w:val="0"/>
        </w:rPr>
        <w:t xml:space="preserve"> between </w:t>
      </w:r>
      <w:r>
        <w:rPr>
          <w:b w:val="0"/>
          <w:i/>
        </w:rPr>
        <w:t>θ̂</w:t>
      </w:r>
      <w:r>
        <w:rPr>
          <w:b w:val="0"/>
          <w:i w:val="0"/>
        </w:rPr>
        <w:t xml:space="preserve">/(1 − </w:t>
      </w:r>
      <w:r>
        <w:rPr>
          <w:b w:val="0"/>
          <w:i/>
        </w:rPr>
        <w:t>s</w:t>
      </w:r>
      <w:r>
        <w:rPr>
          <w:b w:val="0"/>
          <w:i w:val="0"/>
        </w:rPr>
        <w:t xml:space="preserve">) and </w:t>
      </w:r>
      <w:r>
        <w:rPr>
          <w:b w:val="0"/>
          <w:i/>
        </w:rPr>
        <w:t>θ</w:t>
      </w:r>
      <w:r>
        <w:rPr>
          <w:b w:val="0"/>
          <w:i w:val="0"/>
          <w:vertAlign w:val="subscript"/>
        </w:rPr>
        <w:t>s</w:t>
      </w:r>
      <w:r>
        <w:rPr>
          <w:b w:val="0"/>
          <w:i w:val="0"/>
        </w:rPr>
        <w:t xml:space="preserve"> do not invest although the planner would. ∎</w:t>
      </w:r>
    </w:p>
    <w:p>
      <w:pPr>
        <w:spacing w:after="0" w:before="0"/>
        <w:ind w:firstLine="720"/>
      </w:pPr>
      <w:r>
        <w:rPr>
          <w:b w:val="0"/>
          <w:i/>
        </w:rPr>
        <w:t>Numerical values.</w:t>
      </w:r>
      <w:r>
        <w:rPr>
          <w:b w:val="0"/>
          <w:i w:val="0"/>
        </w:rPr>
        <w:t xml:space="preserve"> With reach capped at 1.3, </w:t>
      </w:r>
      <w:r>
        <w:rPr>
          <w:b w:val="0"/>
          <w:i/>
        </w:rPr>
        <w:t>θ</w:t>
      </w:r>
      <w:r>
        <w:rPr>
          <w:b w:val="0"/>
          <w:i w:val="0"/>
          <w:vertAlign w:val="subscript"/>
        </w:rPr>
        <w:t>s</w:t>
      </w:r>
      <w:r>
        <w:rPr>
          <w:b w:val="0"/>
          <w:i w:val="0"/>
        </w:rPr>
        <w:t xml:space="preserve"> = 65.09 and </w:t>
      </w:r>
      <w:r>
        <w:rPr>
          <w:b w:val="0"/>
          <w:i/>
        </w:rPr>
        <w:t>s</w:t>
      </w:r>
      <w:r>
        <w:rPr>
          <w:b w:val="0"/>
          <w:i w:val="0"/>
          <w:vertAlign w:val="superscript"/>
        </w:rPr>
        <w:t>*</w:t>
      </w:r>
      <w:r>
        <w:rPr>
          <w:b w:val="0"/>
          <w:i w:val="0"/>
        </w:rPr>
        <w:t xml:space="preserve"> = 1 − 46.18/65.09 = 0.29. Earlier calculations on a coarser grid gave </w:t>
      </w:r>
      <w:r>
        <w:rPr>
          <w:b w:val="0"/>
          <w:i/>
        </w:rPr>
        <w:t>θ</w:t>
      </w:r>
      <w:r>
        <w:rPr>
          <w:b w:val="0"/>
          <w:i w:val="0"/>
          <w:vertAlign w:val="subscript"/>
        </w:rPr>
        <w:t>s</w:t>
      </w:r>
      <w:r>
        <w:rPr>
          <w:b w:val="0"/>
          <w:i w:val="0"/>
        </w:rPr>
        <w:t xml:space="preserve"> = 61.5 and </w:t>
      </w:r>
      <w:r>
        <w:rPr>
          <w:b w:val="0"/>
          <w:i/>
        </w:rPr>
        <w:t>s</w:t>
      </w:r>
      <w:r>
        <w:rPr>
          <w:b w:val="0"/>
          <w:i w:val="0"/>
          <w:vertAlign w:val="superscript"/>
        </w:rPr>
        <w:t>*</w:t>
      </w:r>
      <w:r>
        <w:rPr>
          <w:b w:val="0"/>
          <w:i w:val="0"/>
        </w:rPr>
        <w:t xml:space="preserve"> = 0.25. The cap matters because the maximum of </w:t>
      </w:r>
      <w:r>
        <w:rPr>
          <w:b w:val="0"/>
          <w:i/>
        </w:rPr>
        <w:t>W</w:t>
      </w:r>
      <w:r>
        <w:rPr>
          <w:b w:val="0"/>
          <w:i w:val="0"/>
        </w:rPr>
        <w:t>/</w:t>
      </w:r>
      <w:r>
        <w:rPr>
          <w:b w:val="0"/>
          <w:i/>
        </w:rPr>
        <w:t>c</w:t>
      </w:r>
      <w:r>
        <w:rPr>
          <w:b w:val="0"/>
          <w:i w:val="0"/>
        </w:rPr>
        <w:t xml:space="preserve"> is at the cap; with a different cap the number changes. Consumer surplus is the sum over adopters of the net saving, computed as CS(</w:t>
      </w:r>
      <w:r>
        <w:rPr>
          <w:b w:val="0"/>
          <w:i/>
        </w:rPr>
        <w:t>A</w:t>
      </w:r>
      <w:r>
        <w:rPr>
          <w:b w:val="0"/>
          <w:i w:val="0"/>
        </w:rPr>
        <w:t xml:space="preserve">, </w:t>
      </w:r>
      <w:r>
        <w:rPr>
          <w:b w:val="0"/>
          <w:i/>
        </w:rPr>
        <w:t>ρ</w:t>
      </w:r>
      <w:r>
        <w:rPr>
          <w:b w:val="0"/>
          <w:i w:val="0"/>
        </w:rPr>
        <w:t>) = (1/</w:t>
      </w:r>
      <w:r>
        <w:rPr>
          <w:b w:val="0"/>
          <w:i/>
        </w:rPr>
        <w:t>b</w:t>
      </w:r>
      <w:r>
        <w:rPr>
          <w:b w:val="0"/>
          <w:i w:val="0"/>
        </w:rPr>
        <w:t xml:space="preserve">)∫ </w:t>
      </w:r>
      <w:r>
        <w:rPr>
          <w:b w:val="0"/>
          <w:i/>
        </w:rPr>
        <w:t>κ</w:t>
      </w:r>
      <w:r>
        <w:rPr>
          <w:b w:val="0"/>
          <w:i w:val="0"/>
        </w:rPr>
        <w:t xml:space="preserve"> Φ</w:t>
      </w:r>
      <w:r>
        <w:rPr>
          <w:b w:val="0"/>
          <w:i w:val="0"/>
          <w:vertAlign w:val="superscript"/>
        </w:rPr>
        <w:t>+</w:t>
      </w:r>
      <w:r>
        <w:rPr>
          <w:b w:val="0"/>
          <w:i w:val="0"/>
        </w:rPr>
        <w:t>(</w:t>
      </w:r>
      <w:r>
        <w:rPr>
          <w:b w:val="0"/>
          <w:i/>
        </w:rPr>
        <w:t>κ</w:t>
      </w:r>
      <w:r>
        <w:rPr>
          <w:b w:val="0"/>
          <w:i w:val="0"/>
        </w:rPr>
        <w:t xml:space="preserve">) </w:t>
      </w:r>
      <w:r>
        <w:rPr>
          <w:b w:val="0"/>
          <w:i/>
        </w:rPr>
        <w:t>q</w:t>
      </w:r>
      <w:r>
        <w:rPr>
          <w:b w:val="0"/>
          <w:i w:val="0"/>
        </w:rPr>
        <w:t>(</w:t>
      </w:r>
      <w:r>
        <w:rPr>
          <w:b w:val="0"/>
          <w:i/>
        </w:rPr>
        <w:t>κ</w:t>
      </w:r>
      <w:r>
        <w:rPr>
          <w:b w:val="0"/>
          <w:i w:val="0"/>
        </w:rPr>
        <w:t>) d</w:t>
      </w:r>
      <w:r>
        <w:rPr>
          <w:b w:val="0"/>
          <w:i/>
        </w:rPr>
        <w:t>κ</w:t>
      </w:r>
      <w:r>
        <w:rPr>
          <w:b w:val="0"/>
          <w:i w:val="0"/>
        </w:rPr>
        <w:t xml:space="preserve"> at the vendor's optimal price.</w:t>
      </w:r>
    </w:p>
    <w:p>
      <w:pPr>
        <w:keepNext/>
        <w:spacing w:line="276" w:lineRule="auto" w:after="80" w:before="160"/>
      </w:pPr>
      <w:r>
        <w:rPr>
          <w:b/>
          <w:i/>
        </w:rPr>
        <w:t>A.8 Duopoly (main text)</w:t>
      </w:r>
    </w:p>
    <w:p>
      <w:pPr>
        <w:spacing w:after="0" w:before="0"/>
        <w:ind w:firstLine="720"/>
      </w:pPr>
      <w:r>
        <w:rPr>
          <w:b w:val="0"/>
          <w:i w:val="0"/>
        </w:rPr>
        <w:t xml:space="preserve">Let </w:t>
      </w:r>
      <w:r>
        <w:rPr>
          <w:b w:val="0"/>
          <w:i/>
        </w:rPr>
        <w:t>U</w:t>
      </w:r>
      <w:r>
        <w:rPr>
          <w:b w:val="0"/>
          <w:i w:val="0"/>
        </w:rPr>
        <w:t>(</w:t>
      </w:r>
      <w:r>
        <w:rPr>
          <w:b w:val="0"/>
          <w:i/>
        </w:rPr>
        <w:t>A</w:t>
      </w:r>
      <w:r>
        <w:rPr>
          <w:b w:val="0"/>
          <w:i w:val="0"/>
          <w:vertAlign w:val="subscript"/>
        </w:rPr>
        <w:t>i</w:t>
      </w:r>
      <w:r>
        <w:rPr>
          <w:b w:val="0"/>
          <w:i w:val="0"/>
        </w:rPr>
        <w:t xml:space="preserve">, </w:t>
      </w:r>
      <w:r>
        <w:rPr>
          <w:b w:val="0"/>
          <w:i/>
        </w:rPr>
        <w:t>A</w:t>
      </w:r>
      <w:r>
        <w:rPr>
          <w:b w:val="0"/>
          <w:i w:val="0"/>
          <w:vertAlign w:val="subscript"/>
        </w:rPr>
        <w:t>j</w:t>
      </w:r>
      <w:r>
        <w:rPr>
          <w:b w:val="0"/>
          <w:i w:val="0"/>
        </w:rPr>
        <w:t xml:space="preserve">) be the second-stage profit of vendor </w:t>
      </w:r>
      <w:r>
        <w:rPr>
          <w:b w:val="0"/>
          <w:i/>
        </w:rPr>
        <w:t>i</w:t>
      </w:r>
      <w:r>
        <w:rPr>
          <w:b w:val="0"/>
          <w:i w:val="0"/>
        </w:rPr>
        <w:t xml:space="preserve">. </w:t>
      </w:r>
      <w:r>
        <w:rPr>
          <w:b w:val="0"/>
          <w:i/>
        </w:rPr>
        <w:t>Lemma A2:</w:t>
      </w:r>
      <w:r>
        <w:rPr>
          <w:b w:val="0"/>
          <w:i w:val="0"/>
        </w:rPr>
        <w:t xml:space="preserve"> </w:t>
      </w:r>
      <w:r>
        <w:rPr>
          <w:b w:val="0"/>
          <w:i/>
        </w:rPr>
        <w:t>U</w:t>
      </w:r>
      <w:r>
        <w:rPr>
          <w:b w:val="0"/>
          <w:i w:val="0"/>
        </w:rPr>
        <w:t>(</w:t>
      </w:r>
      <w:r>
        <w:rPr>
          <w:b w:val="0"/>
          <w:i/>
        </w:rPr>
        <w:t>A</w:t>
      </w:r>
      <w:r>
        <w:rPr>
          <w:b w:val="0"/>
          <w:i w:val="0"/>
          <w:vertAlign w:val="subscript"/>
        </w:rPr>
        <w:t>i</w:t>
      </w:r>
      <w:r>
        <w:rPr>
          <w:b w:val="0"/>
          <w:i w:val="0"/>
        </w:rPr>
        <w:t xml:space="preserve">, </w:t>
      </w:r>
      <w:r>
        <w:rPr>
          <w:b w:val="0"/>
          <w:i/>
        </w:rPr>
        <w:t>A</w:t>
      </w:r>
      <w:r>
        <w:rPr>
          <w:b w:val="0"/>
          <w:i w:val="0"/>
          <w:vertAlign w:val="subscript"/>
        </w:rPr>
        <w:t>j</w:t>
      </w:r>
      <w:r>
        <w:rPr>
          <w:b w:val="0"/>
          <w:i w:val="0"/>
        </w:rPr>
        <w:t>) ≤ Π</w:t>
      </w:r>
      <w:r>
        <w:rPr>
          <w:b w:val="0"/>
          <w:i w:val="0"/>
          <w:vertAlign w:val="superscript"/>
        </w:rPr>
        <w:t>*</w:t>
      </w:r>
      <w:r>
        <w:rPr>
          <w:b w:val="0"/>
          <w:i w:val="0"/>
        </w:rPr>
        <w:t>(</w:t>
      </w:r>
      <w:r>
        <w:rPr>
          <w:b w:val="0"/>
          <w:i/>
        </w:rPr>
        <w:t>A</w:t>
      </w:r>
      <w:r>
        <w:rPr>
          <w:b w:val="0"/>
          <w:i w:val="0"/>
          <w:vertAlign w:val="subscript"/>
        </w:rPr>
        <w:t>i</w:t>
      </w:r>
      <w:r>
        <w:rPr>
          <w:b w:val="0"/>
          <w:i w:val="0"/>
        </w:rPr>
        <w:t xml:space="preserve">). </w:t>
      </w:r>
      <w:r>
        <w:rPr>
          <w:b w:val="0"/>
          <w:i/>
        </w:rPr>
        <w:t>Proof.</w:t>
      </w:r>
      <w:r>
        <w:rPr>
          <w:b w:val="0"/>
          <w:i w:val="0"/>
        </w:rPr>
        <w:t xml:space="preserve"> At any price pair, the firms that choose vendor </w:t>
      </w:r>
      <w:r>
        <w:rPr>
          <w:b w:val="0"/>
          <w:i/>
        </w:rPr>
        <w:t>i</w:t>
      </w:r>
      <w:r>
        <w:rPr>
          <w:b w:val="0"/>
          <w:i w:val="0"/>
        </w:rPr>
        <w:t xml:space="preserve"> are a subset of the firms that prefer </w:t>
      </w:r>
      <w:r>
        <w:rPr>
          <w:b w:val="0"/>
          <w:i/>
        </w:rPr>
        <w:t>i</w:t>
      </w:r>
      <w:r>
        <w:rPr>
          <w:b w:val="0"/>
          <w:i w:val="0"/>
        </w:rPr>
        <w:t xml:space="preserve"> to human testing, and each such firm's testing time is the same as under monopoly at that price. Hence vendor </w:t>
      </w:r>
      <w:r>
        <w:rPr>
          <w:b w:val="0"/>
          <w:i/>
        </w:rPr>
        <w:t>i</w:t>
      </w:r>
      <w:r>
        <w:rPr>
          <w:b w:val="0"/>
          <w:i w:val="0"/>
        </w:rPr>
        <w:t xml:space="preserve">'s demand is no greater than a monopolist's at the same price, and so is its profit. ∎ </w:t>
      </w:r>
      <w:r>
        <w:rPr>
          <w:b w:val="0"/>
          <w:i/>
        </w:rPr>
        <w:t>Result 1.</w:t>
      </w:r>
      <w:r>
        <w:rPr>
          <w:b w:val="0"/>
          <w:i w:val="0"/>
        </w:rPr>
        <w:t xml:space="preserve"> If </w:t>
      </w:r>
      <w:r>
        <w:rPr>
          <w:b w:val="0"/>
          <w:i/>
        </w:rPr>
        <w:t>θ</w:t>
      </w:r>
      <w:r>
        <w:rPr>
          <w:b w:val="0"/>
          <w:i w:val="0"/>
        </w:rPr>
        <w:t xml:space="preserve"> &gt; </w:t>
      </w:r>
      <w:r>
        <w:rPr>
          <w:b w:val="0"/>
          <w:i/>
        </w:rPr>
        <w:t>θ̂</w:t>
      </w:r>
      <w:r>
        <w:rPr>
          <w:b w:val="0"/>
          <w:i w:val="0"/>
        </w:rPr>
        <w:t>, (</w:t>
      </w:r>
      <w:r>
        <w:rPr>
          <w:b w:val="0"/>
          <w:i/>
        </w:rPr>
        <w:t>A</w:t>
      </w:r>
      <w:r>
        <w:rPr>
          <w:b w:val="0"/>
          <w:i w:val="0"/>
          <w:vertAlign w:val="subscript"/>
        </w:rPr>
        <w:t>0</w:t>
      </w:r>
      <w:r>
        <w:rPr>
          <w:b w:val="0"/>
          <w:i w:val="0"/>
        </w:rPr>
        <w:t xml:space="preserve">, </w:t>
      </w:r>
      <w:r>
        <w:rPr>
          <w:b w:val="0"/>
          <w:i/>
        </w:rPr>
        <w:t>A</w:t>
      </w:r>
      <w:r>
        <w:rPr>
          <w:b w:val="0"/>
          <w:i w:val="0"/>
          <w:vertAlign w:val="subscript"/>
        </w:rPr>
        <w:t>0</w:t>
      </w:r>
      <w:r>
        <w:rPr>
          <w:b w:val="0"/>
          <w:i w:val="0"/>
        </w:rPr>
        <w:t xml:space="preserve">) is the unique pure-strategy equilibrium: any </w:t>
      </w:r>
      <w:r>
        <w:rPr>
          <w:b w:val="0"/>
          <w:i/>
        </w:rPr>
        <w:t>A</w:t>
      </w:r>
      <w:r>
        <w:rPr>
          <w:b w:val="0"/>
          <w:i w:val="0"/>
        </w:rPr>
        <w:t xml:space="preserve"> &gt; </w:t>
      </w:r>
      <w:r>
        <w:rPr>
          <w:b w:val="0"/>
          <w:i/>
        </w:rPr>
        <w:t>A</w:t>
      </w:r>
      <w:r>
        <w:rPr>
          <w:b w:val="0"/>
          <w:i w:val="0"/>
          <w:vertAlign w:val="subscript"/>
        </w:rPr>
        <w:t>0</w:t>
      </w:r>
      <w:r>
        <w:rPr>
          <w:b w:val="0"/>
          <w:i w:val="0"/>
        </w:rPr>
        <w:t xml:space="preserve"> gives </w:t>
      </w:r>
      <w:r>
        <w:rPr>
          <w:b w:val="0"/>
          <w:i/>
        </w:rPr>
        <w:t>U</w:t>
      </w:r>
      <w:r>
        <w:rPr>
          <w:b w:val="0"/>
          <w:i w:val="0"/>
        </w:rPr>
        <w:t xml:space="preserve"> − </w:t>
      </w:r>
      <w:r>
        <w:rPr>
          <w:b w:val="0"/>
          <w:i/>
        </w:rPr>
        <w:t>θc</w:t>
      </w:r>
      <w:r>
        <w:rPr>
          <w:b w:val="0"/>
          <w:i w:val="0"/>
        </w:rPr>
        <w:t xml:space="preserve"> ≤ Π</w:t>
      </w:r>
      <w:r>
        <w:rPr>
          <w:b w:val="0"/>
          <w:i w:val="0"/>
          <w:vertAlign w:val="superscript"/>
        </w:rPr>
        <w:t>*</w:t>
      </w:r>
      <w:r>
        <w:rPr>
          <w:b w:val="0"/>
          <w:i w:val="0"/>
        </w:rPr>
        <w:t>(</w:t>
      </w:r>
      <w:r>
        <w:rPr>
          <w:b w:val="0"/>
          <w:i/>
        </w:rPr>
        <w:t>A</w:t>
      </w:r>
      <w:r>
        <w:rPr>
          <w:b w:val="0"/>
          <w:i w:val="0"/>
        </w:rPr>
        <w:t xml:space="preserve">) − </w:t>
      </w:r>
      <w:r>
        <w:rPr>
          <w:b w:val="0"/>
          <w:i/>
        </w:rPr>
        <w:t>θc</w:t>
      </w:r>
      <w:r>
        <w:rPr>
          <w:b w:val="0"/>
          <w:i w:val="0"/>
        </w:rPr>
        <w:t>(</w:t>
      </w:r>
      <w:r>
        <w:rPr>
          <w:b w:val="0"/>
          <w:i/>
        </w:rPr>
        <w:t>A</w:t>
      </w:r>
      <w:r>
        <w:rPr>
          <w:b w:val="0"/>
          <w:i w:val="0"/>
        </w:rPr>
        <w:t xml:space="preserve">) &lt; 0. </w:t>
      </w:r>
      <w:r>
        <w:rPr>
          <w:b w:val="0"/>
          <w:i/>
        </w:rPr>
        <w:t>Result 2.</w:t>
      </w:r>
      <w:r>
        <w:rPr>
          <w:b w:val="0"/>
          <w:i w:val="0"/>
        </w:rPr>
        <w:t xml:space="preserve"> There is no symmetric equilibrium with </w:t>
      </w:r>
      <w:r>
        <w:rPr>
          <w:b w:val="0"/>
          <w:i/>
        </w:rPr>
        <w:t>A</w:t>
      </w:r>
      <w:r>
        <w:rPr>
          <w:b w:val="0"/>
          <w:i w:val="0"/>
          <w:vertAlign w:val="subscript"/>
        </w:rPr>
        <w:t>1</w:t>
      </w:r>
      <w:r>
        <w:rPr>
          <w:b w:val="0"/>
          <w:i w:val="0"/>
        </w:rPr>
        <w:t xml:space="preserve"> = </w:t>
      </w:r>
      <w:r>
        <w:rPr>
          <w:b w:val="0"/>
          <w:i/>
        </w:rPr>
        <w:t>A</w:t>
      </w:r>
      <w:r>
        <w:rPr>
          <w:b w:val="0"/>
          <w:i w:val="0"/>
          <w:vertAlign w:val="subscript"/>
        </w:rPr>
        <w:t>2</w:t>
      </w:r>
      <w:r>
        <w:rPr>
          <w:b w:val="0"/>
          <w:i w:val="0"/>
        </w:rPr>
        <w:t xml:space="preserve"> &gt; </w:t>
      </w:r>
      <w:r>
        <w:rPr>
          <w:b w:val="0"/>
          <w:i/>
        </w:rPr>
        <w:t>A</w:t>
      </w:r>
      <w:r>
        <w:rPr>
          <w:b w:val="0"/>
          <w:i w:val="0"/>
          <w:vertAlign w:val="subscript"/>
        </w:rPr>
        <w:t>0</w:t>
      </w:r>
      <w:r>
        <w:rPr>
          <w:b w:val="0"/>
          <w:i w:val="0"/>
        </w:rPr>
        <w:t xml:space="preserve">: with identical tools Bertrand competition drives the price to </w:t>
      </w:r>
      <w:r>
        <w:rPr>
          <w:b w:val="0"/>
          <w:i/>
        </w:rPr>
        <w:t>k</w:t>
      </w:r>
      <w:r>
        <w:rPr>
          <w:b w:val="0"/>
          <w:i w:val="0"/>
        </w:rPr>
        <w:t xml:space="preserve"> and </w:t>
      </w:r>
      <w:r>
        <w:rPr>
          <w:b w:val="0"/>
          <w:i/>
        </w:rPr>
        <w:t>U</w:t>
      </w:r>
      <w:r>
        <w:rPr>
          <w:b w:val="0"/>
          <w:i w:val="0"/>
        </w:rPr>
        <w:t xml:space="preserve"> = 0, so either vendor gains </w:t>
      </w:r>
      <w:r>
        <w:rPr>
          <w:b w:val="0"/>
          <w:i/>
        </w:rPr>
        <w:t>θc</w:t>
      </w:r>
      <w:r>
        <w:rPr>
          <w:b w:val="0"/>
          <w:i w:val="0"/>
        </w:rPr>
        <w:t>(</w:t>
      </w:r>
      <w:r>
        <w:rPr>
          <w:b w:val="0"/>
          <w:i/>
        </w:rPr>
        <w:t>A</w:t>
      </w:r>
      <w:r>
        <w:rPr>
          <w:b w:val="0"/>
          <w:i w:val="0"/>
        </w:rPr>
        <w:t xml:space="preserve">) by deviating to </w:t>
      </w:r>
      <w:r>
        <w:rPr>
          <w:b w:val="0"/>
          <w:i/>
        </w:rPr>
        <w:t>A</w:t>
      </w:r>
      <w:r>
        <w:rPr>
          <w:b w:val="0"/>
          <w:i w:val="0"/>
          <w:vertAlign w:val="subscript"/>
        </w:rPr>
        <w:t>0</w:t>
      </w:r>
      <w:r>
        <w:rPr>
          <w:b w:val="0"/>
          <w:i w:val="0"/>
        </w:rPr>
        <w:t xml:space="preserve">. This assumes continuous prices and the usual Bertrand tie-breaking. </w:t>
      </w:r>
      <w:r>
        <w:rPr>
          <w:b w:val="0"/>
          <w:i/>
        </w:rPr>
        <w:t>Result 3.</w:t>
      </w:r>
      <w:r>
        <w:rPr>
          <w:b w:val="0"/>
          <w:i w:val="0"/>
        </w:rPr>
        <w:t xml:space="preserve"> Let </w:t>
      </w:r>
      <w:r>
        <w:rPr>
          <w:b w:val="0"/>
          <w:i/>
        </w:rPr>
        <w:t>A</w:t>
      </w:r>
      <w:r>
        <w:rPr>
          <w:b w:val="0"/>
          <w:i w:val="0"/>
          <w:vertAlign w:val="subscript"/>
        </w:rPr>
        <w:t>1</w:t>
      </w:r>
      <w:r>
        <w:rPr>
          <w:b w:val="0"/>
          <w:i w:val="0"/>
        </w:rPr>
        <w:t xml:space="preserve"> be a monopoly optimum and </w:t>
      </w:r>
      <w:r>
        <w:rPr>
          <w:b w:val="0"/>
          <w:i/>
        </w:rPr>
        <w:t>θ</w:t>
      </w:r>
      <w:r>
        <w:rPr>
          <w:b w:val="0"/>
          <w:i w:val="0"/>
          <w:vertAlign w:val="subscript"/>
        </w:rPr>
        <w:t>f</w:t>
      </w:r>
      <w:r>
        <w:rPr>
          <w:b w:val="0"/>
          <w:i w:val="0"/>
        </w:rPr>
        <w:t>(</w:t>
      </w:r>
      <w:r>
        <w:rPr>
          <w:b w:val="0"/>
          <w:i/>
        </w:rPr>
        <w:t>A</w:t>
      </w:r>
      <w:r>
        <w:rPr>
          <w:b w:val="0"/>
          <w:i w:val="0"/>
          <w:vertAlign w:val="subscript"/>
        </w:rPr>
        <w:t>1</w:t>
      </w:r>
      <w:r>
        <w:rPr>
          <w:b w:val="0"/>
          <w:i w:val="0"/>
        </w:rPr>
        <w:t>) = sup</w:t>
      </w:r>
      <w:r>
        <w:rPr>
          <w:b w:val="0"/>
          <w:i w:val="0"/>
          <w:vertAlign w:val="subscript"/>
        </w:rPr>
        <w:t>*A*&gt;*A*_{0</w:t>
      </w:r>
      <w:r>
        <w:rPr>
          <w:b w:val="0"/>
          <w:i w:val="0"/>
        </w:rPr>
        <w:t xml:space="preserve">} </w:t>
      </w:r>
      <w:r>
        <w:rPr>
          <w:b w:val="0"/>
          <w:i/>
        </w:rPr>
        <w:t>U</w:t>
      </w:r>
      <w:r>
        <w:rPr>
          <w:b w:val="0"/>
          <w:i w:val="0"/>
        </w:rPr>
        <w:t>(</w:t>
      </w:r>
      <w:r>
        <w:rPr>
          <w:b w:val="0"/>
          <w:i/>
        </w:rPr>
        <w:t>A</w:t>
      </w:r>
      <w:r>
        <w:rPr>
          <w:b w:val="0"/>
          <w:i w:val="0"/>
        </w:rPr>
        <w:t xml:space="preserve">, </w:t>
      </w:r>
      <w:r>
        <w:rPr>
          <w:b w:val="0"/>
          <w:i/>
        </w:rPr>
        <w:t>A</w:t>
      </w:r>
      <w:r>
        <w:rPr>
          <w:b w:val="0"/>
          <w:i w:val="0"/>
          <w:vertAlign w:val="subscript"/>
        </w:rPr>
        <w:t>1</w:t>
      </w:r>
      <w:r>
        <w:rPr>
          <w:b w:val="0"/>
          <w:i w:val="0"/>
        </w:rPr>
        <w:t>)/</w:t>
      </w:r>
      <w:r>
        <w:rPr>
          <w:b w:val="0"/>
          <w:i/>
        </w:rPr>
        <w:t>c</w:t>
      </w:r>
      <w:r>
        <w:rPr>
          <w:b w:val="0"/>
          <w:i w:val="0"/>
        </w:rPr>
        <w:t>(</w:t>
      </w:r>
      <w:r>
        <w:rPr>
          <w:b w:val="0"/>
          <w:i/>
        </w:rPr>
        <w:t>A</w:t>
      </w:r>
      <w:r>
        <w:rPr>
          <w:b w:val="0"/>
          <w:i w:val="0"/>
        </w:rPr>
        <w:t xml:space="preserve">). If </w:t>
      </w:r>
      <w:r>
        <w:rPr>
          <w:b w:val="0"/>
          <w:i/>
        </w:rPr>
        <w:t>θ</w:t>
      </w:r>
      <w:r>
        <w:rPr>
          <w:b w:val="0"/>
          <w:i w:val="0"/>
        </w:rPr>
        <w:t xml:space="preserve"> ≥ </w:t>
      </w:r>
      <w:r>
        <w:rPr>
          <w:b w:val="0"/>
          <w:i/>
        </w:rPr>
        <w:t>θ</w:t>
      </w:r>
      <w:r>
        <w:rPr>
          <w:b w:val="0"/>
          <w:i w:val="0"/>
          <w:vertAlign w:val="subscript"/>
        </w:rPr>
        <w:t>f</w:t>
      </w:r>
      <w:r>
        <w:rPr>
          <w:b w:val="0"/>
          <w:i w:val="0"/>
        </w:rPr>
        <w:t>(</w:t>
      </w:r>
      <w:r>
        <w:rPr>
          <w:b w:val="0"/>
          <w:i/>
        </w:rPr>
        <w:t>A</w:t>
      </w:r>
      <w:r>
        <w:rPr>
          <w:b w:val="0"/>
          <w:i w:val="0"/>
          <w:vertAlign w:val="subscript"/>
        </w:rPr>
        <w:t>1</w:t>
      </w:r>
      <w:r>
        <w:rPr>
          <w:b w:val="0"/>
          <w:i w:val="0"/>
        </w:rPr>
        <w:t>), then (</w:t>
      </w:r>
      <w:r>
        <w:rPr>
          <w:b w:val="0"/>
          <w:i/>
        </w:rPr>
        <w:t>A</w:t>
      </w:r>
      <w:r>
        <w:rPr>
          <w:b w:val="0"/>
          <w:i w:val="0"/>
          <w:vertAlign w:val="subscript"/>
        </w:rPr>
        <w:t>1</w:t>
      </w:r>
      <w:r>
        <w:rPr>
          <w:b w:val="0"/>
          <w:i w:val="0"/>
        </w:rPr>
        <w:t xml:space="preserve">, </w:t>
      </w:r>
      <w:r>
        <w:rPr>
          <w:b w:val="0"/>
          <w:i/>
        </w:rPr>
        <w:t>A</w:t>
      </w:r>
      <w:r>
        <w:rPr>
          <w:b w:val="0"/>
          <w:i w:val="0"/>
          <w:vertAlign w:val="subscript"/>
        </w:rPr>
        <w:t>0</w:t>
      </w:r>
      <w:r>
        <w:rPr>
          <w:b w:val="0"/>
          <w:i w:val="0"/>
        </w:rPr>
        <w:t xml:space="preserve">) is a pure-strategy equilibrium: given a follower at </w:t>
      </w:r>
      <w:r>
        <w:rPr>
          <w:b w:val="0"/>
          <w:i/>
        </w:rPr>
        <w:t>A</w:t>
      </w:r>
      <w:r>
        <w:rPr>
          <w:b w:val="0"/>
          <w:i w:val="0"/>
          <w:vertAlign w:val="subscript"/>
        </w:rPr>
        <w:t>0</w:t>
      </w:r>
      <w:r>
        <w:rPr>
          <w:b w:val="0"/>
          <w:i w:val="0"/>
        </w:rPr>
        <w:t xml:space="preserve">, the leader's best response is </w:t>
      </w:r>
      <w:r>
        <w:rPr>
          <w:b w:val="0"/>
          <w:i/>
        </w:rPr>
        <w:t>A</w:t>
      </w:r>
      <w:r>
        <w:rPr>
          <w:b w:val="0"/>
          <w:i w:val="0"/>
          <w:vertAlign w:val="subscript"/>
        </w:rPr>
        <w:t>1</w:t>
      </w:r>
      <w:r>
        <w:rPr>
          <w:b w:val="0"/>
          <w:i w:val="0"/>
        </w:rPr>
        <w:t xml:space="preserve">, and a follower deviation to </w:t>
      </w:r>
      <w:r>
        <w:rPr>
          <w:b w:val="0"/>
          <w:i/>
        </w:rPr>
        <w:t>A</w:t>
      </w:r>
      <w:r>
        <w:rPr>
          <w:b w:val="0"/>
          <w:i w:val="0"/>
        </w:rPr>
        <w:t xml:space="preserve"> earns </w:t>
      </w:r>
      <w:r>
        <w:rPr>
          <w:b w:val="0"/>
          <w:i/>
        </w:rPr>
        <w:t>U</w:t>
      </w:r>
      <w:r>
        <w:rPr>
          <w:b w:val="0"/>
          <w:i w:val="0"/>
        </w:rPr>
        <w:t>(</w:t>
      </w:r>
      <w:r>
        <w:rPr>
          <w:b w:val="0"/>
          <w:i/>
        </w:rPr>
        <w:t>A</w:t>
      </w:r>
      <w:r>
        <w:rPr>
          <w:b w:val="0"/>
          <w:i w:val="0"/>
        </w:rPr>
        <w:t xml:space="preserve">, </w:t>
      </w:r>
      <w:r>
        <w:rPr>
          <w:b w:val="0"/>
          <w:i/>
        </w:rPr>
        <w:t>A</w:t>
      </w:r>
      <w:r>
        <w:rPr>
          <w:b w:val="0"/>
          <w:i w:val="0"/>
          <w:vertAlign w:val="subscript"/>
        </w:rPr>
        <w:t>1</w:t>
      </w:r>
      <w:r>
        <w:rPr>
          <w:b w:val="0"/>
          <w:i w:val="0"/>
        </w:rPr>
        <w:t xml:space="preserve">) − </w:t>
      </w:r>
      <w:r>
        <w:rPr>
          <w:b w:val="0"/>
          <w:i/>
        </w:rPr>
        <w:t>θc</w:t>
      </w:r>
      <w:r>
        <w:rPr>
          <w:b w:val="0"/>
          <w:i w:val="0"/>
        </w:rPr>
        <w:t>(</w:t>
      </w:r>
      <w:r>
        <w:rPr>
          <w:b w:val="0"/>
          <w:i/>
        </w:rPr>
        <w:t>A</w:t>
      </w:r>
      <w:r>
        <w:rPr>
          <w:b w:val="0"/>
          <w:i w:val="0"/>
        </w:rPr>
        <w:t>) ≤ (</w:t>
      </w:r>
      <w:r>
        <w:rPr>
          <w:b w:val="0"/>
          <w:i/>
        </w:rPr>
        <w:t>θ</w:t>
      </w:r>
      <w:r>
        <w:rPr>
          <w:b w:val="0"/>
          <w:i w:val="0"/>
          <w:vertAlign w:val="subscript"/>
        </w:rPr>
        <w:t>f</w:t>
      </w:r>
      <w:r>
        <w:rPr>
          <w:b w:val="0"/>
          <w:i w:val="0"/>
        </w:rPr>
        <w:t xml:space="preserve"> − </w:t>
      </w:r>
      <w:r>
        <w:rPr>
          <w:b w:val="0"/>
          <w:i/>
        </w:rPr>
        <w:t>θ</w:t>
      </w:r>
      <w:r>
        <w:rPr>
          <w:b w:val="0"/>
          <w:i w:val="0"/>
        </w:rPr>
        <w:t>)</w:t>
      </w:r>
      <w:r>
        <w:rPr>
          <w:b w:val="0"/>
          <w:i/>
        </w:rPr>
        <w:t>c</w:t>
      </w:r>
      <w:r>
        <w:rPr>
          <w:b w:val="0"/>
          <w:i w:val="0"/>
        </w:rPr>
        <w:t>(</w:t>
      </w:r>
      <w:r>
        <w:rPr>
          <w:b w:val="0"/>
          <w:i/>
        </w:rPr>
        <w:t>A</w:t>
      </w:r>
      <w:r>
        <w:rPr>
          <w:b w:val="0"/>
          <w:i w:val="0"/>
        </w:rPr>
        <w:t xml:space="preserve">) ≤ 0. This condition is sufficient for a preemption equilibrium; we have not shown that such an equilibrium is the only one. Numerically (seven-point grid) </w:t>
      </w:r>
      <w:r>
        <w:rPr>
          <w:b w:val="0"/>
          <w:i/>
        </w:rPr>
        <w:t>θ</w:t>
      </w:r>
      <w:r>
        <w:rPr>
          <w:b w:val="0"/>
          <w:i w:val="0"/>
          <w:vertAlign w:val="subscript"/>
        </w:rPr>
        <w:t>f</w:t>
      </w:r>
      <w:r>
        <w:rPr>
          <w:b w:val="0"/>
          <w:i w:val="0"/>
        </w:rPr>
        <w:t xml:space="preserve">(1.0) ≈ 24, so the preemption equilibrium with the leader at parity exists for </w:t>
      </w:r>
      <w:r>
        <w:rPr>
          <w:b w:val="0"/>
          <w:i/>
        </w:rPr>
        <w:t>θ</w:t>
      </w:r>
      <w:r>
        <w:rPr>
          <w:b w:val="0"/>
          <w:i w:val="0"/>
        </w:rPr>
        <w:t xml:space="preserve"> between 24 and 46.</w:t>
      </w:r>
    </w:p>
    <w:p>
      <w:pPr>
        <w:keepNext/>
        <w:spacing w:line="276" w:lineRule="auto" w:after="80" w:before="160"/>
      </w:pPr>
      <w:r>
        <w:rPr>
          <w:b/>
          <w:i/>
        </w:rPr>
        <w:t>A.9 Summary of the status of the results</w:t>
      </w:r>
    </w:p>
    <w:p>
      <w:pPr>
        <w:keepNext/>
        <w:spacing w:line="276" w:lineRule="auto" w:after="80" w:before="200"/>
      </w:pPr>
      <w:r>
        <w:rPr>
          <w:b/>
          <w:i w:val="0"/>
        </w:rPr>
        <w:t>Table A1.</w:t>
      </w:r>
      <w:r>
        <w:rPr>
          <w:b w:val="0"/>
          <w:i w:val="0"/>
        </w:rPr>
        <w:t xml:space="preserve"> Status of results</w:t>
      </w:r>
    </w:p>
    <w:tbl>
      <w:tblPr>
        <w:tblW w:type="auto" w:w="0"/>
        <w:jc w:val="center"/>
        <w:tblLook w:firstColumn="1" w:firstRow="1" w:lastColumn="0" w:lastRow="0" w:noHBand="0" w:noVBand="1" w:val="04A0"/>
      </w:tblPr>
      <w:tblGrid>
        <w:gridCol w:w="3120"/>
        <w:gridCol w:w="3120"/>
        <w:gridCol w:w="3120"/>
      </w:tblGrid>
      <w:tr>
        <w:tc>
          <w:tcPr>
            <w:tcW w:type="dxa" w:w="3168"/>
            <w:tcBorders>
              <w:top w:val="single" w:sz="12" w:color="000000"/>
              <w:bottom w:val="single" w:sz="6" w:color="000000"/>
            </w:tcBorders>
          </w:tcPr>
          <w:p>
            <w:pPr>
              <w:spacing w:line="240" w:lineRule="auto" w:after="20" w:before="20"/>
            </w:pPr>
            <w:r/>
            <w:r>
              <w:rPr>
                <w:b/>
                <w:i w:val="0"/>
                <w:sz w:val="20"/>
              </w:rPr>
              <w:t>Result</w:t>
            </w:r>
          </w:p>
        </w:tc>
        <w:tc>
          <w:tcPr>
            <w:tcW w:type="dxa" w:w="2880"/>
            <w:tcBorders>
              <w:top w:val="single" w:sz="12" w:color="000000"/>
              <w:bottom w:val="single" w:sz="6" w:color="000000"/>
            </w:tcBorders>
          </w:tcPr>
          <w:p>
            <w:pPr>
              <w:spacing w:line="240" w:lineRule="auto" w:after="20" w:before="20"/>
            </w:pPr>
            <w:r/>
            <w:r>
              <w:rPr>
                <w:b/>
                <w:i w:val="0"/>
                <w:sz w:val="20"/>
              </w:rPr>
              <w:t>Status</w:t>
            </w:r>
          </w:p>
        </w:tc>
        <w:tc>
          <w:tcPr>
            <w:tcW w:type="dxa" w:w="3600"/>
            <w:tcBorders>
              <w:top w:val="single" w:sz="12" w:color="000000"/>
              <w:bottom w:val="single" w:sz="6" w:color="000000"/>
            </w:tcBorders>
          </w:tcPr>
          <w:p>
            <w:pPr>
              <w:spacing w:line="240" w:lineRule="auto" w:after="20" w:before="20"/>
            </w:pPr>
            <w:r/>
            <w:r>
              <w:rPr>
                <w:b/>
                <w:i w:val="0"/>
                <w:sz w:val="20"/>
              </w:rPr>
              <w:t>Where the gap lies</w:t>
            </w:r>
          </w:p>
        </w:tc>
      </w:tr>
      <w:tr>
        <w:tc>
          <w:tcPr>
            <w:tcW w:type="dxa" w:w="3168"/>
          </w:tcPr>
          <w:p>
            <w:pPr>
              <w:spacing w:line="240" w:lineRule="auto" w:after="20" w:before="20"/>
            </w:pPr>
            <w:r/>
            <w:r>
              <w:rPr>
                <w:b w:val="0"/>
                <w:i w:val="0"/>
                <w:sz w:val="20"/>
              </w:rPr>
              <w:t>Lemma 1, Lemma 2, Proposition 2</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 xml:space="preserve">Requires </w:t>
            </w:r>
            <w:r>
              <w:rPr>
                <w:b w:val="0"/>
                <w:i/>
                <w:sz w:val="20"/>
              </w:rPr>
              <w:t>ρ</w:t>
            </w:r>
            <w:r>
              <w:rPr>
                <w:b w:val="0"/>
                <w:i w:val="0"/>
                <w:sz w:val="20"/>
              </w:rPr>
              <w:t xml:space="preserve"> &gt; 1 (AI more effective than human per unit cost)</w:t>
            </w:r>
          </w:p>
        </w:tc>
      </w:tr>
      <w:tr>
        <w:tc>
          <w:tcPr>
            <w:tcW w:type="dxa" w:w="3168"/>
          </w:tcPr>
          <w:p>
            <w:pPr>
              <w:spacing w:line="240" w:lineRule="auto" w:after="20" w:before="20"/>
            </w:pPr>
            <w:r/>
            <w:r>
              <w:rPr>
                <w:b w:val="0"/>
                <w:i w:val="0"/>
                <w:sz w:val="20"/>
              </w:rPr>
              <w:t>Proposition 3</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A sufficient bound; actual exclusion is lower</w:t>
            </w:r>
          </w:p>
        </w:tc>
      </w:tr>
      <w:tr>
        <w:tc>
          <w:tcPr>
            <w:tcW w:type="dxa" w:w="3168"/>
          </w:tcPr>
          <w:p>
            <w:pPr>
              <w:spacing w:line="240" w:lineRule="auto" w:after="20" w:before="20"/>
            </w:pPr>
            <w:r/>
            <w:r>
              <w:rPr>
                <w:b w:val="0"/>
                <w:i w:val="0"/>
                <w:sz w:val="20"/>
              </w:rPr>
              <w:t>Proposition 4</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Lognormal stakes; adoption set endpoints fixed</w:t>
            </w:r>
          </w:p>
        </w:tc>
      </w:tr>
      <w:tr>
        <w:tc>
          <w:tcPr>
            <w:tcW w:type="dxa" w:w="3168"/>
          </w:tcPr>
          <w:p>
            <w:pPr>
              <w:spacing w:line="240" w:lineRule="auto" w:after="20" w:before="20"/>
            </w:pPr>
            <w:r/>
            <w:r>
              <w:rPr>
                <w:b w:val="0"/>
                <w:i w:val="0"/>
                <w:sz w:val="20"/>
              </w:rPr>
              <w:t>Propositions 5, 6</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Continuity of Π</w:t>
            </w:r>
            <w:r>
              <w:rPr>
                <w:b w:val="0"/>
                <w:i w:val="0"/>
                <w:sz w:val="20"/>
                <w:vertAlign w:val="superscript"/>
              </w:rPr>
              <w:t>*</w:t>
            </w:r>
            <w:r>
              <w:rPr>
                <w:b w:val="0"/>
                <w:i w:val="0"/>
                <w:sz w:val="20"/>
              </w:rPr>
              <w:t xml:space="preserve"> argued by dominated convergence, not written out</w:t>
            </w:r>
          </w:p>
        </w:tc>
      </w:tr>
      <w:tr>
        <w:tc>
          <w:tcPr>
            <w:tcW w:type="dxa" w:w="3168"/>
          </w:tcPr>
          <w:p>
            <w:pPr>
              <w:spacing w:line="240" w:lineRule="auto" w:after="20" w:before="20"/>
            </w:pPr>
            <w:r/>
            <w:r>
              <w:rPr>
                <w:b w:val="0"/>
                <w:i w:val="0"/>
                <w:sz w:val="20"/>
              </w:rPr>
              <w:t>Proposition 7</w:t>
            </w:r>
          </w:p>
        </w:tc>
        <w:tc>
          <w:tcPr>
            <w:tcW w:type="dxa" w:w="2880"/>
          </w:tcPr>
          <w:p>
            <w:pPr>
              <w:spacing w:line="240" w:lineRule="auto" w:after="20" w:before="20"/>
            </w:pPr>
            <w:r/>
            <w:r>
              <w:rPr>
                <w:b w:val="0"/>
                <w:i w:val="0"/>
                <w:sz w:val="20"/>
              </w:rPr>
              <w:t>Proved under (Q); lognormal</w:t>
            </w:r>
          </w:p>
        </w:tc>
        <w:tc>
          <w:tcPr>
            <w:tcW w:type="dxa" w:w="3600"/>
          </w:tcPr>
          <w:p>
            <w:pPr>
              <w:spacing w:line="240" w:lineRule="auto" w:after="20" w:before="20"/>
            </w:pPr>
            <w:r/>
            <w:r>
              <w:rPr>
                <w:b w:val="0"/>
                <w:i w:val="0"/>
                <w:sz w:val="20"/>
              </w:rPr>
              <w:t xml:space="preserve">Uniformity of </w:t>
            </w:r>
            <w:r>
              <w:rPr>
                <w:b w:val="0"/>
                <w:i/>
                <w:sz w:val="20"/>
              </w:rPr>
              <w:t>O</w:t>
            </w:r>
            <w:r>
              <w:rPr>
                <w:b w:val="0"/>
                <w:i w:val="0"/>
                <w:sz w:val="20"/>
              </w:rPr>
              <w:t>(</w:t>
            </w:r>
            <w:r>
              <w:rPr>
                <w:b w:val="0"/>
                <w:i/>
                <w:sz w:val="20"/>
              </w:rPr>
              <w:t>ε</w:t>
            </w:r>
            <w:r>
              <w:rPr>
                <w:b w:val="0"/>
                <w:i w:val="0"/>
                <w:sz w:val="20"/>
              </w:rPr>
              <w:t>²) constants not traced; divergence rate approximate</w:t>
            </w:r>
          </w:p>
        </w:tc>
      </w:tr>
      <w:tr>
        <w:tc>
          <w:tcPr>
            <w:tcW w:type="dxa" w:w="3168"/>
          </w:tcPr>
          <w:p>
            <w:pPr>
              <w:spacing w:line="240" w:lineRule="auto" w:after="20" w:before="20"/>
            </w:pPr>
            <w:r/>
            <w:r>
              <w:rPr>
                <w:b w:val="0"/>
                <w:i w:val="0"/>
                <w:sz w:val="20"/>
              </w:rPr>
              <w:t>Proposition 8</w:t>
            </w:r>
          </w:p>
        </w:tc>
        <w:tc>
          <w:tcPr>
            <w:tcW w:type="dxa" w:w="2880"/>
          </w:tcPr>
          <w:p>
            <w:pPr>
              <w:spacing w:line="240" w:lineRule="auto" w:after="20" w:before="20"/>
            </w:pPr>
            <w:r/>
            <w:r>
              <w:rPr>
                <w:b w:val="0"/>
                <w:i w:val="0"/>
                <w:sz w:val="20"/>
              </w:rPr>
              <w:t>Local part proved; global part numerical</w:t>
            </w:r>
          </w:p>
        </w:tc>
        <w:tc>
          <w:tcPr>
            <w:tcW w:type="dxa" w:w="3600"/>
          </w:tcPr>
          <w:p>
            <w:pPr>
              <w:spacing w:line="240" w:lineRule="auto" w:after="20" w:before="20"/>
            </w:pPr>
            <w:r/>
            <w:r>
              <w:rPr>
                <w:b w:val="0"/>
                <w:i w:val="0"/>
                <w:sz w:val="20"/>
              </w:rPr>
              <w:t xml:space="preserve">Global maximum at </w:t>
            </w:r>
            <w:r>
              <w:rPr>
                <w:b w:val="0"/>
                <w:i/>
                <w:sz w:val="20"/>
              </w:rPr>
              <w:t>A</w:t>
            </w:r>
            <w:r>
              <w:rPr>
                <w:b w:val="0"/>
                <w:i w:val="0"/>
                <w:sz w:val="20"/>
              </w:rPr>
              <w:t xml:space="preserve"> = 1, </w:t>
            </w:r>
            <w:r>
              <w:rPr>
                <w:b w:val="0"/>
                <w:i/>
                <w:sz w:val="20"/>
              </w:rPr>
              <w:t>θ</w:t>
            </w:r>
            <w:r>
              <w:rPr>
                <w:b w:val="0"/>
                <w:i w:val="0"/>
                <w:sz w:val="20"/>
                <w:vertAlign w:val="subscript"/>
              </w:rPr>
              <w:t>low</w:t>
            </w:r>
            <w:r>
              <w:rPr>
                <w:b w:val="0"/>
                <w:i w:val="0"/>
                <w:sz w:val="20"/>
              </w:rPr>
              <w:t xml:space="preserve"> = 27.58</w:t>
            </w:r>
          </w:p>
        </w:tc>
      </w:tr>
      <w:tr>
        <w:tc>
          <w:tcPr>
            <w:tcW w:type="dxa" w:w="3168"/>
          </w:tcPr>
          <w:p>
            <w:pPr>
              <w:spacing w:line="240" w:lineRule="auto" w:after="20" w:before="20"/>
            </w:pPr>
            <w:r/>
            <w:r>
              <w:rPr>
                <w:b w:val="0"/>
                <w:i w:val="0"/>
                <w:sz w:val="20"/>
              </w:rPr>
              <w:t>Proposition 9</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Magnitudes depend on reach cap 1.3 and the welfare measure</w:t>
            </w:r>
          </w:p>
        </w:tc>
      </w:tr>
      <w:tr>
        <w:tc>
          <w:tcPr>
            <w:tcW w:type="dxa" w:w="3168"/>
            <w:tcBorders>
              <w:bottom w:val="single" w:sz="12" w:color="000000"/>
            </w:tcBorders>
          </w:tcPr>
          <w:p>
            <w:pPr>
              <w:spacing w:line="240" w:lineRule="auto" w:after="20" w:before="20"/>
            </w:pPr>
            <w:r/>
            <w:r>
              <w:rPr>
                <w:b w:val="0"/>
                <w:i w:val="0"/>
                <w:sz w:val="20"/>
              </w:rPr>
              <w:t>Duopoly results</w:t>
            </w:r>
          </w:p>
        </w:tc>
        <w:tc>
          <w:tcPr>
            <w:tcW w:type="dxa" w:w="2880"/>
            <w:tcBorders>
              <w:bottom w:val="single" w:sz="12" w:color="000000"/>
            </w:tcBorders>
          </w:tcPr>
          <w:p>
            <w:pPr>
              <w:spacing w:line="240" w:lineRule="auto" w:after="20" w:before="20"/>
            </w:pPr>
            <w:r/>
            <w:r>
              <w:rPr>
                <w:b w:val="0"/>
                <w:i w:val="0"/>
                <w:sz w:val="20"/>
              </w:rPr>
              <w:t>Proved (1, 2, 3 as stated)</w:t>
            </w:r>
          </w:p>
        </w:tc>
        <w:tc>
          <w:tcPr>
            <w:tcW w:type="dxa" w:w="3600"/>
            <w:tcBorders>
              <w:bottom w:val="single" w:sz="12" w:color="000000"/>
            </w:tcBorders>
          </w:tcPr>
          <w:p>
            <w:pPr>
              <w:spacing w:line="240" w:lineRule="auto" w:after="20" w:before="20"/>
            </w:pPr>
            <w:r/>
            <w:r>
              <w:rPr>
                <w:b w:val="0"/>
                <w:i w:val="0"/>
                <w:sz w:val="20"/>
              </w:rPr>
              <w:t>Uniqueness of preemption not shown</w:t>
            </w:r>
          </w:p>
        </w:tc>
      </w:tr>
    </w:tbl>
    <w:p>
      <w:pPr>
        <w:spacing w:line="240" w:lineRule="auto" w:after="0" w:before="0"/>
      </w:pPr>
    </w:p>
    <w:p>
      <w:pPr>
        <w:keepNext/>
        <w:spacing w:line="276" w:lineRule="auto" w:after="120" w:before="240"/>
      </w:pPr>
      <w:r>
        <w:rPr>
          <w:b/>
          <w:i w:val="0"/>
        </w:rPr>
        <w:t>B. Pricing Extensions: Committed-Spend Menus and Two-Part Tariffs</w:t>
      </w:r>
    </w:p>
    <w:p>
      <w:pPr>
        <w:spacing w:after="0" w:before="0"/>
        <w:ind w:firstLine="720"/>
      </w:pPr>
      <w:r>
        <w:rPr>
          <w:b w:val="0"/>
          <w:i w:val="0"/>
        </w:rPr>
        <w:t xml:space="preserve">A linear usage price is a restricted instrument (Bergemann, Bonatti, and Smolin 2026). We compute what richer instruments yield in our setting. Firms have private stakes </w:t>
      </w:r>
      <w:r>
        <w:rPr>
          <w:b w:val="0"/>
          <w:i/>
        </w:rPr>
        <w:t>f</w:t>
      </w:r>
      <w:r>
        <w:rPr>
          <w:b w:val="0"/>
          <w:i w:val="0"/>
        </w:rPr>
        <w:t xml:space="preserve">. A firm that picks a contract with testing budget </w:t>
      </w:r>
      <w:r>
        <w:rPr>
          <w:b w:val="0"/>
          <w:i/>
        </w:rPr>
        <w:t>T</w:t>
      </w:r>
      <w:r>
        <w:rPr>
          <w:b w:val="0"/>
          <w:i w:val="0"/>
        </w:rPr>
        <w:t xml:space="preserve"> and payment </w:t>
      </w:r>
      <w:r>
        <w:rPr>
          <w:b w:val="0"/>
          <w:i/>
        </w:rPr>
        <w:t>t</w:t>
      </w:r>
      <w:r>
        <w:rPr>
          <w:b w:val="0"/>
          <w:i w:val="0"/>
        </w:rPr>
        <w:t xml:space="preserve"> obtains </w:t>
      </w:r>
      <w:r>
        <w:rPr>
          <w:b w:val="0"/>
          <w:i/>
        </w:rPr>
        <w:t>fAa</w:t>
      </w:r>
      <w:r>
        <w:rPr>
          <w:b w:val="0"/>
          <w:i w:val="0"/>
        </w:rPr>
        <w:t>(1 − e</w:t>
      </w:r>
      <w:r>
        <w:rPr>
          <w:b w:val="0"/>
          <w:i w:val="0"/>
          <w:vertAlign w:val="superscript"/>
        </w:rPr>
        <w:t>−*BbT*</w:t>
      </w:r>
      <w:r>
        <w:rPr>
          <w:b w:val="0"/>
          <w:i w:val="0"/>
        </w:rPr>
        <w:t xml:space="preserve">) − </w:t>
      </w:r>
      <w:r>
        <w:rPr>
          <w:b w:val="0"/>
          <w:i/>
        </w:rPr>
        <w:t>c</w:t>
      </w:r>
      <w:r>
        <w:rPr>
          <w:b w:val="0"/>
          <w:i w:val="0"/>
          <w:vertAlign w:val="subscript"/>
        </w:rPr>
        <w:t>0</w:t>
      </w:r>
      <w:r>
        <w:rPr>
          <w:b w:val="0"/>
          <w:i/>
        </w:rPr>
        <w:t>T</w:t>
      </w:r>
      <w:r>
        <w:rPr>
          <w:b w:val="0"/>
          <w:i w:val="0"/>
        </w:rPr>
        <w:t xml:space="preserve"> − </w:t>
      </w:r>
      <w:r>
        <w:rPr>
          <w:b w:val="0"/>
          <w:i/>
        </w:rPr>
        <w:t>t</w:t>
      </w:r>
      <w:r>
        <w:rPr>
          <w:b w:val="0"/>
          <w:i w:val="0"/>
        </w:rPr>
        <w:t xml:space="preserve">, against an outside option equal to the human saving </w:t>
      </w:r>
      <w:r>
        <w:rPr>
          <w:b w:val="0"/>
          <w:i/>
        </w:rPr>
        <w:t>S</w:t>
      </w:r>
      <w:r>
        <w:rPr>
          <w:b w:val="0"/>
          <w:i w:val="0"/>
          <w:vertAlign w:val="subscript"/>
        </w:rPr>
        <w:t>H</w:t>
      </w:r>
      <w:r>
        <w:rPr>
          <w:b w:val="0"/>
          <w:i w:val="0"/>
        </w:rPr>
        <w:t>(</w:t>
      </w:r>
      <w:r>
        <w:rPr>
          <w:b w:val="0"/>
          <w:i/>
        </w:rPr>
        <w:t>f</w:t>
      </w:r>
      <w:r>
        <w:rPr>
          <w:b w:val="0"/>
          <w:i w:val="0"/>
        </w:rPr>
        <w:t xml:space="preserve">). The vendor's cost is </w:t>
      </w:r>
      <w:r>
        <w:rPr>
          <w:b w:val="0"/>
          <w:i/>
        </w:rPr>
        <w:t>kT</w:t>
      </w:r>
      <w:r>
        <w:rPr>
          <w:b w:val="0"/>
          <w:i w:val="0"/>
        </w:rPr>
        <w:t xml:space="preserve">. We solve the vendor's direct-mechanism problem as a linear program over a 60-point grid of stakes and a 40-point grid of budgets, allowing randomization, which gives an upper bound on the profit of any menu. We then solve for the best deterministic menu (one item per type) as a mixed-integer program, with optimality gap 0.0 percent, and for the best two-part tariff (fixed fee </w:t>
      </w:r>
      <w:r>
        <w:rPr>
          <w:b w:val="0"/>
          <w:i/>
        </w:rPr>
        <w:t>F</w:t>
      </w:r>
      <w:r>
        <w:rPr>
          <w:b w:val="0"/>
          <w:i w:val="0"/>
        </w:rPr>
        <w:t xml:space="preserve">, usage price </w:t>
      </w:r>
      <w:r>
        <w:rPr>
          <w:b w:val="0"/>
          <w:i/>
        </w:rPr>
        <w:t>p</w:t>
      </w:r>
      <w:r>
        <w:rPr>
          <w:b w:val="0"/>
          <w:i w:val="0"/>
        </w:rPr>
        <w:t>).</w:t>
      </w:r>
    </w:p>
    <w:p>
      <w:pPr>
        <w:keepNext/>
        <w:spacing w:line="276" w:lineRule="auto" w:after="80" w:before="200"/>
      </w:pPr>
      <w:r>
        <w:rPr>
          <w:b/>
          <w:i w:val="0"/>
        </w:rPr>
        <w:t>Table B1.</w:t>
      </w:r>
      <w:r>
        <w:rPr>
          <w:b w:val="0"/>
          <w:i w:val="0"/>
        </w:rPr>
        <w:t xml:space="preserve"> Vendor profit under alternative pricing instruments (illustrative parameters)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tcBorders>
              <w:top w:val="single" w:sz="12" w:color="000000"/>
              <w:bottom w:val="single" w:sz="6" w:color="000000"/>
            </w:tcBorders>
          </w:tcPr>
          <w:p>
            <w:pPr>
              <w:spacing w:line="240" w:lineRule="auto" w:after="20" w:before="20"/>
            </w:pPr>
            <w:r/>
            <w:r>
              <w:rPr>
                <w:b/>
                <w:i w:val="0"/>
                <w:sz w:val="18"/>
              </w:rPr>
              <w:t xml:space="preserve">Reach </w:t>
            </w:r>
            <w:r>
              <w:rPr>
                <w:b/>
                <w:i/>
                <w:sz w:val="18"/>
              </w:rPr>
              <w:t>A</w:t>
            </w:r>
          </w:p>
        </w:tc>
        <w:tc>
          <w:tcPr>
            <w:tcW w:type="dxa" w:w="1296"/>
            <w:tcBorders>
              <w:top w:val="single" w:sz="12" w:color="000000"/>
              <w:bottom w:val="single" w:sz="6" w:color="000000"/>
            </w:tcBorders>
          </w:tcPr>
          <w:p>
            <w:pPr>
              <w:spacing w:line="240" w:lineRule="auto" w:after="20" w:before="20"/>
              <w:jc w:val="center"/>
            </w:pPr>
            <w:r/>
            <w:r>
              <w:rPr>
                <w:b/>
                <w:i w:val="0"/>
                <w:sz w:val="18"/>
              </w:rPr>
              <w:t>Linear price</w:t>
            </w:r>
          </w:p>
        </w:tc>
        <w:tc>
          <w:tcPr>
            <w:tcW w:type="dxa" w:w="1440"/>
            <w:tcBorders>
              <w:top w:val="single" w:sz="12" w:color="000000"/>
              <w:bottom w:val="single" w:sz="6" w:color="000000"/>
            </w:tcBorders>
          </w:tcPr>
          <w:p>
            <w:pPr>
              <w:spacing w:line="240" w:lineRule="auto" w:after="20" w:before="20"/>
              <w:jc w:val="center"/>
            </w:pPr>
            <w:r/>
            <w:r>
              <w:rPr>
                <w:b/>
                <w:i w:val="0"/>
                <w:sz w:val="18"/>
              </w:rPr>
              <w:t>Two-part tariff</w:t>
            </w:r>
          </w:p>
        </w:tc>
        <w:tc>
          <w:tcPr>
            <w:tcW w:type="dxa" w:w="1584"/>
            <w:tcBorders>
              <w:top w:val="single" w:sz="12" w:color="000000"/>
              <w:bottom w:val="single" w:sz="6" w:color="000000"/>
            </w:tcBorders>
          </w:tcPr>
          <w:p>
            <w:pPr>
              <w:spacing w:line="240" w:lineRule="auto" w:after="20" w:before="20"/>
              <w:jc w:val="center"/>
            </w:pPr>
            <w:r/>
            <w:r>
              <w:rPr>
                <w:b/>
                <w:i w:val="0"/>
                <w:sz w:val="18"/>
              </w:rPr>
              <w:t>Deterministic menu</w:t>
            </w:r>
          </w:p>
        </w:tc>
        <w:tc>
          <w:tcPr>
            <w:tcW w:type="dxa" w:w="1728"/>
            <w:tcBorders>
              <w:top w:val="single" w:sz="12" w:color="000000"/>
              <w:bottom w:val="single" w:sz="6" w:color="000000"/>
            </w:tcBorders>
          </w:tcPr>
          <w:p>
            <w:pPr>
              <w:spacing w:line="240" w:lineRule="auto" w:after="20" w:before="20"/>
              <w:jc w:val="center"/>
            </w:pPr>
            <w:r/>
            <w:r>
              <w:rPr>
                <w:b/>
                <w:i w:val="0"/>
                <w:sz w:val="18"/>
              </w:rPr>
              <w:t>Randomized upper bound</w:t>
            </w:r>
          </w:p>
        </w:tc>
        <w:tc>
          <w:tcPr>
            <w:tcW w:type="dxa" w:w="1152"/>
            <w:tcBorders>
              <w:top w:val="single" w:sz="12" w:color="000000"/>
              <w:bottom w:val="single" w:sz="6" w:color="000000"/>
            </w:tcBorders>
          </w:tcPr>
          <w:p>
            <w:pPr>
              <w:spacing w:line="240" w:lineRule="auto" w:after="20" w:before="20"/>
              <w:jc w:val="center"/>
            </w:pPr>
            <w:r/>
            <w:r>
              <w:rPr>
                <w:b/>
                <w:i w:val="0"/>
                <w:sz w:val="18"/>
              </w:rPr>
              <w:t>Menu / linear</w:t>
            </w:r>
          </w:p>
        </w:tc>
        <w:tc>
          <w:tcPr>
            <w:tcW w:type="dxa" w:w="1152"/>
            <w:tcBorders>
              <w:top w:val="single" w:sz="12" w:color="000000"/>
              <w:bottom w:val="single" w:sz="6" w:color="000000"/>
            </w:tcBorders>
          </w:tcPr>
          <w:p>
            <w:pPr>
              <w:spacing w:line="240" w:lineRule="auto" w:after="20" w:before="20"/>
              <w:jc w:val="center"/>
            </w:pPr>
            <w:r/>
            <w:r>
              <w:rPr>
                <w:b/>
                <w:i w:val="0"/>
                <w:sz w:val="18"/>
              </w:rPr>
              <w:t>Menu / bound</w:t>
            </w:r>
          </w:p>
        </w:tc>
      </w:tr>
      <w:tr>
        <w:tc>
          <w:tcPr>
            <w:tcW w:type="dxa" w:w="1152"/>
          </w:tcPr>
          <w:p>
            <w:pPr>
              <w:spacing w:line="240" w:lineRule="auto" w:after="20" w:before="20"/>
            </w:pPr>
            <w:r/>
            <w:r>
              <w:rPr>
                <w:b w:val="0"/>
                <w:i w:val="0"/>
                <w:sz w:val="18"/>
              </w:rPr>
              <w:t>0.8</w:t>
            </w:r>
          </w:p>
        </w:tc>
        <w:tc>
          <w:tcPr>
            <w:tcW w:type="dxa" w:w="1296"/>
          </w:tcPr>
          <w:p>
            <w:pPr>
              <w:spacing w:line="240" w:lineRule="auto" w:after="20" w:before="20"/>
              <w:jc w:val="center"/>
            </w:pPr>
            <w:r/>
            <w:r>
              <w:rPr>
                <w:b w:val="0"/>
                <w:i w:val="0"/>
                <w:sz w:val="18"/>
              </w:rPr>
              <w:t>0.181</w:t>
            </w:r>
          </w:p>
        </w:tc>
        <w:tc>
          <w:tcPr>
            <w:tcW w:type="dxa" w:w="1440"/>
          </w:tcPr>
          <w:p>
            <w:pPr>
              <w:spacing w:line="240" w:lineRule="auto" w:after="20" w:before="20"/>
              <w:jc w:val="center"/>
            </w:pPr>
            <w:r/>
            <w:r>
              <w:rPr>
                <w:b w:val="0"/>
                <w:i w:val="0"/>
                <w:sz w:val="18"/>
              </w:rPr>
              <w:t>0.243</w:t>
            </w:r>
          </w:p>
        </w:tc>
        <w:tc>
          <w:tcPr>
            <w:tcW w:type="dxa" w:w="1584"/>
          </w:tcPr>
          <w:p>
            <w:pPr>
              <w:spacing w:line="240" w:lineRule="auto" w:after="20" w:before="20"/>
              <w:jc w:val="center"/>
            </w:pPr>
            <w:r/>
            <w:r>
              <w:rPr>
                <w:b w:val="0"/>
                <w:i w:val="0"/>
                <w:sz w:val="18"/>
              </w:rPr>
              <w:t>0.303</w:t>
            </w:r>
          </w:p>
        </w:tc>
        <w:tc>
          <w:tcPr>
            <w:tcW w:type="dxa" w:w="1728"/>
          </w:tcPr>
          <w:p>
            <w:pPr>
              <w:spacing w:line="240" w:lineRule="auto" w:after="20" w:before="20"/>
              <w:jc w:val="center"/>
            </w:pPr>
            <w:r/>
            <w:r>
              <w:rPr>
                <w:b w:val="0"/>
                <w:i w:val="0"/>
                <w:sz w:val="18"/>
              </w:rPr>
              <w:t>0.304</w:t>
            </w:r>
          </w:p>
        </w:tc>
        <w:tc>
          <w:tcPr>
            <w:tcW w:type="dxa" w:w="1152"/>
          </w:tcPr>
          <w:p>
            <w:pPr>
              <w:spacing w:line="240" w:lineRule="auto" w:after="20" w:before="20"/>
              <w:jc w:val="center"/>
            </w:pPr>
            <w:r/>
            <w:r>
              <w:rPr>
                <w:b w:val="0"/>
                <w:i w:val="0"/>
                <w:sz w:val="18"/>
              </w:rPr>
              <w:t>+68%</w:t>
            </w:r>
          </w:p>
        </w:tc>
        <w:tc>
          <w:tcPr>
            <w:tcW w:type="dxa" w:w="1152"/>
          </w:tcPr>
          <w:p>
            <w:pPr>
              <w:spacing w:line="240" w:lineRule="auto" w:after="20" w:before="20"/>
              <w:jc w:val="center"/>
            </w:pPr>
            <w:r/>
            <w:r>
              <w:rPr>
                <w:b w:val="0"/>
                <w:i w:val="0"/>
                <w:sz w:val="18"/>
              </w:rPr>
              <w:t>99.7%</w:t>
            </w:r>
          </w:p>
        </w:tc>
      </w:tr>
      <w:tr>
        <w:tc>
          <w:tcPr>
            <w:tcW w:type="dxa" w:w="1152"/>
          </w:tcPr>
          <w:p>
            <w:pPr>
              <w:spacing w:line="240" w:lineRule="auto" w:after="20" w:before="20"/>
            </w:pPr>
            <w:r/>
            <w:r>
              <w:rPr>
                <w:b w:val="0"/>
                <w:i w:val="0"/>
                <w:sz w:val="18"/>
              </w:rPr>
              <w:t>0.9</w:t>
            </w:r>
          </w:p>
        </w:tc>
        <w:tc>
          <w:tcPr>
            <w:tcW w:type="dxa" w:w="1296"/>
          </w:tcPr>
          <w:p>
            <w:pPr>
              <w:spacing w:line="240" w:lineRule="auto" w:after="20" w:before="20"/>
              <w:jc w:val="center"/>
            </w:pPr>
            <w:r/>
            <w:r>
              <w:rPr>
                <w:b w:val="0"/>
                <w:i w:val="0"/>
                <w:sz w:val="18"/>
              </w:rPr>
              <w:t>1.066</w:t>
            </w:r>
          </w:p>
        </w:tc>
        <w:tc>
          <w:tcPr>
            <w:tcW w:type="dxa" w:w="1440"/>
          </w:tcPr>
          <w:p>
            <w:pPr>
              <w:spacing w:line="240" w:lineRule="auto" w:after="20" w:before="20"/>
              <w:jc w:val="center"/>
            </w:pPr>
            <w:r/>
            <w:r>
              <w:rPr>
                <w:b w:val="0"/>
                <w:i w:val="0"/>
                <w:sz w:val="18"/>
              </w:rPr>
              <w:t>1.340</w:t>
            </w:r>
          </w:p>
        </w:tc>
        <w:tc>
          <w:tcPr>
            <w:tcW w:type="dxa" w:w="1584"/>
          </w:tcPr>
          <w:p>
            <w:pPr>
              <w:spacing w:line="240" w:lineRule="auto" w:after="20" w:before="20"/>
              <w:jc w:val="center"/>
            </w:pPr>
            <w:r/>
            <w:r>
              <w:rPr>
                <w:b w:val="0"/>
                <w:i w:val="0"/>
                <w:sz w:val="18"/>
              </w:rPr>
              <w:t>1.719</w:t>
            </w:r>
          </w:p>
        </w:tc>
        <w:tc>
          <w:tcPr>
            <w:tcW w:type="dxa" w:w="1728"/>
          </w:tcPr>
          <w:p>
            <w:pPr>
              <w:spacing w:line="240" w:lineRule="auto" w:after="20" w:before="20"/>
              <w:jc w:val="center"/>
            </w:pPr>
            <w:r/>
            <w:r>
              <w:rPr>
                <w:b w:val="0"/>
                <w:i w:val="0"/>
                <w:sz w:val="18"/>
              </w:rPr>
              <w:t>1.729</w:t>
            </w:r>
          </w:p>
        </w:tc>
        <w:tc>
          <w:tcPr>
            <w:tcW w:type="dxa" w:w="1152"/>
          </w:tcPr>
          <w:p>
            <w:pPr>
              <w:spacing w:line="240" w:lineRule="auto" w:after="20" w:before="20"/>
              <w:jc w:val="center"/>
            </w:pPr>
            <w:r/>
            <w:r>
              <w:rPr>
                <w:b w:val="0"/>
                <w:i w:val="0"/>
                <w:sz w:val="18"/>
              </w:rPr>
              <w:t>+61%</w:t>
            </w:r>
          </w:p>
        </w:tc>
        <w:tc>
          <w:tcPr>
            <w:tcW w:type="dxa" w:w="1152"/>
          </w:tcPr>
          <w:p>
            <w:pPr>
              <w:spacing w:line="240" w:lineRule="auto" w:after="20" w:before="20"/>
              <w:jc w:val="center"/>
            </w:pPr>
            <w:r/>
            <w:r>
              <w:rPr>
                <w:b w:val="0"/>
                <w:i w:val="0"/>
                <w:sz w:val="18"/>
              </w:rPr>
              <w:t>99.4%</w:t>
            </w:r>
          </w:p>
        </w:tc>
      </w:tr>
      <w:tr>
        <w:tc>
          <w:tcPr>
            <w:tcW w:type="dxa" w:w="1152"/>
            <w:tcBorders>
              <w:bottom w:val="single" w:sz="12" w:color="000000"/>
            </w:tcBorders>
          </w:tcPr>
          <w:p>
            <w:pPr>
              <w:spacing w:line="240" w:lineRule="auto" w:after="20" w:before="20"/>
            </w:pPr>
            <w:r/>
            <w:r>
              <w:rPr>
                <w:b w:val="0"/>
                <w:i w:val="0"/>
                <w:sz w:val="18"/>
              </w:rPr>
              <w:t>1.0</w:t>
            </w:r>
          </w:p>
        </w:tc>
        <w:tc>
          <w:tcPr>
            <w:tcW w:type="dxa" w:w="1296"/>
            <w:tcBorders>
              <w:bottom w:val="single" w:sz="12" w:color="000000"/>
            </w:tcBorders>
          </w:tcPr>
          <w:p>
            <w:pPr>
              <w:spacing w:line="240" w:lineRule="auto" w:after="20" w:before="20"/>
              <w:jc w:val="center"/>
            </w:pPr>
            <w:r/>
            <w:r>
              <w:rPr>
                <w:b w:val="0"/>
                <w:i w:val="0"/>
                <w:sz w:val="18"/>
              </w:rPr>
              <w:t>5.739</w:t>
            </w:r>
          </w:p>
        </w:tc>
        <w:tc>
          <w:tcPr>
            <w:tcW w:type="dxa" w:w="1440"/>
            <w:tcBorders>
              <w:bottom w:val="single" w:sz="12" w:color="000000"/>
            </w:tcBorders>
          </w:tcPr>
          <w:p>
            <w:pPr>
              <w:spacing w:line="240" w:lineRule="auto" w:after="20" w:before="20"/>
              <w:jc w:val="center"/>
            </w:pPr>
            <w:r/>
            <w:r>
              <w:rPr>
                <w:b w:val="0"/>
                <w:i w:val="0"/>
                <w:sz w:val="18"/>
              </w:rPr>
              <w:t>5.774</w:t>
            </w:r>
          </w:p>
        </w:tc>
        <w:tc>
          <w:tcPr>
            <w:tcW w:type="dxa" w:w="1584"/>
            <w:tcBorders>
              <w:bottom w:val="single" w:sz="12" w:color="000000"/>
            </w:tcBorders>
          </w:tcPr>
          <w:p>
            <w:pPr>
              <w:spacing w:line="240" w:lineRule="auto" w:after="20" w:before="20"/>
              <w:jc w:val="center"/>
            </w:pPr>
            <w:r/>
            <w:r>
              <w:rPr>
                <w:b w:val="0"/>
                <w:i w:val="0"/>
                <w:sz w:val="18"/>
              </w:rPr>
              <w:t>5.896</w:t>
            </w:r>
          </w:p>
        </w:tc>
        <w:tc>
          <w:tcPr>
            <w:tcW w:type="dxa" w:w="1728"/>
            <w:tcBorders>
              <w:bottom w:val="single" w:sz="12" w:color="000000"/>
            </w:tcBorders>
          </w:tcPr>
          <w:p>
            <w:pPr>
              <w:spacing w:line="240" w:lineRule="auto" w:after="20" w:before="20"/>
              <w:jc w:val="center"/>
            </w:pPr>
            <w:r/>
            <w:r>
              <w:rPr>
                <w:b w:val="0"/>
                <w:i w:val="0"/>
                <w:sz w:val="18"/>
              </w:rPr>
              <w:t>5.940</w:t>
            </w:r>
          </w:p>
        </w:tc>
        <w:tc>
          <w:tcPr>
            <w:tcW w:type="dxa" w:w="1152"/>
            <w:tcBorders>
              <w:bottom w:val="single" w:sz="12" w:color="000000"/>
            </w:tcBorders>
          </w:tcPr>
          <w:p>
            <w:pPr>
              <w:spacing w:line="240" w:lineRule="auto" w:after="20" w:before="20"/>
              <w:jc w:val="center"/>
            </w:pPr>
            <w:r/>
            <w:r>
              <w:rPr>
                <w:b w:val="0"/>
                <w:i w:val="0"/>
                <w:sz w:val="18"/>
              </w:rPr>
              <w:t>+3%</w:t>
            </w:r>
          </w:p>
        </w:tc>
        <w:tc>
          <w:tcPr>
            <w:tcW w:type="dxa" w:w="1152"/>
            <w:tcBorders>
              <w:bottom w:val="single" w:sz="12" w:color="000000"/>
            </w:tcBorders>
          </w:tcPr>
          <w:p>
            <w:pPr>
              <w:spacing w:line="240" w:lineRule="auto" w:after="20" w:before="20"/>
              <w:jc w:val="center"/>
            </w:pPr>
            <w:r/>
            <w:r>
              <w:rPr>
                <w:b w:val="0"/>
                <w:i w:val="0"/>
                <w:sz w:val="18"/>
              </w:rPr>
              <w:t>99.3%</w:t>
            </w:r>
          </w:p>
        </w:tc>
      </w:tr>
    </w:tbl>
    <w:p>
      <w:pPr>
        <w:spacing w:line="240" w:lineRule="auto" w:after="160" w:before="60"/>
      </w:pPr>
      <w:r>
        <w:rPr>
          <w:b w:val="0"/>
          <w:i/>
          <w:sz w:val="18"/>
        </w:rPr>
        <w:t>Notes.</w:t>
      </w:r>
      <w:r>
        <w:rPr>
          <w:b w:val="0"/>
          <w:i w:val="0"/>
          <w:sz w:val="18"/>
        </w:rPr>
        <w:t xml:space="preserve"> Grid 60 × 40. The deterministic menu uses almost fully separating contracts (16 distinct items among 20 adopting types at </w:t>
      </w:r>
      <w:r>
        <w:rPr>
          <w:b w:val="0"/>
          <w:i/>
          <w:sz w:val="18"/>
        </w:rPr>
        <w:t>A</w:t>
      </w:r>
      <w:r>
        <w:rPr>
          <w:b w:val="0"/>
          <w:i w:val="0"/>
          <w:sz w:val="18"/>
        </w:rPr>
        <w:t xml:space="preserve"> = 0.9), and the assigned budget increases with stakes. At a coarser grid (40 × 30) the gain at </w:t>
      </w:r>
      <w:r>
        <w:rPr>
          <w:b w:val="0"/>
          <w:i/>
          <w:sz w:val="18"/>
        </w:rPr>
        <w:t>A</w:t>
      </w:r>
      <w:r>
        <w:rPr>
          <w:b w:val="0"/>
          <w:i w:val="0"/>
          <w:sz w:val="18"/>
        </w:rPr>
        <w:t xml:space="preserve"> = 0.9 is +56 percent, so magnitudes depend on the grid but the ordering (menu &gt; two-part tariff &gt; linear) does not.</w:t>
      </w:r>
    </w:p>
    <w:p>
      <w:pPr>
        <w:spacing w:after="0" w:before="0"/>
        <w:ind w:firstLine="720"/>
      </w:pPr>
      <w:r>
        <w:rPr>
          <w:b w:val="0"/>
          <w:i w:val="0"/>
        </w:rPr>
        <w:t xml:space="preserve">Three conclusions. First, richer pricing is worth the most below parity (a 60 percent or larger gain in profit), and little at parity, where the linear price is nearly optimal. Second, a two-part tariff captures only 40 to 45 percent of the menu's gain. Third, and the one that matters for the main text, the top decile of firms by stakes adopts with probability zero at </w:t>
      </w:r>
      <w:r>
        <w:rPr>
          <w:b w:val="0"/>
          <w:i/>
        </w:rPr>
        <w:t>A</w:t>
      </w:r>
      <w:r>
        <w:rPr>
          <w:b w:val="0"/>
          <w:i w:val="0"/>
        </w:rPr>
        <w:t xml:space="preserve"> &lt; 1 and one at </w:t>
      </w:r>
      <w:r>
        <w:rPr>
          <w:b w:val="0"/>
          <w:i/>
        </w:rPr>
        <w:t>A</w:t>
      </w:r>
      <w:r>
        <w:rPr>
          <w:b w:val="0"/>
          <w:i w:val="0"/>
        </w:rPr>
        <w:t xml:space="preserve"> = 1 under all three instruments, as Proposition 3 requires. Menus change how much the vendor earns from firms that adopt; they do not change who adopts at the top.</w:t>
      </w:r>
    </w:p>
    <w:p>
      <w:pPr>
        <w:spacing w:after="0" w:before="0"/>
        <w:ind w:firstLine="720"/>
      </w:pPr>
      <w:r>
        <w:rPr>
          <w:b w:val="0"/>
          <w:i/>
        </w:rPr>
        <w:t>Mandated liability.</w:t>
      </w:r>
      <w:r>
        <w:rPr>
          <w:b w:val="0"/>
          <w:i w:val="0"/>
        </w:rPr>
        <w:t xml:space="preserve"> Suppose the vendor must pay the firm a damages amount proportional to the firm's loss from failures of the tool, </w:t>
      </w:r>
      <w:r>
        <w:rPr>
          <w:b w:val="0"/>
          <w:i/>
        </w:rPr>
        <w:t>δf</w:t>
      </w:r>
      <w:r>
        <w:rPr>
          <w:b w:val="0"/>
          <w:i w:val="0"/>
        </w:rPr>
        <w:t xml:space="preserve"> with verification probability </w:t>
      </w:r>
      <w:r>
        <w:rPr>
          <w:b w:val="0"/>
          <w:i/>
        </w:rPr>
        <w:t>φ</w:t>
      </w:r>
      <w:r>
        <w:rPr>
          <w:b w:val="0"/>
          <w:i w:val="0"/>
        </w:rPr>
        <w:t xml:space="preserve">. For firms, the limit of </w:t>
      </w:r>
      <w:r>
        <w:rPr>
          <w:b w:val="0"/>
          <w:i/>
        </w:rPr>
        <w:t>V</w:t>
      </w:r>
      <w:r>
        <w:rPr>
          <w:b w:val="0"/>
          <w:i w:val="0"/>
        </w:rPr>
        <w:t>/(</w:t>
      </w:r>
      <w:r>
        <w:rPr>
          <w:b w:val="0"/>
          <w:i/>
        </w:rPr>
        <w:t>fa</w:t>
      </w:r>
      <w:r>
        <w:rPr>
          <w:b w:val="0"/>
          <w:i w:val="0"/>
        </w:rPr>
        <w:t>) becomes (</w:t>
      </w:r>
      <w:r>
        <w:rPr>
          <w:b w:val="0"/>
          <w:i/>
        </w:rPr>
        <w:t>A</w:t>
      </w:r>
      <w:r>
        <w:rPr>
          <w:b w:val="0"/>
          <w:i w:val="0"/>
        </w:rPr>
        <w:t xml:space="preserve"> − 1) + </w:t>
      </w:r>
      <w:r>
        <w:rPr>
          <w:b w:val="0"/>
          <w:i/>
        </w:rPr>
        <w:t>φδ</w:t>
      </w:r>
      <w:r>
        <w:rPr>
          <w:b w:val="0"/>
          <w:i w:val="0"/>
        </w:rPr>
        <w:t xml:space="preserve">(1 − </w:t>
      </w:r>
      <w:r>
        <w:rPr>
          <w:b w:val="0"/>
          <w:i/>
        </w:rPr>
        <w:t>A</w:t>
      </w:r>
      <w:r>
        <w:rPr>
          <w:b w:val="0"/>
          <w:i w:val="0"/>
        </w:rPr>
        <w:t>)/</w:t>
      </w:r>
      <w:r>
        <w:rPr>
          <w:b w:val="0"/>
          <w:i/>
        </w:rPr>
        <w:t>a</w:t>
      </w:r>
      <w:r>
        <w:rPr>
          <w:b w:val="0"/>
          <w:i w:val="0"/>
        </w:rPr>
        <w:t xml:space="preserve">, which is positive when </w:t>
      </w:r>
      <w:r>
        <w:rPr>
          <w:b w:val="0"/>
          <w:i/>
        </w:rPr>
        <w:t>φδ</w:t>
      </w:r>
      <w:r>
        <w:rPr>
          <w:b w:val="0"/>
          <w:i w:val="0"/>
        </w:rPr>
        <w:t xml:space="preserve"> &gt; </w:t>
      </w:r>
      <w:r>
        <w:rPr>
          <w:b w:val="0"/>
          <w:i/>
        </w:rPr>
        <w:t>a</w:t>
      </w:r>
      <w:r>
        <w:rPr>
          <w:b w:val="0"/>
          <w:i w:val="0"/>
        </w:rPr>
        <w:t xml:space="preserve">, so the firm-side exclusion disappears for large enough liability. The vendor's response is to reprice. At </w:t>
      </w:r>
      <w:r>
        <w:rPr>
          <w:b w:val="0"/>
          <w:i/>
        </w:rPr>
        <w:t>A</w:t>
      </w:r>
      <w:r>
        <w:rPr>
          <w:b w:val="0"/>
          <w:i w:val="0"/>
        </w:rPr>
        <w:t xml:space="preserve"> = 0.9:</w:t>
      </w:r>
    </w:p>
    <w:p>
      <w:pPr>
        <w:keepNext/>
        <w:spacing w:line="276" w:lineRule="auto" w:after="80" w:before="200"/>
      </w:pPr>
      <w:r>
        <w:rPr>
          <w:b/>
          <w:i w:val="0"/>
        </w:rPr>
        <w:t>Table B2.</w:t>
      </w:r>
      <w:r>
        <w:rPr>
          <w:b w:val="0"/>
          <w:i w:val="0"/>
        </w:rPr>
        <w:t xml:space="preserve"> Vendor response to mandated liability proportional to stakes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tcBorders>
              <w:top w:val="single" w:sz="12" w:color="000000"/>
              <w:bottom w:val="single" w:sz="6" w:color="000000"/>
            </w:tcBorders>
          </w:tcPr>
          <w:p>
            <w:pPr>
              <w:spacing w:line="240" w:lineRule="auto" w:after="20" w:before="20"/>
            </w:pPr>
            <w:r/>
            <w:r>
              <w:rPr>
                <w:b/>
                <w:i/>
                <w:sz w:val="20"/>
              </w:rPr>
              <w:t>φδ</w:t>
            </w:r>
          </w:p>
        </w:tc>
        <w:tc>
          <w:tcPr>
            <w:tcW w:type="dxa" w:w="1728"/>
            <w:tcBorders>
              <w:top w:val="single" w:sz="12" w:color="000000"/>
              <w:bottom w:val="single" w:sz="6" w:color="000000"/>
            </w:tcBorders>
          </w:tcPr>
          <w:p>
            <w:pPr>
              <w:spacing w:line="240" w:lineRule="auto" w:after="20" w:before="20"/>
              <w:jc w:val="center"/>
            </w:pPr>
            <w:r/>
            <w:r>
              <w:rPr>
                <w:b/>
                <w:i w:val="0"/>
                <w:sz w:val="20"/>
              </w:rPr>
              <w:t>Vendor price</w:t>
            </w:r>
          </w:p>
        </w:tc>
        <w:tc>
          <w:tcPr>
            <w:tcW w:type="dxa" w:w="1728"/>
            <w:tcBorders>
              <w:top w:val="single" w:sz="12" w:color="000000"/>
              <w:bottom w:val="single" w:sz="6" w:color="000000"/>
            </w:tcBorders>
          </w:tcPr>
          <w:p>
            <w:pPr>
              <w:spacing w:line="240" w:lineRule="auto" w:after="20" w:before="20"/>
              <w:jc w:val="center"/>
            </w:pPr>
            <w:r/>
            <w:r>
              <w:rPr>
                <w:b/>
                <w:i w:val="0"/>
                <w:sz w:val="20"/>
              </w:rPr>
              <w:t>Vendor profit</w:t>
            </w:r>
          </w:p>
        </w:tc>
        <w:tc>
          <w:tcPr>
            <w:tcW w:type="dxa" w:w="1872"/>
            <w:tcBorders>
              <w:top w:val="single" w:sz="12" w:color="000000"/>
              <w:bottom w:val="single" w:sz="6" w:color="000000"/>
            </w:tcBorders>
          </w:tcPr>
          <w:p>
            <w:pPr>
              <w:spacing w:line="240" w:lineRule="auto" w:after="20" w:before="20"/>
              <w:jc w:val="center"/>
            </w:pPr>
            <w:r/>
            <w:r>
              <w:rPr>
                <w:b/>
                <w:i w:val="0"/>
                <w:sz w:val="20"/>
              </w:rPr>
              <w:t>Adopting share</w:t>
            </w:r>
          </w:p>
        </w:tc>
        <w:tc>
          <w:tcPr>
            <w:tcW w:type="dxa" w:w="2160"/>
            <w:tcBorders>
              <w:top w:val="single" w:sz="12" w:color="000000"/>
              <w:bottom w:val="single" w:sz="6" w:color="000000"/>
            </w:tcBorders>
          </w:tcPr>
          <w:p>
            <w:pPr>
              <w:spacing w:line="240" w:lineRule="auto" w:after="20" w:before="20"/>
              <w:jc w:val="center"/>
            </w:pPr>
            <w:r/>
            <w:r>
              <w:rPr>
                <w:b/>
                <w:i w:val="0"/>
                <w:sz w:val="20"/>
              </w:rPr>
              <w:t>Top-decile adoption</w:t>
            </w:r>
          </w:p>
        </w:tc>
      </w:tr>
      <w:tr>
        <w:tc>
          <w:tcPr>
            <w:tcW w:type="dxa" w:w="1296"/>
          </w:tcPr>
          <w:p>
            <w:pPr>
              <w:spacing w:line="240" w:lineRule="auto" w:after="20" w:before="20"/>
            </w:pPr>
            <w:r/>
            <w:r>
              <w:rPr>
                <w:b w:val="0"/>
                <w:i w:val="0"/>
                <w:sz w:val="20"/>
              </w:rPr>
              <w:t>0</w:t>
            </w:r>
          </w:p>
        </w:tc>
        <w:tc>
          <w:tcPr>
            <w:tcW w:type="dxa" w:w="1728"/>
          </w:tcPr>
          <w:p>
            <w:pPr>
              <w:spacing w:line="240" w:lineRule="auto" w:after="20" w:before="20"/>
              <w:jc w:val="center"/>
            </w:pPr>
            <w:r/>
            <w:r>
              <w:rPr>
                <w:b w:val="0"/>
                <w:i w:val="0"/>
                <w:sz w:val="20"/>
              </w:rPr>
              <w:t>0.34</w:t>
            </w:r>
          </w:p>
        </w:tc>
        <w:tc>
          <w:tcPr>
            <w:tcW w:type="dxa" w:w="1728"/>
          </w:tcPr>
          <w:p>
            <w:pPr>
              <w:spacing w:line="240" w:lineRule="auto" w:after="20" w:before="20"/>
              <w:jc w:val="center"/>
            </w:pPr>
            <w:r/>
            <w:r>
              <w:rPr>
                <w:b w:val="0"/>
                <w:i w:val="0"/>
                <w:sz w:val="20"/>
              </w:rPr>
              <w:t>1.037</w:t>
            </w:r>
          </w:p>
        </w:tc>
        <w:tc>
          <w:tcPr>
            <w:tcW w:type="dxa" w:w="1872"/>
          </w:tcPr>
          <w:p>
            <w:pPr>
              <w:spacing w:line="240" w:lineRule="auto" w:after="20" w:before="20"/>
              <w:jc w:val="center"/>
            </w:pPr>
            <w:r/>
            <w:r>
              <w:rPr>
                <w:b w:val="0"/>
                <w:i w:val="0"/>
                <w:sz w:val="20"/>
              </w:rPr>
              <w:t>0.62</w:t>
            </w:r>
          </w:p>
        </w:tc>
        <w:tc>
          <w:tcPr>
            <w:tcW w:type="dxa" w:w="2160"/>
          </w:tcPr>
          <w:p>
            <w:pPr>
              <w:spacing w:line="240" w:lineRule="auto" w:after="20" w:before="20"/>
              <w:jc w:val="center"/>
            </w:pPr>
            <w:r/>
            <w:r>
              <w:rPr>
                <w:b w:val="0"/>
                <w:i w:val="0"/>
                <w:sz w:val="20"/>
              </w:rPr>
              <w:t>0.00</w:t>
            </w:r>
          </w:p>
        </w:tc>
      </w:tr>
      <w:tr>
        <w:tc>
          <w:tcPr>
            <w:tcW w:type="dxa" w:w="1296"/>
          </w:tcPr>
          <w:p>
            <w:pPr>
              <w:spacing w:line="240" w:lineRule="auto" w:after="20" w:before="20"/>
            </w:pPr>
            <w:r/>
            <w:r>
              <w:rPr>
                <w:b w:val="0"/>
                <w:i w:val="0"/>
                <w:sz w:val="20"/>
              </w:rPr>
              <w:t>5</w:t>
            </w:r>
          </w:p>
        </w:tc>
        <w:tc>
          <w:tcPr>
            <w:tcW w:type="dxa" w:w="1728"/>
          </w:tcPr>
          <w:p>
            <w:pPr>
              <w:spacing w:line="240" w:lineRule="auto" w:after="20" w:before="20"/>
              <w:jc w:val="center"/>
            </w:pPr>
            <w:r/>
            <w:r>
              <w:rPr>
                <w:b w:val="0"/>
                <w:i w:val="0"/>
                <w:sz w:val="20"/>
              </w:rPr>
              <w:t>0.44</w:t>
            </w:r>
          </w:p>
        </w:tc>
        <w:tc>
          <w:tcPr>
            <w:tcW w:type="dxa" w:w="1728"/>
          </w:tcPr>
          <w:p>
            <w:pPr>
              <w:spacing w:line="240" w:lineRule="auto" w:after="20" w:before="20"/>
              <w:jc w:val="center"/>
            </w:pPr>
            <w:r/>
            <w:r>
              <w:rPr>
                <w:b w:val="0"/>
                <w:i w:val="0"/>
                <w:sz w:val="20"/>
              </w:rPr>
              <w:t>1.040</w:t>
            </w:r>
          </w:p>
        </w:tc>
        <w:tc>
          <w:tcPr>
            <w:tcW w:type="dxa" w:w="1872"/>
          </w:tcPr>
          <w:p>
            <w:pPr>
              <w:spacing w:line="240" w:lineRule="auto" w:after="20" w:before="20"/>
              <w:jc w:val="center"/>
            </w:pPr>
            <w:r/>
            <w:r>
              <w:rPr>
                <w:b w:val="0"/>
                <w:i w:val="0"/>
                <w:sz w:val="20"/>
              </w:rPr>
              <w:t>0.69</w:t>
            </w:r>
          </w:p>
        </w:tc>
        <w:tc>
          <w:tcPr>
            <w:tcW w:type="dxa" w:w="2160"/>
          </w:tcPr>
          <w:p>
            <w:pPr>
              <w:spacing w:line="240" w:lineRule="auto" w:after="20" w:before="20"/>
              <w:jc w:val="center"/>
            </w:pPr>
            <w:r/>
            <w:r>
              <w:rPr>
                <w:b w:val="0"/>
                <w:i w:val="0"/>
                <w:sz w:val="20"/>
              </w:rPr>
              <w:t>0.00</w:t>
            </w:r>
          </w:p>
        </w:tc>
      </w:tr>
      <w:tr>
        <w:tc>
          <w:tcPr>
            <w:tcW w:type="dxa" w:w="1296"/>
          </w:tcPr>
          <w:p>
            <w:pPr>
              <w:spacing w:line="240" w:lineRule="auto" w:after="20" w:before="20"/>
            </w:pPr>
            <w:r/>
            <w:r>
              <w:rPr>
                <w:b w:val="0"/>
                <w:i w:val="0"/>
                <w:sz w:val="20"/>
              </w:rPr>
              <w:t>10</w:t>
            </w:r>
          </w:p>
        </w:tc>
        <w:tc>
          <w:tcPr>
            <w:tcW w:type="dxa" w:w="1728"/>
          </w:tcPr>
          <w:p>
            <w:pPr>
              <w:spacing w:line="240" w:lineRule="auto" w:after="20" w:before="20"/>
              <w:jc w:val="center"/>
            </w:pPr>
            <w:r/>
            <w:r>
              <w:rPr>
                <w:b w:val="0"/>
                <w:i w:val="0"/>
                <w:sz w:val="20"/>
              </w:rPr>
              <w:t>0.57</w:t>
            </w:r>
          </w:p>
        </w:tc>
        <w:tc>
          <w:tcPr>
            <w:tcW w:type="dxa" w:w="1728"/>
          </w:tcPr>
          <w:p>
            <w:pPr>
              <w:spacing w:line="240" w:lineRule="auto" w:after="20" w:before="20"/>
              <w:jc w:val="center"/>
            </w:pPr>
            <w:r/>
            <w:r>
              <w:rPr>
                <w:b w:val="0"/>
                <w:i w:val="0"/>
                <w:sz w:val="20"/>
              </w:rPr>
              <w:t>1.007</w:t>
            </w:r>
          </w:p>
        </w:tc>
        <w:tc>
          <w:tcPr>
            <w:tcW w:type="dxa" w:w="1872"/>
          </w:tcPr>
          <w:p>
            <w:pPr>
              <w:spacing w:line="240" w:lineRule="auto" w:after="20" w:before="20"/>
              <w:jc w:val="center"/>
            </w:pPr>
            <w:r/>
            <w:r>
              <w:rPr>
                <w:b w:val="0"/>
                <w:i w:val="0"/>
                <w:sz w:val="20"/>
              </w:rPr>
              <w:t>0.72</w:t>
            </w:r>
          </w:p>
        </w:tc>
        <w:tc>
          <w:tcPr>
            <w:tcW w:type="dxa" w:w="2160"/>
          </w:tcPr>
          <w:p>
            <w:pPr>
              <w:spacing w:line="240" w:lineRule="auto" w:after="20" w:before="20"/>
              <w:jc w:val="center"/>
            </w:pPr>
            <w:r/>
            <w:r>
              <w:rPr>
                <w:b w:val="0"/>
                <w:i w:val="0"/>
                <w:sz w:val="20"/>
              </w:rPr>
              <w:t>0.00</w:t>
            </w:r>
          </w:p>
        </w:tc>
      </w:tr>
      <w:tr>
        <w:tc>
          <w:tcPr>
            <w:tcW w:type="dxa" w:w="1296"/>
          </w:tcPr>
          <w:p>
            <w:pPr>
              <w:spacing w:line="240" w:lineRule="auto" w:after="20" w:before="20"/>
            </w:pPr>
            <w:r/>
            <w:r>
              <w:rPr>
                <w:b w:val="0"/>
                <w:i w:val="0"/>
                <w:sz w:val="20"/>
              </w:rPr>
              <w:t>20</w:t>
            </w:r>
          </w:p>
        </w:tc>
        <w:tc>
          <w:tcPr>
            <w:tcW w:type="dxa" w:w="1728"/>
          </w:tcPr>
          <w:p>
            <w:pPr>
              <w:spacing w:line="240" w:lineRule="auto" w:after="20" w:before="20"/>
              <w:jc w:val="center"/>
            </w:pPr>
            <w:r/>
            <w:r>
              <w:rPr>
                <w:b w:val="0"/>
                <w:i w:val="0"/>
                <w:sz w:val="20"/>
              </w:rPr>
              <w:t>0.87</w:t>
            </w:r>
          </w:p>
        </w:tc>
        <w:tc>
          <w:tcPr>
            <w:tcW w:type="dxa" w:w="1728"/>
          </w:tcPr>
          <w:p>
            <w:pPr>
              <w:spacing w:line="240" w:lineRule="auto" w:after="20" w:before="20"/>
              <w:jc w:val="center"/>
            </w:pPr>
            <w:r/>
            <w:r>
              <w:rPr>
                <w:b w:val="0"/>
                <w:i w:val="0"/>
                <w:sz w:val="20"/>
              </w:rPr>
              <w:t>0.781</w:t>
            </w:r>
          </w:p>
        </w:tc>
        <w:tc>
          <w:tcPr>
            <w:tcW w:type="dxa" w:w="1872"/>
          </w:tcPr>
          <w:p>
            <w:pPr>
              <w:spacing w:line="240" w:lineRule="auto" w:after="20" w:before="20"/>
              <w:jc w:val="center"/>
            </w:pPr>
            <w:r/>
            <w:r>
              <w:rPr>
                <w:b w:val="0"/>
                <w:i w:val="0"/>
                <w:sz w:val="20"/>
              </w:rPr>
              <w:t>0.84</w:t>
            </w:r>
          </w:p>
        </w:tc>
        <w:tc>
          <w:tcPr>
            <w:tcW w:type="dxa" w:w="2160"/>
          </w:tcPr>
          <w:p>
            <w:pPr>
              <w:spacing w:line="240" w:lineRule="auto" w:after="20" w:before="20"/>
              <w:jc w:val="center"/>
            </w:pPr>
            <w:r/>
            <w:r>
              <w:rPr>
                <w:b w:val="0"/>
                <w:i w:val="0"/>
                <w:sz w:val="20"/>
              </w:rPr>
              <w:t>0.00</w:t>
            </w:r>
          </w:p>
        </w:tc>
      </w:tr>
      <w:tr>
        <w:tc>
          <w:tcPr>
            <w:tcW w:type="dxa" w:w="1296"/>
            <w:tcBorders>
              <w:bottom w:val="single" w:sz="12" w:color="000000"/>
            </w:tcBorders>
          </w:tcPr>
          <w:p>
            <w:pPr>
              <w:spacing w:line="240" w:lineRule="auto" w:after="20" w:before="20"/>
            </w:pPr>
            <w:r/>
            <w:r>
              <w:rPr>
                <w:b w:val="0"/>
                <w:i w:val="0"/>
                <w:sz w:val="20"/>
              </w:rPr>
              <w:t>25</w:t>
            </w:r>
          </w:p>
        </w:tc>
        <w:tc>
          <w:tcPr>
            <w:tcW w:type="dxa" w:w="1728"/>
            <w:tcBorders>
              <w:bottom w:val="single" w:sz="12" w:color="000000"/>
            </w:tcBorders>
          </w:tcPr>
          <w:p>
            <w:pPr>
              <w:spacing w:line="240" w:lineRule="auto" w:after="20" w:before="20"/>
              <w:jc w:val="center"/>
            </w:pPr>
            <w:r/>
            <w:r>
              <w:rPr>
                <w:b w:val="0"/>
                <w:i w:val="0"/>
                <w:sz w:val="20"/>
              </w:rPr>
              <w:t>exit</w:t>
            </w:r>
          </w:p>
        </w:tc>
        <w:tc>
          <w:tcPr>
            <w:tcW w:type="dxa" w:w="1728"/>
            <w:tcBorders>
              <w:bottom w:val="single" w:sz="12" w:color="000000"/>
            </w:tcBorders>
          </w:tcPr>
          <w:p>
            <w:pPr>
              <w:spacing w:line="240" w:lineRule="auto" w:after="20" w:before="20"/>
              <w:jc w:val="center"/>
            </w:pPr>
            <w:r/>
            <w:r>
              <w:rPr>
                <w:b w:val="0"/>
                <w:i w:val="0"/>
                <w:sz w:val="20"/>
              </w:rPr>
              <w:t>0</w:t>
            </w:r>
          </w:p>
        </w:tc>
        <w:tc>
          <w:tcPr>
            <w:tcW w:type="dxa" w:w="1872"/>
            <w:tcBorders>
              <w:bottom w:val="single" w:sz="12" w:color="000000"/>
            </w:tcBorders>
          </w:tcPr>
          <w:p>
            <w:pPr>
              <w:spacing w:line="240" w:lineRule="auto" w:after="20" w:before="20"/>
              <w:jc w:val="center"/>
            </w:pPr>
            <w:r/>
            <w:r>
              <w:rPr>
                <w:b w:val="0"/>
                <w:i w:val="0"/>
                <w:sz w:val="20"/>
              </w:rPr>
              <w:t>0</w:t>
            </w:r>
          </w:p>
        </w:tc>
        <w:tc>
          <w:tcPr>
            <w:tcW w:type="dxa" w:w="2160"/>
            <w:tcBorders>
              <w:bottom w:val="single" w:sz="12" w:color="000000"/>
            </w:tcBorders>
          </w:tcPr>
          <w:p>
            <w:pPr>
              <w:spacing w:line="240" w:lineRule="auto" w:after="20" w:before="20"/>
              <w:jc w:val="center"/>
            </w:pPr>
            <w:r/>
            <w:r>
              <w:rPr>
                <w:b w:val="0"/>
                <w:i w:val="0"/>
                <w:sz w:val="20"/>
              </w:rPr>
              <w:t>0</w:t>
            </w:r>
          </w:p>
        </w:tc>
      </w:tr>
    </w:tbl>
    <w:p>
      <w:pPr>
        <w:spacing w:line="240" w:lineRule="auto" w:after="160" w:before="60"/>
      </w:pPr>
      <w:r>
        <w:rPr>
          <w:b w:val="0"/>
          <w:i/>
          <w:sz w:val="18"/>
        </w:rPr>
        <w:t>Notes.</w:t>
      </w:r>
      <w:r>
        <w:rPr>
          <w:b w:val="0"/>
          <w:i w:val="0"/>
          <w:sz w:val="18"/>
        </w:rPr>
        <w:t xml:space="preserve"> Numerical, complete-information vendor, illustrative parameters.</w:t>
      </w:r>
    </w:p>
    <w:p>
      <w:pPr>
        <w:spacing w:after="0" w:before="0"/>
        <w:ind w:firstLine="720"/>
      </w:pPr>
      <w:r>
        <w:rPr>
          <w:b w:val="0"/>
          <w:i w:val="0"/>
        </w:rPr>
        <w:t>Liability proportional to stakes raises adoption by moderate-stakes firms, but the vendor raises its price, the top decile stays out, and at high enough liability the vendor leaves the market. This is why we state Proposition 3 for bounded transfers. The only transfer that could reverse exclusion is one that scales with the firm's own stakes, and the vendor cannot sustain it.</w:t>
      </w:r>
    </w:p>
    <w:p>
      <w:pPr>
        <w:spacing w:after="0" w:before="0"/>
        <w:ind w:firstLine="720"/>
      </w:pPr>
      <w:r>
        <w:rPr>
          <w:b w:val="0"/>
          <w:i/>
        </w:rPr>
        <w:t>Competition among tools of reach below parity.</w:t>
      </w:r>
      <w:r>
        <w:rPr>
          <w:b w:val="0"/>
          <w:i w:val="0"/>
        </w:rPr>
        <w:t xml:space="preserve"> Suppose there are </w:t>
      </w:r>
      <w:r>
        <w:rPr>
          <w:b w:val="0"/>
          <w:i/>
        </w:rPr>
        <w:t>n</w:t>
      </w:r>
      <w:r>
        <w:rPr>
          <w:b w:val="0"/>
          <w:i w:val="0"/>
        </w:rPr>
        <w:t xml:space="preserve"> tools with reach </w:t>
      </w:r>
      <w:r>
        <w:rPr>
          <w:b w:val="0"/>
          <w:i/>
        </w:rPr>
        <w:t>A</w:t>
      </w:r>
      <w:r>
        <w:rPr>
          <w:b w:val="0"/>
          <w:i w:val="0"/>
          <w:vertAlign w:val="subscript"/>
        </w:rPr>
        <w:t>j</w:t>
      </w:r>
      <w:r>
        <w:rPr>
          <w:b w:val="0"/>
          <w:i w:val="0"/>
        </w:rPr>
        <w:t xml:space="preserve"> &lt; 1. For each tool, </w:t>
      </w:r>
      <w:r>
        <w:rPr>
          <w:b w:val="0"/>
          <w:i/>
        </w:rPr>
        <w:t>V</w:t>
      </w:r>
      <w:r>
        <w:rPr>
          <w:b w:val="0"/>
          <w:i w:val="0"/>
          <w:vertAlign w:val="subscript"/>
        </w:rPr>
        <w:t>j</w:t>
      </w:r>
      <w:r>
        <w:rPr>
          <w:b w:val="0"/>
          <w:i w:val="0"/>
        </w:rPr>
        <w:t>/(</w:t>
      </w:r>
      <w:r>
        <w:rPr>
          <w:b w:val="0"/>
          <w:i/>
        </w:rPr>
        <w:t>fa</w:t>
      </w:r>
      <w:r>
        <w:rPr>
          <w:b w:val="0"/>
          <w:i w:val="0"/>
        </w:rPr>
        <w:t xml:space="preserve">) → </w:t>
      </w:r>
      <w:r>
        <w:rPr>
          <w:b w:val="0"/>
          <w:i/>
        </w:rPr>
        <w:t>A</w:t>
      </w:r>
      <w:r>
        <w:rPr>
          <w:b w:val="0"/>
          <w:i w:val="0"/>
          <w:vertAlign w:val="subscript"/>
        </w:rPr>
        <w:t>j</w:t>
      </w:r>
      <w:r>
        <w:rPr>
          <w:b w:val="0"/>
          <w:i w:val="0"/>
        </w:rPr>
        <w:t xml:space="preserve"> − 1 &lt; 0 as </w:t>
      </w:r>
      <w:r>
        <w:rPr>
          <w:b w:val="0"/>
          <w:i/>
        </w:rPr>
        <w:t>f</w:t>
      </w:r>
      <w:r>
        <w:rPr>
          <w:b w:val="0"/>
          <w:i w:val="0"/>
        </w:rPr>
        <w:t xml:space="preserve"> → ∞ (Proposition 3 applied to each), so for large enough stakes the human option beats every tool, whatever the prices. The exclusion of the top does not depend on the number of vendors or the intensity of price competition. With one tool of reach below parity and another at or above, the high-reach vendor serves the top segment, and the low-reach vendor takes some low-stakes firms. Numerically, with </w:t>
      </w:r>
      <w:r>
        <w:rPr>
          <w:b w:val="0"/>
          <w:i/>
        </w:rPr>
        <w:t>A</w:t>
      </w:r>
      <w:r>
        <w:rPr>
          <w:b w:val="0"/>
          <w:i w:val="0"/>
          <w:vertAlign w:val="subscript"/>
        </w:rPr>
        <w:t>1</w:t>
      </w:r>
      <w:r>
        <w:rPr>
          <w:b w:val="0"/>
          <w:i w:val="0"/>
        </w:rPr>
        <w:t xml:space="preserve"> = 0.6 and </w:t>
      </w:r>
      <w:r>
        <w:rPr>
          <w:b w:val="0"/>
          <w:i/>
        </w:rPr>
        <w:t>A</w:t>
      </w:r>
      <w:r>
        <w:rPr>
          <w:b w:val="0"/>
          <w:i w:val="0"/>
          <w:vertAlign w:val="subscript"/>
        </w:rPr>
        <w:t>2</w:t>
      </w:r>
      <w:r>
        <w:rPr>
          <w:b w:val="0"/>
          <w:i w:val="0"/>
        </w:rPr>
        <w:t xml:space="preserve"> = 1.0 the high-reach vendor's price stays near its monopoly price (0.78 versus 0.79).</w:t>
      </w:r>
    </w:p>
    <w:p>
      <w:pPr>
        <w:keepNext/>
        <w:spacing w:line="276" w:lineRule="auto" w:after="120" w:before="240"/>
      </w:pPr>
      <w:r>
        <w:rPr>
          <w:b/>
          <w:i w:val="0"/>
        </w:rPr>
        <w:t>C. Investment Extensions</w:t>
      </w:r>
    </w:p>
    <w:p>
      <w:pPr>
        <w:keepNext/>
        <w:spacing w:line="276" w:lineRule="auto" w:after="80" w:before="160"/>
      </w:pPr>
      <w:r>
        <w:rPr>
          <w:b/>
          <w:i/>
        </w:rPr>
        <w:t>C.1 Two vendors: payoff matrix and equilibria</w:t>
      </w:r>
    </w:p>
    <w:p>
      <w:pPr>
        <w:spacing w:after="0" w:before="0"/>
        <w:ind w:firstLine="720"/>
      </w:pPr>
      <w:r>
        <w:rPr>
          <w:b w:val="0"/>
          <w:i w:val="0"/>
        </w:rPr>
        <w:t xml:space="preserve">Table C1 reports second-stage profits (before investment costs) of the row vendor against the column vendor, for a reach grid. Table C2 reports the pure-strategy equilibria of the investment game for a cost parameter </w:t>
      </w:r>
      <w:r>
        <w:rPr>
          <w:b w:val="0"/>
          <w:i/>
        </w:rPr>
        <w:t>θ</w:t>
      </w:r>
      <w:r>
        <w:rPr>
          <w:b w:val="0"/>
          <w:i w:val="0"/>
        </w:rPr>
        <w:t xml:space="preserve"> on a seven-point reach grid {0.5, 0.7, 0.8, 0.9, 1.0, 1.1, 1.3}.</w:t>
      </w:r>
    </w:p>
    <w:p>
      <w:pPr>
        <w:keepNext/>
        <w:spacing w:line="276" w:lineRule="auto" w:after="80" w:before="200"/>
      </w:pPr>
      <w:r>
        <w:rPr>
          <w:b/>
          <w:i w:val="0"/>
        </w:rPr>
        <w:t>Table C1.</w:t>
      </w:r>
      <w:r>
        <w:rPr>
          <w:b w:val="0"/>
          <w:i w:val="0"/>
        </w:rPr>
        <w:t xml:space="preserve"> Second-stage profits of the row vendor (own reach in rows, rival reach in columns)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tcBorders>
              <w:top w:val="single" w:sz="12" w:color="000000"/>
              <w:bottom w:val="single" w:sz="6" w:color="000000"/>
            </w:tcBorders>
          </w:tcPr>
          <w:p>
            <w:pPr>
              <w:spacing w:line="240" w:lineRule="auto" w:after="20" w:before="20"/>
            </w:pPr>
            <w:r/>
            <w:r>
              <w:rPr>
                <w:b/>
                <w:i w:val="0"/>
                <w:sz w:val="18"/>
              </w:rPr>
              <w:t>Own \ rival</w:t>
            </w:r>
          </w:p>
        </w:tc>
        <w:tc>
          <w:tcPr>
            <w:tcW w:type="dxa" w:w="1296"/>
            <w:tcBorders>
              <w:top w:val="single" w:sz="12" w:color="000000"/>
              <w:bottom w:val="single" w:sz="6" w:color="000000"/>
            </w:tcBorders>
          </w:tcPr>
          <w:p>
            <w:pPr>
              <w:spacing w:line="240" w:lineRule="auto" w:after="20" w:before="20"/>
              <w:jc w:val="center"/>
            </w:pPr>
            <w:r/>
            <w:r>
              <w:rPr>
                <w:b/>
                <w:i w:val="0"/>
                <w:sz w:val="18"/>
              </w:rPr>
              <w:t>0.50</w:t>
            </w:r>
          </w:p>
        </w:tc>
        <w:tc>
          <w:tcPr>
            <w:tcW w:type="dxa" w:w="1296"/>
            <w:tcBorders>
              <w:top w:val="single" w:sz="12" w:color="000000"/>
              <w:bottom w:val="single" w:sz="6" w:color="000000"/>
            </w:tcBorders>
          </w:tcPr>
          <w:p>
            <w:pPr>
              <w:spacing w:line="240" w:lineRule="auto" w:after="20" w:before="20"/>
              <w:jc w:val="center"/>
            </w:pPr>
            <w:r/>
            <w:r>
              <w:rPr>
                <w:b/>
                <w:i w:val="0"/>
                <w:sz w:val="18"/>
              </w:rPr>
              <w:t>0.80</w:t>
            </w:r>
          </w:p>
        </w:tc>
        <w:tc>
          <w:tcPr>
            <w:tcW w:type="dxa" w:w="1296"/>
            <w:tcBorders>
              <w:top w:val="single" w:sz="12" w:color="000000"/>
              <w:bottom w:val="single" w:sz="6" w:color="000000"/>
            </w:tcBorders>
          </w:tcPr>
          <w:p>
            <w:pPr>
              <w:spacing w:line="240" w:lineRule="auto" w:after="20" w:before="20"/>
              <w:jc w:val="center"/>
            </w:pPr>
            <w:r/>
            <w:r>
              <w:rPr>
                <w:b/>
                <w:i w:val="0"/>
                <w:sz w:val="18"/>
              </w:rPr>
              <w:t>0.90</w:t>
            </w:r>
          </w:p>
        </w:tc>
        <w:tc>
          <w:tcPr>
            <w:tcW w:type="dxa" w:w="1296"/>
            <w:tcBorders>
              <w:top w:val="single" w:sz="12" w:color="000000"/>
              <w:bottom w:val="single" w:sz="6" w:color="000000"/>
            </w:tcBorders>
          </w:tcPr>
          <w:p>
            <w:pPr>
              <w:spacing w:line="240" w:lineRule="auto" w:after="20" w:before="20"/>
              <w:jc w:val="center"/>
            </w:pPr>
            <w:r/>
            <w:r>
              <w:rPr>
                <w:b/>
                <w:i w:val="0"/>
                <w:sz w:val="18"/>
              </w:rPr>
              <w:t>1.00</w:t>
            </w:r>
          </w:p>
        </w:tc>
        <w:tc>
          <w:tcPr>
            <w:tcW w:type="dxa" w:w="1296"/>
            <w:tcBorders>
              <w:top w:val="single" w:sz="12" w:color="000000"/>
              <w:bottom w:val="single" w:sz="6" w:color="000000"/>
            </w:tcBorders>
          </w:tcPr>
          <w:p>
            <w:pPr>
              <w:spacing w:line="240" w:lineRule="auto" w:after="20" w:before="20"/>
              <w:jc w:val="center"/>
            </w:pPr>
            <w:r/>
            <w:r>
              <w:rPr>
                <w:b/>
                <w:i w:val="0"/>
                <w:sz w:val="18"/>
              </w:rPr>
              <w:t>1.10</w:t>
            </w:r>
          </w:p>
        </w:tc>
        <w:tc>
          <w:tcPr>
            <w:tcW w:type="dxa" w:w="1296"/>
            <w:tcBorders>
              <w:top w:val="single" w:sz="12" w:color="000000"/>
              <w:bottom w:val="single" w:sz="6" w:color="000000"/>
            </w:tcBorders>
          </w:tcPr>
          <w:p>
            <w:pPr>
              <w:spacing w:line="240" w:lineRule="auto" w:after="20" w:before="20"/>
              <w:jc w:val="center"/>
            </w:pPr>
            <w:r/>
            <w:r>
              <w:rPr>
                <w:b/>
                <w:i w:val="0"/>
                <w:sz w:val="18"/>
              </w:rPr>
              <w:t>1.30</w:t>
            </w:r>
          </w:p>
        </w:tc>
      </w:tr>
      <w:tr>
        <w:tc>
          <w:tcPr>
            <w:tcW w:type="dxa" w:w="1584"/>
          </w:tcPr>
          <w:p>
            <w:pPr>
              <w:spacing w:line="240" w:lineRule="auto" w:after="20" w:before="20"/>
            </w:pPr>
            <w:r/>
            <w:r>
              <w:rPr>
                <w:b w:val="0"/>
                <w:i w:val="0"/>
                <w:sz w:val="18"/>
              </w:rPr>
              <w:t>0.90</w:t>
            </w:r>
          </w:p>
        </w:tc>
        <w:tc>
          <w:tcPr>
            <w:tcW w:type="dxa" w:w="1296"/>
          </w:tcPr>
          <w:p>
            <w:pPr>
              <w:spacing w:line="240" w:lineRule="auto" w:after="20" w:before="20"/>
              <w:jc w:val="center"/>
            </w:pPr>
            <w:r/>
            <w:r>
              <w:rPr>
                <w:b w:val="0"/>
                <w:i w:val="0"/>
                <w:sz w:val="18"/>
              </w:rPr>
              <w:t>1.03</w:t>
            </w:r>
          </w:p>
        </w:tc>
        <w:tc>
          <w:tcPr>
            <w:tcW w:type="dxa" w:w="1296"/>
          </w:tcPr>
          <w:p>
            <w:pPr>
              <w:spacing w:line="240" w:lineRule="auto" w:after="20" w:before="20"/>
              <w:jc w:val="center"/>
            </w:pPr>
            <w:r/>
            <w:r>
              <w:rPr>
                <w:b w:val="0"/>
                <w:i w:val="0"/>
                <w:sz w:val="18"/>
              </w:rPr>
              <w:t>0.96</w:t>
            </w:r>
          </w:p>
        </w:tc>
        <w:tc>
          <w:tcPr>
            <w:tcW w:type="dxa" w:w="1296"/>
          </w:tcPr>
          <w:p>
            <w:pPr>
              <w:spacing w:line="240" w:lineRule="auto" w:after="20" w:before="20"/>
              <w:jc w:val="center"/>
            </w:pPr>
            <w:r/>
            <w:r>
              <w:rPr>
                <w:b w:val="0"/>
                <w:i w:val="0"/>
                <w:sz w:val="18"/>
              </w:rPr>
              <w:t>0.00</w:t>
            </w:r>
          </w:p>
        </w:tc>
        <w:tc>
          <w:tcPr>
            <w:tcW w:type="dxa" w:w="1296"/>
          </w:tcPr>
          <w:p>
            <w:pPr>
              <w:spacing w:line="240" w:lineRule="auto" w:after="20" w:before="20"/>
              <w:jc w:val="center"/>
            </w:pPr>
            <w:r/>
            <w:r>
              <w:rPr>
                <w:b w:val="0"/>
                <w:i w:val="0"/>
                <w:sz w:val="18"/>
              </w:rPr>
              <w:t>0.17</w:t>
            </w:r>
          </w:p>
        </w:tc>
        <w:tc>
          <w:tcPr>
            <w:tcW w:type="dxa" w:w="1296"/>
          </w:tcPr>
          <w:p>
            <w:pPr>
              <w:spacing w:line="240" w:lineRule="auto" w:after="20" w:before="20"/>
              <w:jc w:val="center"/>
            </w:pPr>
            <w:r/>
            <w:r>
              <w:rPr>
                <w:b w:val="0"/>
                <w:i w:val="0"/>
                <w:sz w:val="18"/>
              </w:rPr>
              <w:t>0.33</w:t>
            </w:r>
          </w:p>
        </w:tc>
        <w:tc>
          <w:tcPr>
            <w:tcW w:type="dxa" w:w="1296"/>
          </w:tcPr>
          <w:p>
            <w:pPr>
              <w:spacing w:line="240" w:lineRule="auto" w:after="20" w:before="20"/>
              <w:jc w:val="center"/>
            </w:pPr>
            <w:r/>
            <w:r>
              <w:rPr>
                <w:b w:val="0"/>
                <w:i w:val="0"/>
                <w:sz w:val="18"/>
              </w:rPr>
              <w:t>0.44</w:t>
            </w:r>
          </w:p>
        </w:tc>
      </w:tr>
      <w:tr>
        <w:tc>
          <w:tcPr>
            <w:tcW w:type="dxa" w:w="1584"/>
          </w:tcPr>
          <w:p>
            <w:pPr>
              <w:spacing w:line="240" w:lineRule="auto" w:after="20" w:before="20"/>
            </w:pPr>
            <w:r/>
            <w:r>
              <w:rPr>
                <w:b w:val="0"/>
                <w:i w:val="0"/>
                <w:sz w:val="18"/>
              </w:rPr>
              <w:t>1.00</w:t>
            </w:r>
          </w:p>
        </w:tc>
        <w:tc>
          <w:tcPr>
            <w:tcW w:type="dxa" w:w="1296"/>
          </w:tcPr>
          <w:p>
            <w:pPr>
              <w:spacing w:line="240" w:lineRule="auto" w:after="20" w:before="20"/>
              <w:jc w:val="center"/>
            </w:pPr>
            <w:r/>
            <w:r>
              <w:rPr>
                <w:b w:val="0"/>
                <w:i w:val="0"/>
                <w:sz w:val="18"/>
              </w:rPr>
              <w:t>5.71</w:t>
            </w:r>
          </w:p>
        </w:tc>
        <w:tc>
          <w:tcPr>
            <w:tcW w:type="dxa" w:w="1296"/>
          </w:tcPr>
          <w:p>
            <w:pPr>
              <w:spacing w:line="240" w:lineRule="auto" w:after="20" w:before="20"/>
              <w:jc w:val="center"/>
            </w:pPr>
            <w:r/>
            <w:r>
              <w:rPr>
                <w:b w:val="0"/>
                <w:i w:val="0"/>
                <w:sz w:val="18"/>
              </w:rPr>
              <w:t>5.00</w:t>
            </w:r>
          </w:p>
        </w:tc>
        <w:tc>
          <w:tcPr>
            <w:tcW w:type="dxa" w:w="1296"/>
          </w:tcPr>
          <w:p>
            <w:pPr>
              <w:spacing w:line="240" w:lineRule="auto" w:after="20" w:before="20"/>
              <w:jc w:val="center"/>
            </w:pPr>
            <w:r/>
            <w:r>
              <w:rPr>
                <w:b w:val="0"/>
                <w:i w:val="0"/>
                <w:sz w:val="18"/>
              </w:rPr>
              <w:t>2.84</w:t>
            </w:r>
          </w:p>
        </w:tc>
        <w:tc>
          <w:tcPr>
            <w:tcW w:type="dxa" w:w="1296"/>
          </w:tcPr>
          <w:p>
            <w:pPr>
              <w:spacing w:line="240" w:lineRule="auto" w:after="20" w:before="20"/>
              <w:jc w:val="center"/>
            </w:pPr>
            <w:r/>
            <w:r>
              <w:rPr>
                <w:b w:val="0"/>
                <w:i w:val="0"/>
                <w:sz w:val="18"/>
              </w:rPr>
              <w:t>0.00</w:t>
            </w:r>
          </w:p>
        </w:tc>
        <w:tc>
          <w:tcPr>
            <w:tcW w:type="dxa" w:w="1296"/>
          </w:tcPr>
          <w:p>
            <w:pPr>
              <w:spacing w:line="240" w:lineRule="auto" w:after="20" w:before="20"/>
              <w:jc w:val="center"/>
            </w:pPr>
            <w:r/>
            <w:r>
              <w:rPr>
                <w:b w:val="0"/>
                <w:i w:val="0"/>
                <w:sz w:val="18"/>
              </w:rPr>
              <w:t>0.20</w:t>
            </w:r>
          </w:p>
        </w:tc>
        <w:tc>
          <w:tcPr>
            <w:tcW w:type="dxa" w:w="1296"/>
          </w:tcPr>
          <w:p>
            <w:pPr>
              <w:spacing w:line="240" w:lineRule="auto" w:after="20" w:before="20"/>
              <w:jc w:val="center"/>
            </w:pPr>
            <w:r/>
            <w:r>
              <w:rPr>
                <w:b w:val="0"/>
                <w:i w:val="0"/>
                <w:sz w:val="18"/>
              </w:rPr>
              <w:t>0.44</w:t>
            </w:r>
          </w:p>
        </w:tc>
      </w:tr>
      <w:tr>
        <w:tc>
          <w:tcPr>
            <w:tcW w:type="dxa" w:w="1584"/>
          </w:tcPr>
          <w:p>
            <w:pPr>
              <w:spacing w:line="240" w:lineRule="auto" w:after="20" w:before="20"/>
            </w:pPr>
            <w:r/>
            <w:r>
              <w:rPr>
                <w:b w:val="0"/>
                <w:i w:val="0"/>
                <w:sz w:val="18"/>
              </w:rPr>
              <w:t>1.10</w:t>
            </w:r>
          </w:p>
        </w:tc>
        <w:tc>
          <w:tcPr>
            <w:tcW w:type="dxa" w:w="1296"/>
          </w:tcPr>
          <w:p>
            <w:pPr>
              <w:spacing w:line="240" w:lineRule="auto" w:after="20" w:before="20"/>
              <w:jc w:val="center"/>
            </w:pPr>
            <w:r/>
            <w:r>
              <w:rPr>
                <w:b w:val="0"/>
                <w:i w:val="0"/>
                <w:sz w:val="18"/>
              </w:rPr>
              <w:t>7.28</w:t>
            </w:r>
          </w:p>
        </w:tc>
        <w:tc>
          <w:tcPr>
            <w:tcW w:type="dxa" w:w="1296"/>
          </w:tcPr>
          <w:p>
            <w:pPr>
              <w:spacing w:line="240" w:lineRule="auto" w:after="20" w:before="20"/>
              <w:jc w:val="center"/>
            </w:pPr>
            <w:r/>
            <w:r>
              <w:rPr>
                <w:b w:val="0"/>
                <w:i w:val="0"/>
                <w:sz w:val="18"/>
              </w:rPr>
              <w:t>7.05</w:t>
            </w:r>
          </w:p>
        </w:tc>
        <w:tc>
          <w:tcPr>
            <w:tcW w:type="dxa" w:w="1296"/>
          </w:tcPr>
          <w:p>
            <w:pPr>
              <w:spacing w:line="240" w:lineRule="auto" w:after="20" w:before="20"/>
              <w:jc w:val="center"/>
            </w:pPr>
            <w:r/>
            <w:r>
              <w:rPr>
                <w:b w:val="0"/>
                <w:i w:val="0"/>
                <w:sz w:val="18"/>
              </w:rPr>
              <w:t>5.55</w:t>
            </w:r>
          </w:p>
        </w:tc>
        <w:tc>
          <w:tcPr>
            <w:tcW w:type="dxa" w:w="1296"/>
          </w:tcPr>
          <w:p>
            <w:pPr>
              <w:spacing w:line="240" w:lineRule="auto" w:after="20" w:before="20"/>
              <w:jc w:val="center"/>
            </w:pPr>
            <w:r/>
            <w:r>
              <w:rPr>
                <w:b w:val="0"/>
                <w:i w:val="0"/>
                <w:sz w:val="18"/>
              </w:rPr>
              <w:t>2.88</w:t>
            </w:r>
          </w:p>
        </w:tc>
        <w:tc>
          <w:tcPr>
            <w:tcW w:type="dxa" w:w="1296"/>
          </w:tcPr>
          <w:p>
            <w:pPr>
              <w:spacing w:line="240" w:lineRule="auto" w:after="20" w:before="20"/>
              <w:jc w:val="center"/>
            </w:pPr>
            <w:r/>
            <w:r>
              <w:rPr>
                <w:b w:val="0"/>
                <w:i w:val="0"/>
                <w:sz w:val="18"/>
              </w:rPr>
              <w:t>0.00</w:t>
            </w:r>
          </w:p>
        </w:tc>
        <w:tc>
          <w:tcPr>
            <w:tcW w:type="dxa" w:w="1296"/>
          </w:tcPr>
          <w:p>
            <w:pPr>
              <w:spacing w:line="240" w:lineRule="auto" w:after="20" w:before="20"/>
              <w:jc w:val="center"/>
            </w:pPr>
            <w:r/>
            <w:r>
              <w:rPr>
                <w:b w:val="0"/>
                <w:i w:val="0"/>
                <w:sz w:val="18"/>
              </w:rPr>
              <w:t>0.36</w:t>
            </w:r>
          </w:p>
        </w:tc>
      </w:tr>
      <w:tr>
        <w:tc>
          <w:tcPr>
            <w:tcW w:type="dxa" w:w="1584"/>
            <w:tcBorders>
              <w:bottom w:val="single" w:sz="12" w:color="000000"/>
            </w:tcBorders>
          </w:tcPr>
          <w:p>
            <w:pPr>
              <w:spacing w:line="240" w:lineRule="auto" w:after="20" w:before="20"/>
            </w:pPr>
            <w:r/>
            <w:r>
              <w:rPr>
                <w:b w:val="0"/>
                <w:i w:val="0"/>
                <w:sz w:val="18"/>
              </w:rPr>
              <w:t>1.30</w:t>
            </w:r>
          </w:p>
        </w:tc>
        <w:tc>
          <w:tcPr>
            <w:tcW w:type="dxa" w:w="1296"/>
            <w:tcBorders>
              <w:bottom w:val="single" w:sz="12" w:color="000000"/>
            </w:tcBorders>
          </w:tcPr>
          <w:p>
            <w:pPr>
              <w:spacing w:line="240" w:lineRule="auto" w:after="20" w:before="20"/>
              <w:jc w:val="center"/>
            </w:pPr>
            <w:r/>
            <w:r>
              <w:rPr>
                <w:b w:val="0"/>
                <w:i w:val="0"/>
                <w:sz w:val="18"/>
              </w:rPr>
              <w:t>10.75</w:t>
            </w:r>
          </w:p>
        </w:tc>
        <w:tc>
          <w:tcPr>
            <w:tcW w:type="dxa" w:w="1296"/>
            <w:tcBorders>
              <w:bottom w:val="single" w:sz="12" w:color="000000"/>
            </w:tcBorders>
          </w:tcPr>
          <w:p>
            <w:pPr>
              <w:spacing w:line="240" w:lineRule="auto" w:after="20" w:before="20"/>
              <w:jc w:val="center"/>
            </w:pPr>
            <w:r/>
            <w:r>
              <w:rPr>
                <w:b w:val="0"/>
                <w:i w:val="0"/>
                <w:sz w:val="18"/>
              </w:rPr>
              <w:t>10.75</w:t>
            </w:r>
          </w:p>
        </w:tc>
        <w:tc>
          <w:tcPr>
            <w:tcW w:type="dxa" w:w="1296"/>
            <w:tcBorders>
              <w:bottom w:val="single" w:sz="12" w:color="000000"/>
            </w:tcBorders>
          </w:tcPr>
          <w:p>
            <w:pPr>
              <w:spacing w:line="240" w:lineRule="auto" w:after="20" w:before="20"/>
              <w:jc w:val="center"/>
            </w:pPr>
            <w:r/>
            <w:r>
              <w:rPr>
                <w:b w:val="0"/>
                <w:i w:val="0"/>
                <w:sz w:val="18"/>
              </w:rPr>
              <w:t>9.98</w:t>
            </w:r>
          </w:p>
        </w:tc>
        <w:tc>
          <w:tcPr>
            <w:tcW w:type="dxa" w:w="1296"/>
            <w:tcBorders>
              <w:bottom w:val="single" w:sz="12" w:color="000000"/>
            </w:tcBorders>
          </w:tcPr>
          <w:p>
            <w:pPr>
              <w:spacing w:line="240" w:lineRule="auto" w:after="20" w:before="20"/>
              <w:jc w:val="center"/>
            </w:pPr>
            <w:r/>
            <w:r>
              <w:rPr>
                <w:b w:val="0"/>
                <w:i w:val="0"/>
                <w:sz w:val="18"/>
              </w:rPr>
              <w:t>7.82</w:t>
            </w:r>
          </w:p>
        </w:tc>
        <w:tc>
          <w:tcPr>
            <w:tcW w:type="dxa" w:w="1296"/>
            <w:tcBorders>
              <w:bottom w:val="single" w:sz="12" w:color="000000"/>
            </w:tcBorders>
          </w:tcPr>
          <w:p>
            <w:pPr>
              <w:spacing w:line="240" w:lineRule="auto" w:after="20" w:before="20"/>
              <w:jc w:val="center"/>
            </w:pPr>
            <w:r/>
            <w:r>
              <w:rPr>
                <w:b w:val="0"/>
                <w:i w:val="0"/>
                <w:sz w:val="18"/>
              </w:rPr>
              <w:t>5.71</w:t>
            </w:r>
          </w:p>
        </w:tc>
        <w:tc>
          <w:tcPr>
            <w:tcW w:type="dxa" w:w="1296"/>
            <w:tcBorders>
              <w:bottom w:val="single" w:sz="12" w:color="000000"/>
            </w:tcBorders>
          </w:tcPr>
          <w:p>
            <w:pPr>
              <w:spacing w:line="240" w:lineRule="auto" w:after="20" w:before="20"/>
              <w:jc w:val="center"/>
            </w:pPr>
            <w:r/>
            <w:r>
              <w:rPr>
                <w:b w:val="0"/>
                <w:i w:val="0"/>
                <w:sz w:val="18"/>
              </w:rPr>
              <w:t>0.00</w:t>
            </w:r>
          </w:p>
        </w:tc>
      </w:tr>
    </w:tbl>
    <w:p>
      <w:pPr>
        <w:spacing w:line="240" w:lineRule="auto" w:after="160" w:before="60"/>
      </w:pPr>
      <w:r>
        <w:rPr>
          <w:b w:val="0"/>
          <w:i/>
          <w:sz w:val="18"/>
        </w:rPr>
        <w:t>Notes.</w:t>
      </w:r>
      <w:r>
        <w:rPr>
          <w:b w:val="0"/>
          <w:i w:val="0"/>
          <w:sz w:val="18"/>
        </w:rPr>
        <w:t xml:space="preserve"> Numerical, coarse grid. Zeros on the diagonal reflect Bertrand competition at equal reach.</w:t>
      </w:r>
    </w:p>
    <w:p>
      <w:pPr>
        <w:keepNext/>
        <w:spacing w:line="276" w:lineRule="auto" w:after="80" w:before="200"/>
      </w:pPr>
      <w:r>
        <w:rPr>
          <w:b/>
          <w:i w:val="0"/>
        </w:rPr>
        <w:t>Table C2.</w:t>
      </w:r>
      <w:r>
        <w:rPr>
          <w:b w:val="0"/>
          <w:i w:val="0"/>
        </w:rPr>
        <w:t xml:space="preserve"> Pure-strategy equilibria of the investment game</w:t>
      </w:r>
    </w:p>
    <w:tbl>
      <w:tblPr>
        <w:tblW w:type="auto" w:w="0"/>
        <w:jc w:val="center"/>
        <w:tblLook w:firstColumn="1" w:firstRow="1" w:lastColumn="0" w:lastRow="0" w:noHBand="0" w:noVBand="1" w:val="04A0"/>
      </w:tblPr>
      <w:tblGrid>
        <w:gridCol w:w="2340"/>
        <w:gridCol w:w="2340"/>
        <w:gridCol w:w="2340"/>
        <w:gridCol w:w="2340"/>
      </w:tblGrid>
      <w:tr>
        <w:tc>
          <w:tcPr>
            <w:tcW w:type="dxa" w:w="1296"/>
            <w:tcBorders>
              <w:top w:val="single" w:sz="12" w:color="000000"/>
              <w:bottom w:val="single" w:sz="6" w:color="000000"/>
            </w:tcBorders>
          </w:tcPr>
          <w:p>
            <w:pPr>
              <w:spacing w:line="240" w:lineRule="auto" w:after="20" w:before="20"/>
            </w:pPr>
            <w:r/>
            <w:r>
              <w:rPr>
                <w:b/>
                <w:i/>
                <w:sz w:val="20"/>
              </w:rPr>
              <w:t>θ</w:t>
            </w:r>
          </w:p>
        </w:tc>
        <w:tc>
          <w:tcPr>
            <w:tcW w:type="dxa" w:w="3168"/>
            <w:tcBorders>
              <w:top w:val="single" w:sz="12" w:color="000000"/>
              <w:bottom w:val="single" w:sz="6" w:color="000000"/>
            </w:tcBorders>
          </w:tcPr>
          <w:p>
            <w:pPr>
              <w:spacing w:line="240" w:lineRule="auto" w:after="20" w:before="20"/>
              <w:jc w:val="center"/>
            </w:pPr>
            <w:r/>
            <w:r>
              <w:rPr>
                <w:b/>
                <w:i w:val="0"/>
                <w:sz w:val="20"/>
              </w:rPr>
              <w:t>Equilibrium (</w:t>
            </w:r>
            <w:r>
              <w:rPr>
                <w:b/>
                <w:i/>
                <w:sz w:val="20"/>
              </w:rPr>
              <w:t>A</w:t>
            </w:r>
            <w:r>
              <w:rPr>
                <w:b/>
                <w:i w:val="0"/>
                <w:sz w:val="20"/>
                <w:vertAlign w:val="subscript"/>
              </w:rPr>
              <w:t>1</w:t>
            </w:r>
            <w:r>
              <w:rPr>
                <w:b/>
                <w:i w:val="0"/>
                <w:sz w:val="20"/>
              </w:rPr>
              <w:t xml:space="preserve">, </w:t>
            </w:r>
            <w:r>
              <w:rPr>
                <w:b/>
                <w:i/>
                <w:sz w:val="20"/>
              </w:rPr>
              <w:t>A</w:t>
            </w:r>
            <w:r>
              <w:rPr>
                <w:b/>
                <w:i w:val="0"/>
                <w:sz w:val="20"/>
                <w:vertAlign w:val="subscript"/>
              </w:rPr>
              <w:t>2</w:t>
            </w:r>
            <w:r>
              <w:rPr>
                <w:b/>
                <w:i w:val="0"/>
                <w:sz w:val="20"/>
              </w:rPr>
              <w:t>)</w:t>
            </w:r>
          </w:p>
        </w:tc>
        <w:tc>
          <w:tcPr>
            <w:tcW w:type="dxa" w:w="2304"/>
            <w:tcBorders>
              <w:top w:val="single" w:sz="12" w:color="000000"/>
              <w:bottom w:val="single" w:sz="6" w:color="000000"/>
            </w:tcBorders>
          </w:tcPr>
          <w:p>
            <w:pPr>
              <w:spacing w:line="240" w:lineRule="auto" w:after="20" w:before="20"/>
              <w:jc w:val="center"/>
            </w:pPr>
            <w:r/>
            <w:r>
              <w:rPr>
                <w:b/>
                <w:i w:val="0"/>
                <w:sz w:val="20"/>
              </w:rPr>
              <w:t>Monopolist's choice</w:t>
            </w:r>
          </w:p>
        </w:tc>
        <w:tc>
          <w:tcPr>
            <w:tcW w:type="dxa" w:w="2880"/>
            <w:tcBorders>
              <w:top w:val="single" w:sz="12" w:color="000000"/>
              <w:bottom w:val="single" w:sz="6" w:color="000000"/>
            </w:tcBorders>
          </w:tcPr>
          <w:p>
            <w:pPr>
              <w:spacing w:line="240" w:lineRule="auto" w:after="20" w:before="20"/>
              <w:jc w:val="center"/>
            </w:pPr>
            <w:r/>
            <w:r>
              <w:rPr>
                <w:b/>
                <w:i w:val="0"/>
                <w:sz w:val="20"/>
              </w:rPr>
              <w:t>Planner's choice</w:t>
            </w:r>
          </w:p>
        </w:tc>
      </w:tr>
      <w:tr>
        <w:tc>
          <w:tcPr>
            <w:tcW w:type="dxa" w:w="1296"/>
          </w:tcPr>
          <w:p>
            <w:pPr>
              <w:spacing w:line="240" w:lineRule="auto" w:after="20" w:before="20"/>
            </w:pPr>
            <w:r/>
            <w:r>
              <w:rPr>
                <w:b w:val="0"/>
                <w:i w:val="0"/>
                <w:sz w:val="20"/>
              </w:rPr>
              <w:t>46–200</w:t>
            </w:r>
          </w:p>
        </w:tc>
        <w:tc>
          <w:tcPr>
            <w:tcW w:type="dxa" w:w="3168"/>
          </w:tcPr>
          <w:p>
            <w:pPr>
              <w:spacing w:line="240" w:lineRule="auto" w:after="20" w:before="20"/>
              <w:jc w:val="center"/>
            </w:pPr>
            <w:r/>
            <w:r>
              <w:rPr>
                <w:b w:val="0"/>
                <w:i w:val="0"/>
                <w:sz w:val="20"/>
              </w:rPr>
              <w:t>(0.5, 0.5): no investment</w:t>
            </w:r>
          </w:p>
        </w:tc>
        <w:tc>
          <w:tcPr>
            <w:tcW w:type="dxa" w:w="2304"/>
          </w:tcPr>
          <w:p>
            <w:pPr>
              <w:spacing w:line="240" w:lineRule="auto" w:after="20" w:before="20"/>
              <w:jc w:val="center"/>
            </w:pPr>
            <w:r/>
            <w:r>
              <w:rPr>
                <w:b w:val="0"/>
                <w:i w:val="0"/>
                <w:sz w:val="20"/>
              </w:rPr>
              <w:t>0.5</w:t>
            </w:r>
          </w:p>
        </w:tc>
        <w:tc>
          <w:tcPr>
            <w:tcW w:type="dxa" w:w="2880"/>
          </w:tcPr>
          <w:p>
            <w:pPr>
              <w:spacing w:line="240" w:lineRule="auto" w:after="20" w:before="20"/>
              <w:jc w:val="center"/>
            </w:pPr>
            <w:r/>
            <w:r>
              <w:rPr>
                <w:b w:val="0"/>
                <w:i w:val="0"/>
                <w:sz w:val="20"/>
              </w:rPr>
              <w:t xml:space="preserve">(0.5, 1.3) for </w:t>
            </w:r>
            <w:r>
              <w:rPr>
                <w:b w:val="0"/>
                <w:i/>
                <w:sz w:val="20"/>
              </w:rPr>
              <w:t>θ</w:t>
            </w:r>
            <w:r>
              <w:rPr>
                <w:b w:val="0"/>
                <w:i w:val="0"/>
                <w:sz w:val="20"/>
              </w:rPr>
              <w:t xml:space="preserve"> ≤ 60</w:t>
            </w:r>
          </w:p>
        </w:tc>
      </w:tr>
      <w:tr>
        <w:tc>
          <w:tcPr>
            <w:tcW w:type="dxa" w:w="1296"/>
          </w:tcPr>
          <w:p>
            <w:pPr>
              <w:spacing w:line="240" w:lineRule="auto" w:after="20" w:before="20"/>
            </w:pPr>
            <w:r/>
            <w:r>
              <w:rPr>
                <w:b w:val="0"/>
                <w:i w:val="0"/>
                <w:sz w:val="20"/>
              </w:rPr>
              <w:t>30–40</w:t>
            </w:r>
          </w:p>
        </w:tc>
        <w:tc>
          <w:tcPr>
            <w:tcW w:type="dxa" w:w="3168"/>
          </w:tcPr>
          <w:p>
            <w:pPr>
              <w:spacing w:line="240" w:lineRule="auto" w:after="20" w:before="20"/>
              <w:jc w:val="center"/>
            </w:pPr>
            <w:r/>
            <w:r>
              <w:rPr>
                <w:b w:val="0"/>
                <w:i w:val="0"/>
                <w:sz w:val="20"/>
              </w:rPr>
              <w:t>(1.0, 0.5)</w:t>
            </w:r>
          </w:p>
        </w:tc>
        <w:tc>
          <w:tcPr>
            <w:tcW w:type="dxa" w:w="2304"/>
          </w:tcPr>
          <w:p>
            <w:pPr>
              <w:spacing w:line="240" w:lineRule="auto" w:after="20" w:before="20"/>
              <w:jc w:val="center"/>
            </w:pPr>
            <w:r/>
            <w:r>
              <w:rPr>
                <w:b w:val="0"/>
                <w:i w:val="0"/>
                <w:sz w:val="20"/>
              </w:rPr>
              <w:t>1.0</w:t>
            </w:r>
          </w:p>
        </w:tc>
        <w:tc>
          <w:tcPr>
            <w:tcW w:type="dxa" w:w="2880"/>
          </w:tcPr>
          <w:p>
            <w:pPr>
              <w:spacing w:line="240" w:lineRule="auto" w:after="20" w:before="20"/>
              <w:jc w:val="center"/>
            </w:pPr>
            <w:r/>
            <w:r>
              <w:rPr>
                <w:b w:val="0"/>
                <w:i w:val="0"/>
                <w:sz w:val="20"/>
              </w:rPr>
              <w:t>(0.5, 1.3)</w:t>
            </w:r>
          </w:p>
        </w:tc>
      </w:tr>
      <w:tr>
        <w:tc>
          <w:tcPr>
            <w:tcW w:type="dxa" w:w="1296"/>
          </w:tcPr>
          <w:p>
            <w:pPr>
              <w:spacing w:line="240" w:lineRule="auto" w:after="20" w:before="20"/>
            </w:pPr>
            <w:r/>
            <w:r>
              <w:rPr>
                <w:b w:val="0"/>
                <w:i w:val="0"/>
                <w:sz w:val="20"/>
              </w:rPr>
              <w:t>20</w:t>
            </w:r>
          </w:p>
        </w:tc>
        <w:tc>
          <w:tcPr>
            <w:tcW w:type="dxa" w:w="3168"/>
          </w:tcPr>
          <w:p>
            <w:pPr>
              <w:spacing w:line="240" w:lineRule="auto" w:after="20" w:before="20"/>
              <w:jc w:val="center"/>
            </w:pPr>
            <w:r/>
            <w:r>
              <w:rPr>
                <w:b w:val="0"/>
                <w:i w:val="0"/>
                <w:sz w:val="20"/>
              </w:rPr>
              <w:t>(1.3, 0.5)</w:t>
            </w:r>
          </w:p>
        </w:tc>
        <w:tc>
          <w:tcPr>
            <w:tcW w:type="dxa" w:w="2304"/>
          </w:tcPr>
          <w:p>
            <w:pPr>
              <w:spacing w:line="240" w:lineRule="auto" w:after="20" w:before="20"/>
              <w:jc w:val="center"/>
            </w:pPr>
            <w:r/>
            <w:r>
              <w:rPr>
                <w:b w:val="0"/>
                <w:i w:val="0"/>
                <w:sz w:val="20"/>
              </w:rPr>
              <w:t>1.3</w:t>
            </w:r>
          </w:p>
        </w:tc>
        <w:tc>
          <w:tcPr>
            <w:tcW w:type="dxa" w:w="2880"/>
          </w:tcPr>
          <w:p>
            <w:pPr>
              <w:spacing w:line="240" w:lineRule="auto" w:after="20" w:before="20"/>
              <w:jc w:val="center"/>
            </w:pPr>
            <w:r/>
            <w:r>
              <w:rPr>
                <w:b w:val="0"/>
                <w:i w:val="0"/>
                <w:sz w:val="20"/>
              </w:rPr>
              <w:t>(0.5, 1.3)</w:t>
            </w:r>
          </w:p>
        </w:tc>
      </w:tr>
      <w:tr>
        <w:tc>
          <w:tcPr>
            <w:tcW w:type="dxa" w:w="1296"/>
            <w:tcBorders>
              <w:bottom w:val="single" w:sz="12" w:color="000000"/>
            </w:tcBorders>
          </w:tcPr>
          <w:p>
            <w:pPr>
              <w:spacing w:line="240" w:lineRule="auto" w:after="20" w:before="20"/>
            </w:pPr>
            <w:r/>
            <w:r>
              <w:rPr>
                <w:b w:val="0"/>
                <w:i w:val="0"/>
                <w:sz w:val="20"/>
              </w:rPr>
              <w:t>10</w:t>
            </w:r>
          </w:p>
        </w:tc>
        <w:tc>
          <w:tcPr>
            <w:tcW w:type="dxa" w:w="3168"/>
            <w:tcBorders>
              <w:bottom w:val="single" w:sz="12" w:color="000000"/>
            </w:tcBorders>
          </w:tcPr>
          <w:p>
            <w:pPr>
              <w:spacing w:line="240" w:lineRule="auto" w:after="20" w:before="20"/>
              <w:jc w:val="center"/>
            </w:pPr>
            <w:r/>
            <w:r>
              <w:rPr>
                <w:b w:val="0"/>
                <w:i w:val="0"/>
                <w:sz w:val="20"/>
              </w:rPr>
              <w:t>(1.3, 0.5)</w:t>
            </w:r>
          </w:p>
        </w:tc>
        <w:tc>
          <w:tcPr>
            <w:tcW w:type="dxa" w:w="2304"/>
            <w:tcBorders>
              <w:bottom w:val="single" w:sz="12" w:color="000000"/>
            </w:tcBorders>
          </w:tcPr>
          <w:p>
            <w:pPr>
              <w:spacing w:line="240" w:lineRule="auto" w:after="20" w:before="20"/>
              <w:jc w:val="center"/>
            </w:pPr>
            <w:r/>
            <w:r>
              <w:rPr>
                <w:b w:val="0"/>
                <w:i w:val="0"/>
                <w:sz w:val="20"/>
              </w:rPr>
              <w:t>1.3</w:t>
            </w:r>
          </w:p>
        </w:tc>
        <w:tc>
          <w:tcPr>
            <w:tcW w:type="dxa" w:w="2880"/>
            <w:tcBorders>
              <w:bottom w:val="single" w:sz="12" w:color="000000"/>
            </w:tcBorders>
          </w:tcPr>
          <w:p>
            <w:pPr>
              <w:spacing w:line="240" w:lineRule="auto" w:after="20" w:before="20"/>
              <w:jc w:val="center"/>
            </w:pPr>
            <w:r/>
            <w:r>
              <w:rPr>
                <w:b w:val="0"/>
                <w:i w:val="0"/>
                <w:sz w:val="20"/>
              </w:rPr>
              <w:t>(1.1, 1.3)</w:t>
            </w:r>
          </w:p>
        </w:tc>
      </w:tr>
    </w:tbl>
    <w:p>
      <w:pPr>
        <w:spacing w:line="240" w:lineRule="auto" w:after="160" w:before="60"/>
      </w:pPr>
      <w:r>
        <w:rPr>
          <w:b w:val="0"/>
          <w:i/>
          <w:sz w:val="18"/>
        </w:rPr>
        <w:t>Notes.</w:t>
      </w:r>
      <w:r>
        <w:rPr>
          <w:b w:val="0"/>
          <w:i w:val="0"/>
          <w:sz w:val="18"/>
        </w:rPr>
        <w:t xml:space="preserve"> Numerical, seven-point grid; threshold position is approximate. The planner prefers one vendor to invest to the cap, since duplicate investment is wasteful, and two differentiated vendors only when </w:t>
      </w:r>
      <w:r>
        <w:rPr>
          <w:b w:val="0"/>
          <w:i/>
          <w:sz w:val="18"/>
        </w:rPr>
        <w:t>θ</w:t>
      </w:r>
      <w:r>
        <w:rPr>
          <w:b w:val="0"/>
          <w:i w:val="0"/>
          <w:sz w:val="18"/>
        </w:rPr>
        <w:t xml:space="preserve"> is low.</w:t>
      </w:r>
    </w:p>
    <w:p>
      <w:pPr>
        <w:spacing w:after="0" w:before="0"/>
        <w:ind w:firstLine="720"/>
      </w:pPr>
      <w:r>
        <w:rPr>
          <w:b w:val="0"/>
          <w:i w:val="0"/>
        </w:rPr>
        <w:t>In equilibrium at most one vendor invests, and the investment threshold is the monopolist's. The market is a natural monopoly in reach.</w:t>
      </w:r>
    </w:p>
    <w:p>
      <w:pPr>
        <w:keepNext/>
        <w:spacing w:line="276" w:lineRule="auto" w:after="80" w:before="160"/>
      </w:pPr>
      <w:r>
        <w:rPr>
          <w:b/>
          <w:i/>
        </w:rPr>
        <w:t>C.2 Learning from usage</w:t>
      </w:r>
    </w:p>
    <w:p>
      <w:pPr>
        <w:spacing w:after="0" w:before="0"/>
        <w:ind w:firstLine="720"/>
      </w:pPr>
      <w:r>
        <w:rPr>
          <w:b w:val="0"/>
          <w:i w:val="0"/>
        </w:rPr>
        <w:t xml:space="preserve">Consider two periods with discount factor 0.9. The vendor invests in reach </w:t>
      </w:r>
      <w:r>
        <w:rPr>
          <w:b w:val="0"/>
          <w:i/>
        </w:rPr>
        <w:t>A</w:t>
      </w:r>
      <w:r>
        <w:rPr>
          <w:b w:val="0"/>
          <w:i w:val="0"/>
          <w:vertAlign w:val="subscript"/>
        </w:rPr>
        <w:t>1</w:t>
      </w:r>
      <w:r>
        <w:rPr>
          <w:b w:val="0"/>
          <w:i w:val="0"/>
        </w:rPr>
        <w:t xml:space="preserve"> in period one and sets a first-period price. Reach in period two is </w:t>
      </w:r>
      <w:r>
        <w:rPr>
          <w:b w:val="0"/>
          <w:i/>
        </w:rPr>
        <w:t>A</w:t>
      </w:r>
      <w:r>
        <w:rPr>
          <w:b w:val="0"/>
          <w:i w:val="0"/>
          <w:vertAlign w:val="subscript"/>
        </w:rPr>
        <w:t>2</w:t>
      </w:r>
      <w:r>
        <w:rPr>
          <w:b w:val="0"/>
          <w:i w:val="0"/>
        </w:rPr>
        <w:t xml:space="preserve"> = min(1.3, </w:t>
      </w:r>
      <w:r>
        <w:rPr>
          <w:b w:val="0"/>
          <w:i/>
        </w:rPr>
        <w:t>A</w:t>
      </w:r>
      <w:r>
        <w:rPr>
          <w:b w:val="0"/>
          <w:i w:val="0"/>
          <w:vertAlign w:val="subscript"/>
        </w:rPr>
        <w:t>1</w:t>
      </w:r>
      <w:r>
        <w:rPr>
          <w:b w:val="0"/>
          <w:i w:val="0"/>
        </w:rPr>
        <w:t xml:space="preserve"> + </w:t>
      </w:r>
      <w:r>
        <w:rPr>
          <w:b w:val="0"/>
          <w:i/>
        </w:rPr>
        <w:t>λ</w:t>
      </w:r>
      <w:r>
        <w:rPr>
          <w:b w:val="0"/>
          <w:i w:val="0"/>
        </w:rPr>
        <w:t xml:space="preserve"> × first-period adoption share), where </w:t>
      </w:r>
      <w:r>
        <w:rPr>
          <w:b w:val="0"/>
          <w:i/>
        </w:rPr>
        <w:t>λ</w:t>
      </w:r>
      <w:r>
        <w:rPr>
          <w:b w:val="0"/>
          <w:i w:val="0"/>
        </w:rPr>
        <w:t xml:space="preserve"> measures learning intensity. Investment occurs only in period one.</w:t>
      </w:r>
    </w:p>
    <w:p>
      <w:pPr>
        <w:keepNext/>
        <w:spacing w:line="276" w:lineRule="auto" w:after="80" w:before="200"/>
      </w:pPr>
      <w:r>
        <w:rPr>
          <w:b/>
          <w:i w:val="0"/>
        </w:rPr>
        <w:t>Table C3.</w:t>
      </w:r>
      <w:r>
        <w:rPr>
          <w:b w:val="0"/>
          <w:i w:val="0"/>
        </w:rPr>
        <w:t xml:space="preserve"> Learning and the investment threshold</w:t>
      </w:r>
    </w:p>
    <w:tbl>
      <w:tblPr>
        <w:tblW w:type="auto" w:w="0"/>
        <w:jc w:val="center"/>
        <w:tblLook w:firstColumn="1" w:firstRow="1" w:lastColumn="0" w:lastRow="0" w:noHBand="0" w:noVBand="1" w:val="04A0"/>
      </w:tblPr>
      <w:tblGrid>
        <w:gridCol w:w="2340"/>
        <w:gridCol w:w="2340"/>
        <w:gridCol w:w="2340"/>
        <w:gridCol w:w="2340"/>
      </w:tblGrid>
      <w:tr>
        <w:tc>
          <w:tcPr>
            <w:tcW w:type="dxa" w:w="1440"/>
            <w:tcBorders>
              <w:top w:val="single" w:sz="12" w:color="000000"/>
              <w:bottom w:val="single" w:sz="6" w:color="000000"/>
            </w:tcBorders>
          </w:tcPr>
          <w:p>
            <w:pPr>
              <w:spacing w:line="240" w:lineRule="auto" w:after="20" w:before="20"/>
            </w:pPr>
            <w:r/>
            <w:r>
              <w:rPr>
                <w:b/>
                <w:i w:val="0"/>
                <w:sz w:val="18"/>
              </w:rPr>
              <w:t xml:space="preserve">Learning </w:t>
            </w:r>
            <w:r>
              <w:rPr>
                <w:b/>
                <w:i/>
                <w:sz w:val="18"/>
              </w:rPr>
              <w:t>λ</w:t>
            </w:r>
          </w:p>
        </w:tc>
        <w:tc>
          <w:tcPr>
            <w:tcW w:type="dxa" w:w="3168"/>
            <w:tcBorders>
              <w:top w:val="single" w:sz="12" w:color="000000"/>
              <w:bottom w:val="single" w:sz="6" w:color="000000"/>
            </w:tcBorders>
          </w:tcPr>
          <w:p>
            <w:pPr>
              <w:spacing w:line="240" w:lineRule="auto" w:after="20" w:before="20"/>
              <w:jc w:val="center"/>
            </w:pPr>
            <w:r/>
            <w:r>
              <w:rPr>
                <w:b/>
                <w:i w:val="0"/>
                <w:sz w:val="18"/>
              </w:rPr>
              <w:t xml:space="preserve">Threshold </w:t>
            </w:r>
            <w:r>
              <w:rPr>
                <w:b/>
                <w:i/>
                <w:sz w:val="18"/>
              </w:rPr>
              <w:t>θ</w:t>
            </w:r>
            <w:r>
              <w:rPr>
                <w:b/>
                <w:i w:val="0"/>
                <w:sz w:val="18"/>
              </w:rPr>
              <w:t xml:space="preserve"> to reach parity by period 2</w:t>
            </w:r>
          </w:p>
        </w:tc>
        <w:tc>
          <w:tcPr>
            <w:tcW w:type="dxa" w:w="1872"/>
            <w:tcBorders>
              <w:top w:val="single" w:sz="12" w:color="000000"/>
              <w:bottom w:val="single" w:sz="6" w:color="000000"/>
            </w:tcBorders>
          </w:tcPr>
          <w:p>
            <w:pPr>
              <w:spacing w:line="240" w:lineRule="auto" w:after="20" w:before="20"/>
              <w:jc w:val="center"/>
            </w:pPr>
            <w:r/>
            <w:r>
              <w:rPr>
                <w:b/>
                <w:i w:val="0"/>
                <w:sz w:val="18"/>
              </w:rPr>
              <w:t xml:space="preserve">Relative to </w:t>
            </w:r>
            <w:r>
              <w:rPr>
                <w:b/>
                <w:i/>
                <w:sz w:val="18"/>
              </w:rPr>
              <w:t>λ</w:t>
            </w:r>
            <w:r>
              <w:rPr>
                <w:b/>
                <w:i w:val="0"/>
                <w:sz w:val="18"/>
              </w:rPr>
              <w:t xml:space="preserve"> = 0</w:t>
            </w:r>
          </w:p>
        </w:tc>
        <w:tc>
          <w:tcPr>
            <w:tcW w:type="dxa" w:w="3168"/>
            <w:tcBorders>
              <w:top w:val="single" w:sz="12" w:color="000000"/>
              <w:bottom w:val="single" w:sz="6" w:color="000000"/>
            </w:tcBorders>
          </w:tcPr>
          <w:p>
            <w:pPr>
              <w:spacing w:line="240" w:lineRule="auto" w:after="20" w:before="20"/>
              <w:jc w:val="center"/>
            </w:pPr>
            <w:r/>
            <w:r>
              <w:rPr>
                <w:b/>
                <w:i w:val="0"/>
                <w:sz w:val="18"/>
              </w:rPr>
              <w:t xml:space="preserve">At </w:t>
            </w:r>
            <w:r>
              <w:rPr>
                <w:b/>
                <w:i/>
                <w:sz w:val="18"/>
              </w:rPr>
              <w:t>θ</w:t>
            </w:r>
            <w:r>
              <w:rPr>
                <w:b/>
                <w:i w:val="0"/>
                <w:sz w:val="18"/>
              </w:rPr>
              <w:t xml:space="preserve"> = 46: </w:t>
            </w:r>
            <w:r>
              <w:rPr>
                <w:b/>
                <w:i/>
                <w:sz w:val="18"/>
              </w:rPr>
              <w:t>A</w:t>
            </w:r>
            <w:r>
              <w:rPr>
                <w:b/>
                <w:i w:val="0"/>
                <w:sz w:val="18"/>
                <w:vertAlign w:val="subscript"/>
              </w:rPr>
              <w:t>1</w:t>
            </w:r>
            <w:r>
              <w:rPr>
                <w:b/>
                <w:i w:val="0"/>
                <w:sz w:val="18"/>
                <w:vertAlign w:val="superscript"/>
              </w:rPr>
              <w:t>*</w:t>
            </w:r>
            <w:r>
              <w:rPr>
                <w:b/>
                <w:i w:val="0"/>
                <w:sz w:val="18"/>
              </w:rPr>
              <w:t xml:space="preserve">, </w:t>
            </w:r>
            <w:r>
              <w:rPr>
                <w:b/>
                <w:i/>
                <w:sz w:val="18"/>
              </w:rPr>
              <w:t>p</w:t>
            </w:r>
            <w:r>
              <w:rPr>
                <w:b/>
                <w:i w:val="0"/>
                <w:sz w:val="18"/>
                <w:vertAlign w:val="subscript"/>
              </w:rPr>
              <w:t>1</w:t>
            </w:r>
            <w:r>
              <w:rPr>
                <w:b/>
                <w:i w:val="0"/>
                <w:sz w:val="18"/>
                <w:vertAlign w:val="superscript"/>
              </w:rPr>
              <w:t>*</w:t>
            </w:r>
            <w:r>
              <w:rPr>
                <w:b/>
                <w:i w:val="0"/>
                <w:sz w:val="18"/>
              </w:rPr>
              <w:t xml:space="preserve">, </w:t>
            </w:r>
            <w:r>
              <w:rPr>
                <w:b/>
                <w:i/>
                <w:sz w:val="18"/>
              </w:rPr>
              <w:t>A</w:t>
            </w:r>
            <w:r>
              <w:rPr>
                <w:b/>
                <w:i w:val="0"/>
                <w:sz w:val="18"/>
                <w:vertAlign w:val="subscript"/>
              </w:rPr>
              <w:t>2</w:t>
            </w:r>
          </w:p>
        </w:tc>
      </w:tr>
      <w:tr>
        <w:tc>
          <w:tcPr>
            <w:tcW w:type="dxa" w:w="1440"/>
          </w:tcPr>
          <w:p>
            <w:pPr>
              <w:spacing w:line="240" w:lineRule="auto" w:after="20" w:before="20"/>
            </w:pPr>
            <w:r/>
            <w:r>
              <w:rPr>
                <w:b w:val="0"/>
                <w:i w:val="0"/>
                <w:sz w:val="18"/>
              </w:rPr>
              <w:t>0</w:t>
            </w:r>
          </w:p>
        </w:tc>
        <w:tc>
          <w:tcPr>
            <w:tcW w:type="dxa" w:w="3168"/>
          </w:tcPr>
          <w:p>
            <w:pPr>
              <w:spacing w:line="240" w:lineRule="auto" w:after="20" w:before="20"/>
              <w:jc w:val="center"/>
            </w:pPr>
            <w:r/>
            <w:r>
              <w:rPr>
                <w:b w:val="0"/>
                <w:i w:val="0"/>
                <w:sz w:val="18"/>
              </w:rPr>
              <w:t>82</w:t>
            </w:r>
          </w:p>
        </w:tc>
        <w:tc>
          <w:tcPr>
            <w:tcW w:type="dxa" w:w="1872"/>
          </w:tcPr>
          <w:p>
            <w:pPr>
              <w:spacing w:line="240" w:lineRule="auto" w:after="20" w:before="20"/>
              <w:jc w:val="center"/>
            </w:pPr>
            <w:r/>
            <w:r>
              <w:rPr>
                <w:b w:val="0"/>
                <w:i w:val="0"/>
                <w:sz w:val="18"/>
              </w:rPr>
              <w:t>baseline</w:t>
            </w:r>
          </w:p>
        </w:tc>
        <w:tc>
          <w:tcPr>
            <w:tcW w:type="dxa" w:w="3168"/>
          </w:tcPr>
          <w:p>
            <w:pPr>
              <w:spacing w:line="240" w:lineRule="auto" w:after="20" w:before="20"/>
              <w:jc w:val="center"/>
            </w:pPr>
            <w:r/>
            <w:r>
              <w:rPr>
                <w:b w:val="0"/>
                <w:i w:val="0"/>
                <w:sz w:val="18"/>
              </w:rPr>
              <w:t>1.22, 1.40, 1.22</w:t>
            </w:r>
          </w:p>
        </w:tc>
      </w:tr>
      <w:tr>
        <w:tc>
          <w:tcPr>
            <w:tcW w:type="dxa" w:w="1440"/>
          </w:tcPr>
          <w:p>
            <w:pPr>
              <w:spacing w:line="240" w:lineRule="auto" w:after="20" w:before="20"/>
            </w:pPr>
            <w:r/>
            <w:r>
              <w:rPr>
                <w:b w:val="0"/>
                <w:i w:val="0"/>
                <w:sz w:val="18"/>
              </w:rPr>
              <w:t>0.15</w:t>
            </w:r>
          </w:p>
        </w:tc>
        <w:tc>
          <w:tcPr>
            <w:tcW w:type="dxa" w:w="3168"/>
          </w:tcPr>
          <w:p>
            <w:pPr>
              <w:spacing w:line="240" w:lineRule="auto" w:after="20" w:before="20"/>
              <w:jc w:val="center"/>
            </w:pPr>
            <w:r/>
            <w:r>
              <w:rPr>
                <w:b w:val="0"/>
                <w:i w:val="0"/>
                <w:sz w:val="18"/>
              </w:rPr>
              <w:t>101</w:t>
            </w:r>
          </w:p>
        </w:tc>
        <w:tc>
          <w:tcPr>
            <w:tcW w:type="dxa" w:w="1872"/>
          </w:tcPr>
          <w:p>
            <w:pPr>
              <w:spacing w:line="240" w:lineRule="auto" w:after="20" w:before="20"/>
              <w:jc w:val="center"/>
            </w:pPr>
            <w:r/>
            <w:r>
              <w:rPr>
                <w:b w:val="0"/>
                <w:i w:val="0"/>
                <w:sz w:val="18"/>
              </w:rPr>
              <w:t>+23%</w:t>
            </w:r>
          </w:p>
        </w:tc>
        <w:tc>
          <w:tcPr>
            <w:tcW w:type="dxa" w:w="3168"/>
          </w:tcPr>
          <w:p>
            <w:pPr>
              <w:spacing w:line="240" w:lineRule="auto" w:after="20" w:before="20"/>
              <w:jc w:val="center"/>
            </w:pPr>
            <w:r/>
            <w:r>
              <w:rPr>
                <w:b w:val="0"/>
                <w:i w:val="0"/>
                <w:sz w:val="18"/>
              </w:rPr>
              <w:t>1.16, 1.15, 1.29</w:t>
            </w:r>
          </w:p>
        </w:tc>
      </w:tr>
      <w:tr>
        <w:tc>
          <w:tcPr>
            <w:tcW w:type="dxa" w:w="1440"/>
          </w:tcPr>
          <w:p>
            <w:pPr>
              <w:spacing w:line="240" w:lineRule="auto" w:after="20" w:before="20"/>
            </w:pPr>
            <w:r/>
            <w:r>
              <w:rPr>
                <w:b w:val="0"/>
                <w:i w:val="0"/>
                <w:sz w:val="18"/>
              </w:rPr>
              <w:t>0.30</w:t>
            </w:r>
          </w:p>
        </w:tc>
        <w:tc>
          <w:tcPr>
            <w:tcW w:type="dxa" w:w="3168"/>
          </w:tcPr>
          <w:p>
            <w:pPr>
              <w:spacing w:line="240" w:lineRule="auto" w:after="20" w:before="20"/>
              <w:jc w:val="center"/>
            </w:pPr>
            <w:r/>
            <w:r>
              <w:rPr>
                <w:b w:val="0"/>
                <w:i w:val="0"/>
                <w:sz w:val="18"/>
              </w:rPr>
              <w:t>119</w:t>
            </w:r>
          </w:p>
        </w:tc>
        <w:tc>
          <w:tcPr>
            <w:tcW w:type="dxa" w:w="1872"/>
          </w:tcPr>
          <w:p>
            <w:pPr>
              <w:spacing w:line="240" w:lineRule="auto" w:after="20" w:before="20"/>
              <w:jc w:val="center"/>
            </w:pPr>
            <w:r/>
            <w:r>
              <w:rPr>
                <w:b w:val="0"/>
                <w:i w:val="0"/>
                <w:sz w:val="18"/>
              </w:rPr>
              <w:t>+45%</w:t>
            </w:r>
          </w:p>
        </w:tc>
        <w:tc>
          <w:tcPr>
            <w:tcW w:type="dxa" w:w="3168"/>
          </w:tcPr>
          <w:p>
            <w:pPr>
              <w:spacing w:line="240" w:lineRule="auto" w:after="20" w:before="20"/>
              <w:jc w:val="center"/>
            </w:pPr>
            <w:r/>
            <w:r>
              <w:rPr>
                <w:b w:val="0"/>
                <w:i w:val="0"/>
                <w:sz w:val="18"/>
              </w:rPr>
              <w:t>1.02, 0.80, 1.30</w:t>
            </w:r>
          </w:p>
        </w:tc>
      </w:tr>
      <w:tr>
        <w:tc>
          <w:tcPr>
            <w:tcW w:type="dxa" w:w="1440"/>
            <w:tcBorders>
              <w:bottom w:val="single" w:sz="12" w:color="000000"/>
            </w:tcBorders>
          </w:tcPr>
          <w:p>
            <w:pPr>
              <w:spacing w:line="240" w:lineRule="auto" w:after="20" w:before="20"/>
            </w:pPr>
            <w:r/>
            <w:r>
              <w:rPr>
                <w:b w:val="0"/>
                <w:i w:val="0"/>
                <w:sz w:val="18"/>
              </w:rPr>
              <w:t>0.60</w:t>
            </w:r>
          </w:p>
        </w:tc>
        <w:tc>
          <w:tcPr>
            <w:tcW w:type="dxa" w:w="3168"/>
            <w:tcBorders>
              <w:bottom w:val="single" w:sz="12" w:color="000000"/>
            </w:tcBorders>
          </w:tcPr>
          <w:p>
            <w:pPr>
              <w:spacing w:line="240" w:lineRule="auto" w:after="20" w:before="20"/>
              <w:jc w:val="center"/>
            </w:pPr>
            <w:r/>
            <w:r>
              <w:rPr>
                <w:b w:val="0"/>
                <w:i w:val="0"/>
                <w:sz w:val="18"/>
              </w:rPr>
              <w:t>146</w:t>
            </w:r>
          </w:p>
        </w:tc>
        <w:tc>
          <w:tcPr>
            <w:tcW w:type="dxa" w:w="1872"/>
            <w:tcBorders>
              <w:bottom w:val="single" w:sz="12" w:color="000000"/>
            </w:tcBorders>
          </w:tcPr>
          <w:p>
            <w:pPr>
              <w:spacing w:line="240" w:lineRule="auto" w:after="20" w:before="20"/>
              <w:jc w:val="center"/>
            </w:pPr>
            <w:r/>
            <w:r>
              <w:rPr>
                <w:b w:val="0"/>
                <w:i w:val="0"/>
                <w:sz w:val="18"/>
              </w:rPr>
              <w:t>+78%</w:t>
            </w:r>
          </w:p>
        </w:tc>
        <w:tc>
          <w:tcPr>
            <w:tcW w:type="dxa" w:w="3168"/>
            <w:tcBorders>
              <w:bottom w:val="single" w:sz="12" w:color="000000"/>
            </w:tcBorders>
          </w:tcPr>
          <w:p>
            <w:pPr>
              <w:spacing w:line="240" w:lineRule="auto" w:after="20" w:before="20"/>
              <w:jc w:val="center"/>
            </w:pPr>
            <w:r/>
            <w:r>
              <w:rPr>
                <w:b w:val="0"/>
                <w:i w:val="0"/>
                <w:sz w:val="18"/>
              </w:rPr>
              <w:t>1.00, 0.75, 1.30</w:t>
            </w:r>
          </w:p>
        </w:tc>
      </w:tr>
    </w:tbl>
    <w:p>
      <w:pPr>
        <w:spacing w:line="240" w:lineRule="auto" w:after="160" w:before="60"/>
      </w:pPr>
      <w:r>
        <w:rPr>
          <w:b w:val="0"/>
          <w:i/>
          <w:sz w:val="18"/>
        </w:rPr>
        <w:t>Notes.</w:t>
      </w:r>
      <w:r>
        <w:rPr>
          <w:b w:val="0"/>
          <w:i w:val="0"/>
          <w:sz w:val="18"/>
        </w:rPr>
        <w:t xml:space="preserve"> Numerical. The </w:t>
      </w:r>
      <w:r>
        <w:rPr>
          <w:b w:val="0"/>
          <w:i/>
          <w:sz w:val="18"/>
        </w:rPr>
        <w:t>λ</w:t>
      </w:r>
      <w:r>
        <w:rPr>
          <w:b w:val="0"/>
          <w:i w:val="0"/>
          <w:sz w:val="18"/>
        </w:rPr>
        <w:t xml:space="preserve"> = 0 threshold is 82 rather than 46 because period-two profit raises the benefit of investment by a factor 1 + 0.9.</w:t>
      </w:r>
    </w:p>
    <w:p>
      <w:pPr>
        <w:spacing w:after="0" w:before="0"/>
        <w:ind w:firstLine="720"/>
      </w:pPr>
      <w:r>
        <w:rPr>
          <w:b w:val="0"/>
          <w:i w:val="0"/>
        </w:rPr>
        <w:t xml:space="preserve">Learning substitutes for up-front investment: the threshold rises by up to 78 percent, and at the same </w:t>
      </w:r>
      <w:r>
        <w:rPr>
          <w:b w:val="0"/>
          <w:i/>
        </w:rPr>
        <w:t>θ</w:t>
      </w:r>
      <w:r>
        <w:rPr>
          <w:b w:val="0"/>
          <w:i w:val="0"/>
        </w:rPr>
        <w:t xml:space="preserve"> the first-period reach falls. The vendor also lowers its first-period price (from 1.40 to 0.75–0.80), a form of penetration pricing. There is a trap, however. For learning alone to carry the vendor to parity, the initial reach must be high enough for some firms to adopt: at least 0.88, 0.82, 0.76, and 0.72 for </w:t>
      </w:r>
      <w:r>
        <w:rPr>
          <w:b w:val="0"/>
          <w:i/>
        </w:rPr>
        <w:t>λ</w:t>
      </w:r>
      <w:r>
        <w:rPr>
          <w:b w:val="0"/>
          <w:i w:val="0"/>
        </w:rPr>
        <w:t xml:space="preserve"> = 0.15, 0.30, 0.60, and 1.00. At the starting reach of 0.5 nobody adopts and learning never starts. The role of investment support shifts toward getting initial reach to a level at which learning begins. The model is a two-period sketch with learning linear in the adoption share and equal across users, and is not a full dynamic model.</w:t>
      </w:r>
    </w:p>
    <w:p>
      <w:pPr>
        <w:keepNext/>
        <w:spacing w:line="276" w:lineRule="auto" w:after="80" w:before="160"/>
      </w:pPr>
      <w:r>
        <w:rPr>
          <w:b/>
          <w:i/>
        </w:rPr>
        <w:t>C.3 Private reach and the role of liability as commitment</w:t>
      </w:r>
    </w:p>
    <w:p>
      <w:pPr>
        <w:spacing w:after="0" w:before="0"/>
        <w:ind w:firstLine="720"/>
      </w:pPr>
      <w:r>
        <w:rPr>
          <w:b w:val="0"/>
          <w:i w:val="0"/>
        </w:rPr>
        <w:t xml:space="preserve">Suppose reach is the vendor's private information and the investment is unobservable. Under usage pricing alone, the firms' beliefs, not true reach, determine the vendor's revenue, so the vendor has no incentive to invest and stays at </w:t>
      </w:r>
      <w:r>
        <w:rPr>
          <w:b w:val="0"/>
          <w:i/>
        </w:rPr>
        <w:t>A</w:t>
      </w:r>
      <w:r>
        <w:rPr>
          <w:b w:val="0"/>
          <w:i w:val="0"/>
          <w:vertAlign w:val="subscript"/>
        </w:rPr>
        <w:t>0</w:t>
      </w:r>
      <w:r>
        <w:rPr>
          <w:b w:val="0"/>
          <w:i w:val="0"/>
        </w:rPr>
        <w:t xml:space="preserve"> (moral hazard). A fixed-damages warranty </w:t>
      </w:r>
      <w:r>
        <w:rPr>
          <w:b w:val="0"/>
          <w:i/>
        </w:rPr>
        <w:t>D</w:t>
      </w:r>
      <w:r>
        <w:rPr>
          <w:b w:val="0"/>
          <w:i w:val="0"/>
        </w:rPr>
        <w:t xml:space="preserve"> paid on verified failure (verification probability </w:t>
      </w:r>
      <w:r>
        <w:rPr>
          <w:b w:val="0"/>
          <w:i/>
        </w:rPr>
        <w:t>φ</w:t>
      </w:r>
      <w:r>
        <w:rPr>
          <w:b w:val="0"/>
          <w:i w:val="0"/>
        </w:rPr>
        <w:t xml:space="preserve">) gives the vendor a marginal benefit of reach, because expected liability </w:t>
      </w:r>
      <w:r>
        <w:rPr>
          <w:b w:val="0"/>
          <w:i/>
        </w:rPr>
        <w:t>φ</w:t>
      </w:r>
      <w:r>
        <w:rPr>
          <w:b w:val="0"/>
          <w:i w:val="0"/>
        </w:rPr>
        <w:t xml:space="preserve">(1 − </w:t>
      </w:r>
      <w:r>
        <w:rPr>
          <w:b w:val="0"/>
          <w:i/>
        </w:rPr>
        <w:t>A</w:t>
      </w:r>
      <w:r>
        <w:rPr>
          <w:b w:val="0"/>
          <w:i w:val="0"/>
        </w:rPr>
        <w:t>)</w:t>
      </w:r>
      <w:r>
        <w:rPr>
          <w:b w:val="0"/>
          <w:i/>
        </w:rPr>
        <w:t>Ds</w:t>
      </w:r>
      <w:r>
        <w:rPr>
          <w:b w:val="0"/>
          <w:i w:val="0"/>
        </w:rPr>
        <w:t xml:space="preserve"> falls in </w:t>
      </w:r>
      <w:r>
        <w:rPr>
          <w:b w:val="0"/>
          <w:i/>
        </w:rPr>
        <w:t>A</w:t>
      </w:r>
      <w:r>
        <w:rPr>
          <w:b w:val="0"/>
          <w:i w:val="0"/>
        </w:rPr>
        <w:t xml:space="preserve">, where </w:t>
      </w:r>
      <w:r>
        <w:rPr>
          <w:b w:val="0"/>
          <w:i/>
        </w:rPr>
        <w:t>s</w:t>
      </w:r>
      <w:r>
        <w:rPr>
          <w:b w:val="0"/>
          <w:i w:val="0"/>
        </w:rPr>
        <w:t xml:space="preserve"> is the adopting share. With a quadratic cost the vendor's reach is </w:t>
      </w:r>
      <w:r>
        <w:rPr>
          <w:b w:val="0"/>
          <w:i/>
        </w:rPr>
        <w:t>A</w:t>
      </w:r>
      <w:r>
        <w:rPr>
          <w:b w:val="0"/>
          <w:i w:val="0"/>
        </w:rPr>
        <w:t xml:space="preserve"> = min(1, </w:t>
      </w:r>
      <w:r>
        <w:rPr>
          <w:b w:val="0"/>
          <w:i/>
        </w:rPr>
        <w:t>A</w:t>
      </w:r>
      <w:r>
        <w:rPr>
          <w:b w:val="0"/>
          <w:i w:val="0"/>
          <w:vertAlign w:val="subscript"/>
        </w:rPr>
        <w:t>0</w:t>
      </w:r>
      <w:r>
        <w:rPr>
          <w:b w:val="0"/>
          <w:i w:val="0"/>
        </w:rPr>
        <w:t xml:space="preserve"> + </w:t>
      </w:r>
      <w:r>
        <w:rPr>
          <w:b w:val="0"/>
          <w:i/>
        </w:rPr>
        <w:t>φDs</w:t>
      </w:r>
      <w:r>
        <w:rPr>
          <w:b w:val="0"/>
          <w:i w:val="0"/>
        </w:rPr>
        <w:t>/</w:t>
      </w:r>
      <w:r>
        <w:rPr>
          <w:b w:val="0"/>
          <w:i/>
        </w:rPr>
        <w:t>θ</w:t>
      </w:r>
      <w:r>
        <w:rPr>
          <w:b w:val="0"/>
          <w:i w:val="0"/>
        </w:rPr>
        <w:t xml:space="preserve">), and reaching parity requires </w:t>
      </w:r>
      <w:r>
        <w:rPr>
          <w:b w:val="0"/>
          <w:i/>
        </w:rPr>
        <w:t>D</w:t>
      </w:r>
      <w:r>
        <w:rPr>
          <w:b w:val="0"/>
          <w:i w:val="0"/>
        </w:rPr>
        <w:t xml:space="preserve"> ≥ </w:t>
      </w:r>
      <w:r>
        <w:rPr>
          <w:b w:val="0"/>
          <w:i/>
        </w:rPr>
        <w:t>D</w:t>
      </w:r>
      <w:r>
        <w:rPr>
          <w:b w:val="0"/>
          <w:i w:val="0"/>
          <w:vertAlign w:val="subscript"/>
        </w:rPr>
        <w:t>min</w:t>
      </w:r>
      <w:r>
        <w:rPr>
          <w:b w:val="0"/>
          <w:i w:val="0"/>
        </w:rPr>
        <w:t xml:space="preserve"> = </w:t>
      </w:r>
      <w:r>
        <w:rPr>
          <w:b w:val="0"/>
          <w:i/>
        </w:rPr>
        <w:t>θ</w:t>
      </w:r>
      <w:r>
        <w:rPr>
          <w:b w:val="0"/>
          <w:i w:val="0"/>
        </w:rPr>
        <w:t xml:space="preserve">(1 − </w:t>
      </w:r>
      <w:r>
        <w:rPr>
          <w:b w:val="0"/>
          <w:i/>
        </w:rPr>
        <w:t>A</w:t>
      </w:r>
      <w:r>
        <w:rPr>
          <w:b w:val="0"/>
          <w:i w:val="0"/>
          <w:vertAlign w:val="subscript"/>
        </w:rPr>
        <w:t>0</w:t>
      </w:r>
      <w:r>
        <w:rPr>
          <w:b w:val="0"/>
          <w:i w:val="0"/>
        </w:rPr>
        <w:t>)/(</w:t>
      </w:r>
      <w:r>
        <w:rPr>
          <w:b w:val="0"/>
          <w:i/>
        </w:rPr>
        <w:t>φs</w:t>
      </w:r>
      <w:r>
        <w:rPr>
          <w:b w:val="0"/>
          <w:i w:val="0"/>
        </w:rPr>
        <w:t xml:space="preserve">). The closed form is proved. The equilibrium structure is numerical. Because adoption itself depends on the beliefs about reach, there are multiple equilibria, one at parity and one with partial investment (reach 0.52 to 0.88 at the parameters we tried). Warranties, in this sense, are a necessary condition for investment under hidden action, and a reach beyond parity cannot be induced because the warranty's marginal benefit vanishes at </w:t>
      </w:r>
      <w:r>
        <w:rPr>
          <w:b w:val="0"/>
          <w:i/>
        </w:rPr>
        <w:t>A</w:t>
      </w:r>
      <w:r>
        <w:rPr>
          <w:b w:val="0"/>
          <w:i w:val="0"/>
        </w:rPr>
        <w:t xml:space="preserve"> = 1 (the vendor never fails the test).</w:t>
      </w:r>
    </w:p>
    <w:p>
      <w:pPr>
        <w:keepNext/>
        <w:spacing w:line="276" w:lineRule="auto" w:after="120" w:before="240"/>
      </w:pPr>
      <w:r>
        <w:rPr>
          <w:b/>
          <w:i w:val="0"/>
        </w:rPr>
        <w:t>D. Private Information about Reach and Mixed-Complexity Markets</w:t>
      </w:r>
    </w:p>
    <w:p>
      <w:pPr>
        <w:spacing w:after="0" w:before="0"/>
        <w:ind w:firstLine="720"/>
      </w:pPr>
      <w:r>
        <w:rPr>
          <w:b w:val="0"/>
          <w:i w:val="0"/>
        </w:rPr>
        <w:t xml:space="preserve">This section treats the case in which reach is the vendor's private information, with two types </w:t>
      </w:r>
      <w:r>
        <w:rPr>
          <w:b w:val="0"/>
          <w:i/>
        </w:rPr>
        <w:t>A</w:t>
      </w:r>
      <w:r>
        <w:rPr>
          <w:b w:val="0"/>
          <w:i w:val="0"/>
          <w:vertAlign w:val="subscript"/>
        </w:rPr>
        <w:t>L</w:t>
      </w:r>
      <w:r>
        <w:rPr>
          <w:b w:val="0"/>
          <w:i w:val="0"/>
        </w:rPr>
        <w:t xml:space="preserve"> &lt; </w:t>
      </w:r>
      <w:r>
        <w:rPr>
          <w:b w:val="0"/>
          <w:i/>
        </w:rPr>
        <w:t>A</w:t>
      </w:r>
      <w:r>
        <w:rPr>
          <w:b w:val="0"/>
          <w:i w:val="0"/>
          <w:vertAlign w:val="subscript"/>
        </w:rPr>
        <w:t>H</w:t>
      </w:r>
      <w:r>
        <w:rPr>
          <w:b w:val="0"/>
          <w:i w:val="0"/>
        </w:rPr>
        <w:t xml:space="preserve"> and a common prior. Firms observe contracts and form beliefs. The main message is a comparison of instruments. We do not claim novelty for the basic separation mechanisms, which follow the logic of warranty signaling (Bakshi, Kim, and Savva 2015; Bauer 2026); our contribution here is to apply them in a setting with heterogeneous stakes and an outside human option.</w:t>
      </w:r>
    </w:p>
    <w:p>
      <w:pPr>
        <w:spacing w:after="0" w:before="0"/>
        <w:ind w:firstLine="720"/>
      </w:pPr>
      <w:r>
        <w:rPr>
          <w:b w:val="0"/>
          <w:i/>
        </w:rPr>
        <w:t>Proposition D1 (usage pricing cannot signal; proved).</w:t>
      </w:r>
      <w:r>
        <w:rPr>
          <w:b w:val="0"/>
          <w:i w:val="0"/>
        </w:rPr>
        <w:t xml:space="preserve"> The vendor's usage revenue (</w:t>
      </w:r>
      <w:r>
        <w:rPr>
          <w:b w:val="0"/>
          <w:i/>
        </w:rPr>
        <w:t>p</w:t>
      </w:r>
      <w:r>
        <w:rPr>
          <w:b w:val="0"/>
          <w:i w:val="0"/>
        </w:rPr>
        <w:t xml:space="preserve"> − </w:t>
      </w:r>
      <w:r>
        <w:rPr>
          <w:b w:val="0"/>
          <w:i/>
        </w:rPr>
        <w:t>k</w:t>
      </w:r>
      <w:r>
        <w:rPr>
          <w:b w:val="0"/>
          <w:i w:val="0"/>
        </w:rPr>
        <w:t>)</w:t>
      </w:r>
      <w:r>
        <w:rPr>
          <w:b w:val="0"/>
          <w:i/>
        </w:rPr>
        <w:t>T</w:t>
      </w:r>
      <w:r>
        <w:rPr>
          <w:b w:val="0"/>
          <w:i w:val="0"/>
          <w:vertAlign w:val="superscript"/>
        </w:rPr>
        <w:t>*</w:t>
      </w:r>
      <w:r>
        <w:rPr>
          <w:b w:val="0"/>
          <w:i w:val="0"/>
        </w:rPr>
        <w:t>(</w:t>
      </w:r>
      <w:r>
        <w:rPr>
          <w:b w:val="0"/>
          <w:i/>
        </w:rPr>
        <w:t>Ā</w:t>
      </w:r>
      <w:r>
        <w:rPr>
          <w:b w:val="0"/>
          <w:i w:val="0"/>
        </w:rPr>
        <w:t xml:space="preserve">, </w:t>
      </w:r>
      <w:r>
        <w:rPr>
          <w:b w:val="0"/>
          <w:i/>
        </w:rPr>
        <w:t>p</w:t>
      </w:r>
      <w:r>
        <w:rPr>
          <w:b w:val="0"/>
          <w:i w:val="0"/>
        </w:rPr>
        <w:t xml:space="preserve">) depends on the firms' belief </w:t>
      </w:r>
      <w:r>
        <w:rPr>
          <w:b w:val="0"/>
          <w:i/>
        </w:rPr>
        <w:t>Ā</w:t>
      </w:r>
      <w:r>
        <w:rPr>
          <w:b w:val="0"/>
          <w:i w:val="0"/>
        </w:rPr>
        <w:t xml:space="preserve"> and the price, and not on the vendor's true type. Both types therefore have the same preferences over (</w:t>
      </w:r>
      <w:r>
        <w:rPr>
          <w:b w:val="0"/>
          <w:i/>
        </w:rPr>
        <w:t>p</w:t>
      </w:r>
      <w:r>
        <w:rPr>
          <w:b w:val="0"/>
          <w:i w:val="0"/>
        </w:rPr>
        <w:t>, belief) and no price can separate them. At a prior of 0.5 the pooling price is 0.23, and the high type earns 3 percent of its full-information profit.</w:t>
      </w:r>
    </w:p>
    <w:p>
      <w:pPr>
        <w:spacing w:after="0" w:before="0"/>
        <w:ind w:firstLine="720"/>
      </w:pPr>
      <w:r>
        <w:rPr>
          <w:b w:val="0"/>
          <w:i/>
        </w:rPr>
        <w:t>Proposition D2 (success fees; ratio proved, remainder numerical).</w:t>
      </w:r>
      <w:r>
        <w:rPr>
          <w:b w:val="0"/>
          <w:i w:val="0"/>
        </w:rPr>
        <w:t xml:space="preserve"> Under outcome-based pricing, vendor revenue is proportional to true reach and costs </w:t>
      </w:r>
      <w:r>
        <w:rPr>
          <w:b w:val="0"/>
          <w:i/>
        </w:rPr>
        <w:t>kT</w:t>
      </w:r>
      <w:r>
        <w:rPr>
          <w:b w:val="0"/>
          <w:i w:val="0"/>
        </w:rPr>
        <w:t xml:space="preserve">. If </w:t>
      </w:r>
      <w:r>
        <w:rPr>
          <w:b w:val="0"/>
          <w:i/>
        </w:rPr>
        <w:t>k</w:t>
      </w:r>
      <w:r>
        <w:rPr>
          <w:b w:val="0"/>
          <w:i w:val="0"/>
        </w:rPr>
        <w:t xml:space="preserve"> = 0, a low type mimicking the high type earns </w:t>
      </w:r>
      <w:r>
        <w:rPr>
          <w:b w:val="0"/>
          <w:i/>
        </w:rPr>
        <w:t>A</w:t>
      </w:r>
      <w:r>
        <w:rPr>
          <w:b w:val="0"/>
          <w:i w:val="0"/>
          <w:vertAlign w:val="subscript"/>
        </w:rPr>
        <w:t>L</w:t>
      </w:r>
      <w:r>
        <w:rPr>
          <w:b w:val="0"/>
          <w:i w:val="0"/>
        </w:rPr>
        <w:t>/</w:t>
      </w:r>
      <w:r>
        <w:rPr>
          <w:b w:val="0"/>
          <w:i/>
        </w:rPr>
        <w:t>A</w:t>
      </w:r>
      <w:r>
        <w:rPr>
          <w:b w:val="0"/>
          <w:i w:val="0"/>
          <w:vertAlign w:val="subscript"/>
        </w:rPr>
        <w:t>H</w:t>
      </w:r>
      <w:r>
        <w:rPr>
          <w:b w:val="0"/>
          <w:i w:val="0"/>
        </w:rPr>
        <w:t xml:space="preserve"> times the high type's profit and no separating contract exists in markets where the low type cannot survive on its own. For </w:t>
      </w:r>
      <w:r>
        <w:rPr>
          <w:b w:val="0"/>
          <w:i/>
        </w:rPr>
        <w:t>k</w:t>
      </w:r>
      <w:r>
        <w:rPr>
          <w:b w:val="0"/>
          <w:i w:val="0"/>
        </w:rPr>
        <w:t xml:space="preserve"> &gt; 0, mimicking a high type induces long testing that the low type finds less valuable; the cost </w:t>
      </w:r>
      <w:r>
        <w:rPr>
          <w:b w:val="0"/>
          <w:i/>
        </w:rPr>
        <w:t>kT</w:t>
      </w:r>
      <w:r>
        <w:rPr>
          <w:b w:val="0"/>
          <w:i w:val="0"/>
        </w:rPr>
        <w:t xml:space="preserve"> becomes the signaling cost. At </w:t>
      </w:r>
      <w:r>
        <w:rPr>
          <w:b w:val="0"/>
          <w:i/>
        </w:rPr>
        <w:t>A</w:t>
      </w:r>
      <w:r>
        <w:rPr>
          <w:b w:val="0"/>
          <w:i w:val="0"/>
          <w:vertAlign w:val="subscript"/>
        </w:rPr>
        <w:t>L</w:t>
      </w:r>
      <w:r>
        <w:rPr>
          <w:b w:val="0"/>
          <w:i w:val="0"/>
        </w:rPr>
        <w:t xml:space="preserve"> = 0.6, </w:t>
      </w:r>
      <w:r>
        <w:rPr>
          <w:b w:val="0"/>
          <w:i/>
        </w:rPr>
        <w:t>A</w:t>
      </w:r>
      <w:r>
        <w:rPr>
          <w:b w:val="0"/>
          <w:i w:val="0"/>
          <w:vertAlign w:val="subscript"/>
        </w:rPr>
        <w:t>H</w:t>
      </w:r>
      <w:r>
        <w:rPr>
          <w:b w:val="0"/>
          <w:i w:val="0"/>
        </w:rPr>
        <w:t xml:space="preserve"> = 1.0:</w:t>
      </w:r>
    </w:p>
    <w:p>
      <w:pPr>
        <w:keepNext/>
        <w:spacing w:line="276" w:lineRule="auto" w:after="80" w:before="200"/>
      </w:pPr>
      <w:r>
        <w:rPr>
          <w:b/>
          <w:i w:val="0"/>
        </w:rPr>
        <w:t>Table D1.</w:t>
      </w:r>
      <w:r>
        <w:rPr>
          <w:b w:val="0"/>
          <w:i w:val="0"/>
        </w:rPr>
        <w:t xml:space="preserve"> Success-fee signaling and the vendor's marginal cost </w:t>
      </w:r>
      <w:r>
        <w:rPr>
          <w:b w:val="0"/>
          <w:i/>
        </w:rPr>
        <w:t>k</w:t>
      </w:r>
    </w:p>
    <w:tbl>
      <w:tblPr>
        <w:tblW w:type="auto" w:w="0"/>
        <w:jc w:val="center"/>
        <w:tblLook w:firstColumn="1" w:firstRow="1" w:lastColumn="0" w:lastRow="0" w:noHBand="0" w:noVBand="1" w:val="04A0"/>
      </w:tblPr>
      <w:tblGrid>
        <w:gridCol w:w="2340"/>
        <w:gridCol w:w="2340"/>
        <w:gridCol w:w="2340"/>
        <w:gridCol w:w="2340"/>
      </w:tblGrid>
      <w:tr>
        <w:tc>
          <w:tcPr>
            <w:tcW w:type="dxa" w:w="1728"/>
            <w:tcBorders>
              <w:top w:val="single" w:sz="12" w:color="000000"/>
              <w:bottom w:val="single" w:sz="6" w:color="000000"/>
            </w:tcBorders>
          </w:tcPr>
          <w:p>
            <w:pPr>
              <w:spacing w:line="240" w:lineRule="auto" w:after="20" w:before="20"/>
            </w:pPr>
            <w:r/>
            <w:r>
              <w:rPr>
                <w:b/>
                <w:i w:val="0"/>
                <w:sz w:val="18"/>
              </w:rPr>
              <w:t xml:space="preserve">Vendor cost </w:t>
            </w:r>
            <w:r>
              <w:rPr>
                <w:b/>
                <w:i/>
                <w:sz w:val="18"/>
              </w:rPr>
              <w:t>k</w:t>
            </w:r>
          </w:p>
        </w:tc>
        <w:tc>
          <w:tcPr>
            <w:tcW w:type="dxa" w:w="2736"/>
            <w:tcBorders>
              <w:top w:val="single" w:sz="12" w:color="000000"/>
              <w:bottom w:val="single" w:sz="6" w:color="000000"/>
            </w:tcBorders>
          </w:tcPr>
          <w:p>
            <w:pPr>
              <w:spacing w:line="240" w:lineRule="auto" w:after="20" w:before="20"/>
              <w:jc w:val="center"/>
            </w:pPr>
            <w:r/>
            <w:r>
              <w:rPr>
                <w:b/>
                <w:i w:val="0"/>
                <w:sz w:val="18"/>
              </w:rPr>
              <w:t>High type's price, full information</w:t>
            </w:r>
          </w:p>
        </w:tc>
        <w:tc>
          <w:tcPr>
            <w:tcW w:type="dxa" w:w="2448"/>
            <w:tcBorders>
              <w:top w:val="single" w:sz="12" w:color="000000"/>
              <w:bottom w:val="single" w:sz="6" w:color="000000"/>
            </w:tcBorders>
          </w:tcPr>
          <w:p>
            <w:pPr>
              <w:spacing w:line="240" w:lineRule="auto" w:after="20" w:before="20"/>
              <w:jc w:val="center"/>
            </w:pPr>
            <w:r/>
            <w:r>
              <w:rPr>
                <w:b/>
                <w:i w:val="0"/>
                <w:sz w:val="18"/>
              </w:rPr>
              <w:t>High type's price, separating</w:t>
            </w:r>
          </w:p>
        </w:tc>
        <w:tc>
          <w:tcPr>
            <w:tcW w:type="dxa" w:w="2736"/>
            <w:tcBorders>
              <w:top w:val="single" w:sz="12" w:color="000000"/>
              <w:bottom w:val="single" w:sz="6" w:color="000000"/>
            </w:tcBorders>
          </w:tcPr>
          <w:p>
            <w:pPr>
              <w:spacing w:line="240" w:lineRule="auto" w:after="20" w:before="20"/>
              <w:jc w:val="center"/>
            </w:pPr>
            <w:r/>
            <w:r>
              <w:rPr>
                <w:b/>
                <w:i w:val="0"/>
                <w:sz w:val="18"/>
              </w:rPr>
              <w:t>High-type profit: separating / full information</w:t>
            </w:r>
          </w:p>
        </w:tc>
      </w:tr>
      <w:tr>
        <w:tc>
          <w:tcPr>
            <w:tcW w:type="dxa" w:w="1728"/>
          </w:tcPr>
          <w:p>
            <w:pPr>
              <w:spacing w:line="240" w:lineRule="auto" w:after="20" w:before="20"/>
            </w:pPr>
            <w:r/>
            <w:r>
              <w:rPr>
                <w:b w:val="0"/>
                <w:i w:val="0"/>
                <w:sz w:val="18"/>
              </w:rPr>
              <w:t>0.00</w:t>
            </w:r>
          </w:p>
        </w:tc>
        <w:tc>
          <w:tcPr>
            <w:tcW w:type="dxa" w:w="2736"/>
          </w:tcPr>
          <w:p>
            <w:pPr>
              <w:spacing w:line="240" w:lineRule="auto" w:after="20" w:before="20"/>
              <w:jc w:val="center"/>
            </w:pPr>
            <w:r/>
            <w:r>
              <w:rPr>
                <w:b w:val="0"/>
                <w:i w:val="0"/>
                <w:sz w:val="18"/>
              </w:rPr>
              <w:t>0.36</w:t>
            </w:r>
          </w:p>
        </w:tc>
        <w:tc>
          <w:tcPr>
            <w:tcW w:type="dxa" w:w="2448"/>
          </w:tcPr>
          <w:p>
            <w:pPr>
              <w:spacing w:line="240" w:lineRule="auto" w:after="20" w:before="20"/>
              <w:jc w:val="center"/>
            </w:pPr>
            <w:r/>
            <w:r>
              <w:rPr>
                <w:b w:val="0"/>
                <w:i w:val="0"/>
                <w:sz w:val="18"/>
              </w:rPr>
              <w:t>none feasible</w:t>
            </w:r>
          </w:p>
        </w:tc>
        <w:tc>
          <w:tcPr>
            <w:tcW w:type="dxa" w:w="2736"/>
          </w:tcPr>
          <w:p>
            <w:pPr>
              <w:spacing w:line="240" w:lineRule="auto" w:after="20" w:before="20"/>
              <w:jc w:val="center"/>
            </w:pPr>
            <w:r/>
            <w:r>
              <w:rPr>
                <w:b w:val="0"/>
                <w:i w:val="0"/>
                <w:sz w:val="18"/>
              </w:rPr>
              <w:t>—</w:t>
            </w:r>
          </w:p>
        </w:tc>
      </w:tr>
      <w:tr>
        <w:tc>
          <w:tcPr>
            <w:tcW w:type="dxa" w:w="1728"/>
          </w:tcPr>
          <w:p>
            <w:pPr>
              <w:spacing w:line="240" w:lineRule="auto" w:after="20" w:before="20"/>
            </w:pPr>
            <w:r/>
            <w:r>
              <w:rPr>
                <w:b w:val="0"/>
                <w:i w:val="0"/>
                <w:sz w:val="18"/>
              </w:rPr>
              <w:t>0.02</w:t>
            </w:r>
          </w:p>
        </w:tc>
        <w:tc>
          <w:tcPr>
            <w:tcW w:type="dxa" w:w="2736"/>
          </w:tcPr>
          <w:p>
            <w:pPr>
              <w:spacing w:line="240" w:lineRule="auto" w:after="20" w:before="20"/>
              <w:jc w:val="center"/>
            </w:pPr>
            <w:r/>
            <w:r>
              <w:rPr>
                <w:b w:val="0"/>
                <w:i w:val="0"/>
                <w:sz w:val="18"/>
              </w:rPr>
              <w:t>0.36</w:t>
            </w:r>
          </w:p>
        </w:tc>
        <w:tc>
          <w:tcPr>
            <w:tcW w:type="dxa" w:w="2448"/>
          </w:tcPr>
          <w:p>
            <w:pPr>
              <w:spacing w:line="240" w:lineRule="auto" w:after="20" w:before="20"/>
              <w:jc w:val="center"/>
            </w:pPr>
            <w:r/>
            <w:r>
              <w:rPr>
                <w:b w:val="0"/>
                <w:i w:val="0"/>
                <w:sz w:val="18"/>
              </w:rPr>
              <w:t>0.02</w:t>
            </w:r>
          </w:p>
        </w:tc>
        <w:tc>
          <w:tcPr>
            <w:tcW w:type="dxa" w:w="2736"/>
          </w:tcPr>
          <w:p>
            <w:pPr>
              <w:spacing w:line="240" w:lineRule="auto" w:after="20" w:before="20"/>
              <w:jc w:val="center"/>
            </w:pPr>
            <w:r/>
            <w:r>
              <w:rPr>
                <w:b w:val="0"/>
                <w:i w:val="0"/>
                <w:sz w:val="18"/>
              </w:rPr>
              <w:t>0.10 / 4.43</w:t>
            </w:r>
          </w:p>
        </w:tc>
      </w:tr>
      <w:tr>
        <w:tc>
          <w:tcPr>
            <w:tcW w:type="dxa" w:w="1728"/>
          </w:tcPr>
          <w:p>
            <w:pPr>
              <w:spacing w:line="240" w:lineRule="auto" w:after="20" w:before="20"/>
            </w:pPr>
            <w:r/>
            <w:r>
              <w:rPr>
                <w:b w:val="0"/>
                <w:i w:val="0"/>
                <w:sz w:val="18"/>
              </w:rPr>
              <w:t>0.05</w:t>
            </w:r>
          </w:p>
        </w:tc>
        <w:tc>
          <w:tcPr>
            <w:tcW w:type="dxa" w:w="2736"/>
          </w:tcPr>
          <w:p>
            <w:pPr>
              <w:spacing w:line="240" w:lineRule="auto" w:after="20" w:before="20"/>
              <w:jc w:val="center"/>
            </w:pPr>
            <w:r/>
            <w:r>
              <w:rPr>
                <w:b w:val="0"/>
                <w:i w:val="0"/>
                <w:sz w:val="18"/>
              </w:rPr>
              <w:t>0.36</w:t>
            </w:r>
          </w:p>
        </w:tc>
        <w:tc>
          <w:tcPr>
            <w:tcW w:type="dxa" w:w="2448"/>
          </w:tcPr>
          <w:p>
            <w:pPr>
              <w:spacing w:line="240" w:lineRule="auto" w:after="20" w:before="20"/>
              <w:jc w:val="center"/>
            </w:pPr>
            <w:r/>
            <w:r>
              <w:rPr>
                <w:b w:val="0"/>
                <w:i w:val="0"/>
                <w:sz w:val="18"/>
              </w:rPr>
              <w:t>0.05</w:t>
            </w:r>
          </w:p>
        </w:tc>
        <w:tc>
          <w:tcPr>
            <w:tcW w:type="dxa" w:w="2736"/>
          </w:tcPr>
          <w:p>
            <w:pPr>
              <w:spacing w:line="240" w:lineRule="auto" w:after="20" w:before="20"/>
              <w:jc w:val="center"/>
            </w:pPr>
            <w:r/>
            <w:r>
              <w:rPr>
                <w:b w:val="0"/>
                <w:i w:val="0"/>
                <w:sz w:val="18"/>
              </w:rPr>
              <w:t>0.25 / 4.14</w:t>
            </w:r>
          </w:p>
        </w:tc>
      </w:tr>
      <w:tr>
        <w:tc>
          <w:tcPr>
            <w:tcW w:type="dxa" w:w="1728"/>
          </w:tcPr>
          <w:p>
            <w:pPr>
              <w:spacing w:line="240" w:lineRule="auto" w:after="20" w:before="20"/>
            </w:pPr>
            <w:r/>
            <w:r>
              <w:rPr>
                <w:b w:val="0"/>
                <w:i w:val="0"/>
                <w:sz w:val="18"/>
              </w:rPr>
              <w:t>0.10</w:t>
            </w:r>
          </w:p>
        </w:tc>
        <w:tc>
          <w:tcPr>
            <w:tcW w:type="dxa" w:w="2736"/>
          </w:tcPr>
          <w:p>
            <w:pPr>
              <w:spacing w:line="240" w:lineRule="auto" w:after="20" w:before="20"/>
              <w:jc w:val="center"/>
            </w:pPr>
            <w:r/>
            <w:r>
              <w:rPr>
                <w:b w:val="0"/>
                <w:i w:val="0"/>
                <w:sz w:val="18"/>
              </w:rPr>
              <w:t>0.37</w:t>
            </w:r>
          </w:p>
        </w:tc>
        <w:tc>
          <w:tcPr>
            <w:tcW w:type="dxa" w:w="2448"/>
          </w:tcPr>
          <w:p>
            <w:pPr>
              <w:spacing w:line="240" w:lineRule="auto" w:after="20" w:before="20"/>
              <w:jc w:val="center"/>
            </w:pPr>
            <w:r/>
            <w:r>
              <w:rPr>
                <w:b w:val="0"/>
                <w:i w:val="0"/>
                <w:sz w:val="18"/>
              </w:rPr>
              <w:t>0.11</w:t>
            </w:r>
          </w:p>
        </w:tc>
        <w:tc>
          <w:tcPr>
            <w:tcW w:type="dxa" w:w="2736"/>
          </w:tcPr>
          <w:p>
            <w:pPr>
              <w:spacing w:line="240" w:lineRule="auto" w:after="20" w:before="20"/>
              <w:jc w:val="center"/>
            </w:pPr>
            <w:r/>
            <w:r>
              <w:rPr>
                <w:b w:val="0"/>
                <w:i w:val="0"/>
                <w:sz w:val="18"/>
              </w:rPr>
              <w:t>0.67 / 3.68</w:t>
            </w:r>
          </w:p>
        </w:tc>
      </w:tr>
      <w:tr>
        <w:tc>
          <w:tcPr>
            <w:tcW w:type="dxa" w:w="1728"/>
          </w:tcPr>
          <w:p>
            <w:pPr>
              <w:spacing w:line="240" w:lineRule="auto" w:after="20" w:before="20"/>
            </w:pPr>
            <w:r/>
            <w:r>
              <w:rPr>
                <w:b w:val="0"/>
                <w:i w:val="0"/>
                <w:sz w:val="18"/>
              </w:rPr>
              <w:t>0.20</w:t>
            </w:r>
          </w:p>
        </w:tc>
        <w:tc>
          <w:tcPr>
            <w:tcW w:type="dxa" w:w="2736"/>
          </w:tcPr>
          <w:p>
            <w:pPr>
              <w:spacing w:line="240" w:lineRule="auto" w:after="20" w:before="20"/>
              <w:jc w:val="center"/>
            </w:pPr>
            <w:r/>
            <w:r>
              <w:rPr>
                <w:b w:val="0"/>
                <w:i w:val="0"/>
                <w:sz w:val="18"/>
              </w:rPr>
              <w:t>0.39</w:t>
            </w:r>
          </w:p>
        </w:tc>
        <w:tc>
          <w:tcPr>
            <w:tcW w:type="dxa" w:w="2448"/>
          </w:tcPr>
          <w:p>
            <w:pPr>
              <w:spacing w:line="240" w:lineRule="auto" w:after="20" w:before="20"/>
              <w:jc w:val="center"/>
            </w:pPr>
            <w:r/>
            <w:r>
              <w:rPr>
                <w:b w:val="0"/>
                <w:i w:val="0"/>
                <w:sz w:val="18"/>
              </w:rPr>
              <w:t>0.23</w:t>
            </w:r>
          </w:p>
        </w:tc>
        <w:tc>
          <w:tcPr>
            <w:tcW w:type="dxa" w:w="2736"/>
          </w:tcPr>
          <w:p>
            <w:pPr>
              <w:spacing w:line="240" w:lineRule="auto" w:after="20" w:before="20"/>
              <w:jc w:val="center"/>
            </w:pPr>
            <w:r/>
            <w:r>
              <w:rPr>
                <w:b w:val="0"/>
                <w:i w:val="0"/>
                <w:sz w:val="18"/>
              </w:rPr>
              <w:t>1.45 / 2.78</w:t>
            </w:r>
          </w:p>
        </w:tc>
      </w:tr>
      <w:tr>
        <w:tc>
          <w:tcPr>
            <w:tcW w:type="dxa" w:w="1728"/>
            <w:tcBorders>
              <w:bottom w:val="single" w:sz="12" w:color="000000"/>
            </w:tcBorders>
          </w:tcPr>
          <w:p>
            <w:pPr>
              <w:spacing w:line="240" w:lineRule="auto" w:after="20" w:before="20"/>
            </w:pPr>
            <w:r/>
            <w:r>
              <w:rPr>
                <w:b w:val="0"/>
                <w:i w:val="0"/>
                <w:sz w:val="18"/>
              </w:rPr>
              <w:t>0.40</w:t>
            </w:r>
          </w:p>
        </w:tc>
        <w:tc>
          <w:tcPr>
            <w:tcW w:type="dxa" w:w="2736"/>
            <w:tcBorders>
              <w:bottom w:val="single" w:sz="12" w:color="000000"/>
            </w:tcBorders>
          </w:tcPr>
          <w:p>
            <w:pPr>
              <w:spacing w:line="240" w:lineRule="auto" w:after="20" w:before="20"/>
              <w:jc w:val="center"/>
            </w:pPr>
            <w:r/>
            <w:r>
              <w:rPr>
                <w:b w:val="0"/>
                <w:i w:val="0"/>
                <w:sz w:val="18"/>
              </w:rPr>
              <w:t>0.45</w:t>
            </w:r>
          </w:p>
        </w:tc>
        <w:tc>
          <w:tcPr>
            <w:tcW w:type="dxa" w:w="2448"/>
            <w:tcBorders>
              <w:bottom w:val="single" w:sz="12" w:color="000000"/>
            </w:tcBorders>
          </w:tcPr>
          <w:p>
            <w:pPr>
              <w:spacing w:line="240" w:lineRule="auto" w:after="20" w:before="20"/>
              <w:jc w:val="center"/>
            </w:pPr>
            <w:r/>
            <w:r>
              <w:rPr>
                <w:b w:val="0"/>
                <w:i w:val="0"/>
                <w:sz w:val="18"/>
              </w:rPr>
              <w:t>0.45</w:t>
            </w:r>
          </w:p>
        </w:tc>
        <w:tc>
          <w:tcPr>
            <w:tcW w:type="dxa" w:w="2736"/>
            <w:tcBorders>
              <w:bottom w:val="single" w:sz="12" w:color="000000"/>
            </w:tcBorders>
          </w:tcPr>
          <w:p>
            <w:pPr>
              <w:spacing w:line="240" w:lineRule="auto" w:after="20" w:before="20"/>
              <w:jc w:val="center"/>
            </w:pPr>
            <w:r/>
            <w:r>
              <w:rPr>
                <w:b w:val="0"/>
                <w:i w:val="0"/>
                <w:sz w:val="18"/>
              </w:rPr>
              <w:t>1.17 / 1.17</w:t>
            </w:r>
          </w:p>
        </w:tc>
      </w:tr>
    </w:tbl>
    <w:p>
      <w:pPr>
        <w:spacing w:line="240" w:lineRule="auto" w:after="160" w:before="60"/>
      </w:pPr>
      <w:r>
        <w:rPr>
          <w:b w:val="0"/>
          <w:i/>
          <w:sz w:val="18"/>
        </w:rPr>
        <w:t>Notes.</w:t>
      </w:r>
      <w:r>
        <w:rPr>
          <w:b w:val="0"/>
          <w:i w:val="0"/>
          <w:sz w:val="18"/>
        </w:rPr>
        <w:t xml:space="preserve"> Numerical, illustrative parameters.</w:t>
      </w:r>
    </w:p>
    <w:p>
      <w:pPr>
        <w:spacing w:after="0" w:before="0"/>
        <w:ind w:firstLine="720"/>
      </w:pPr>
      <w:r>
        <w:rPr>
          <w:b w:val="0"/>
          <w:i/>
        </w:rPr>
        <w:t>Proposition D3 (fixed-damages warranty; proved).</w:t>
      </w:r>
      <w:r>
        <w:rPr>
          <w:b w:val="0"/>
          <w:i w:val="0"/>
        </w:rPr>
        <w:t xml:space="preserve"> With a usage price </w:t>
      </w:r>
      <w:r>
        <w:rPr>
          <w:b w:val="0"/>
          <w:i/>
        </w:rPr>
        <w:t>p</w:t>
      </w:r>
      <w:r>
        <w:rPr>
          <w:b w:val="0"/>
          <w:i w:val="0"/>
        </w:rPr>
        <w:t xml:space="preserve"> and a warranty </w:t>
      </w:r>
      <w:r>
        <w:rPr>
          <w:b w:val="0"/>
          <w:i/>
        </w:rPr>
        <w:t>D</w:t>
      </w:r>
      <w:r>
        <w:rPr>
          <w:b w:val="0"/>
          <w:i w:val="0"/>
        </w:rPr>
        <w:t xml:space="preserve"> paid on a verified failure (probability </w:t>
      </w:r>
      <w:r>
        <w:rPr>
          <w:b w:val="0"/>
          <w:i/>
        </w:rPr>
        <w:t>φ</w:t>
      </w:r>
      <w:r>
        <w:rPr>
          <w:b w:val="0"/>
          <w:i w:val="0"/>
        </w:rPr>
        <w:t xml:space="preserve">), a firm that believes the vendor is a high type with reach 1 expects zero liability, so its adoption decision does not depend on </w:t>
      </w:r>
      <w:r>
        <w:rPr>
          <w:b w:val="0"/>
          <w:i/>
        </w:rPr>
        <w:t>D</w:t>
      </w:r>
      <w:r>
        <w:rPr>
          <w:b w:val="0"/>
          <w:i w:val="0"/>
        </w:rPr>
        <w:t>, and the revenue from usage is independent of the vendor's type. The low type's profit from mimicking is Π(</w:t>
      </w:r>
      <w:r>
        <w:rPr>
          <w:b w:val="0"/>
          <w:i/>
        </w:rPr>
        <w:t>p</w:t>
      </w:r>
      <w:r>
        <w:rPr>
          <w:b w:val="0"/>
          <w:i w:val="0"/>
        </w:rPr>
        <w:t xml:space="preserve">) − (1 − </w:t>
      </w:r>
      <w:r>
        <w:rPr>
          <w:b w:val="0"/>
          <w:i/>
        </w:rPr>
        <w:t>A</w:t>
      </w:r>
      <w:r>
        <w:rPr>
          <w:b w:val="0"/>
          <w:i w:val="0"/>
          <w:vertAlign w:val="subscript"/>
        </w:rPr>
        <w:t>L</w:t>
      </w:r>
      <w:r>
        <w:rPr>
          <w:b w:val="0"/>
          <w:i w:val="0"/>
        </w:rPr>
        <w:t>)</w:t>
      </w:r>
      <w:r>
        <w:rPr>
          <w:b w:val="0"/>
          <w:i/>
        </w:rPr>
        <w:t>φDs</w:t>
      </w:r>
      <w:r>
        <w:rPr>
          <w:b w:val="0"/>
          <w:i w:val="0"/>
        </w:rPr>
        <w:t>(</w:t>
      </w:r>
      <w:r>
        <w:rPr>
          <w:b w:val="0"/>
          <w:i/>
        </w:rPr>
        <w:t>p</w:t>
      </w:r>
      <w:r>
        <w:rPr>
          <w:b w:val="0"/>
          <w:i w:val="0"/>
        </w:rPr>
        <w:t>), and the high type's is Π(</w:t>
      </w:r>
      <w:r>
        <w:rPr>
          <w:b w:val="0"/>
          <w:i/>
        </w:rPr>
        <w:t>p</w:t>
      </w:r>
      <w:r>
        <w:rPr>
          <w:b w:val="0"/>
          <w:i w:val="0"/>
        </w:rPr>
        <w:t xml:space="preserve">) − (1 − </w:t>
      </w:r>
      <w:r>
        <w:rPr>
          <w:b w:val="0"/>
          <w:i/>
        </w:rPr>
        <w:t>A</w:t>
      </w:r>
      <w:r>
        <w:rPr>
          <w:b w:val="0"/>
          <w:i w:val="0"/>
          <w:vertAlign w:val="subscript"/>
        </w:rPr>
        <w:t>H</w:t>
      </w:r>
      <w:r>
        <w:rPr>
          <w:b w:val="0"/>
          <w:i w:val="0"/>
        </w:rPr>
        <w:t>)</w:t>
      </w:r>
      <w:r>
        <w:rPr>
          <w:b w:val="0"/>
          <w:i/>
        </w:rPr>
        <w:t>φDs</w:t>
      </w:r>
      <w:r>
        <w:rPr>
          <w:b w:val="0"/>
          <w:i w:val="0"/>
        </w:rPr>
        <w:t>(</w:t>
      </w:r>
      <w:r>
        <w:rPr>
          <w:b w:val="0"/>
          <w:i/>
        </w:rPr>
        <w:t>p</w:t>
      </w:r>
      <w:r>
        <w:rPr>
          <w:b w:val="0"/>
          <w:i w:val="0"/>
        </w:rPr>
        <w:t xml:space="preserve">). Separation requires </w:t>
      </w:r>
      <w:r>
        <w:rPr>
          <w:b w:val="0"/>
          <w:i/>
        </w:rPr>
        <w:t>D</w:t>
      </w:r>
      <w:r>
        <w:rPr>
          <w:b w:val="0"/>
          <w:i w:val="0"/>
        </w:rPr>
        <w:t xml:space="preserve"> ≥ </w:t>
      </w:r>
      <w:r>
        <w:rPr>
          <w:b w:val="0"/>
          <w:i/>
        </w:rPr>
        <w:t>D</w:t>
      </w:r>
      <w:r>
        <w:rPr>
          <w:b w:val="0"/>
          <w:i w:val="0"/>
          <w:vertAlign w:val="subscript"/>
        </w:rPr>
        <w:t>min</w:t>
      </w:r>
      <w:r>
        <w:rPr>
          <w:b w:val="0"/>
          <w:i w:val="0"/>
        </w:rPr>
        <w:t>(</w:t>
      </w:r>
      <w:r>
        <w:rPr>
          <w:b w:val="0"/>
          <w:i/>
        </w:rPr>
        <w:t>p</w:t>
      </w:r>
      <w:r>
        <w:rPr>
          <w:b w:val="0"/>
          <w:i w:val="0"/>
        </w:rPr>
        <w:t>) = [Π(</w:t>
      </w:r>
      <w:r>
        <w:rPr>
          <w:b w:val="0"/>
          <w:i/>
        </w:rPr>
        <w:t>p</w:t>
      </w:r>
      <w:r>
        <w:rPr>
          <w:b w:val="0"/>
          <w:i w:val="0"/>
        </w:rPr>
        <w:t>) − Π</w:t>
      </w:r>
      <w:r>
        <w:rPr>
          <w:b w:val="0"/>
          <w:i w:val="0"/>
          <w:vertAlign w:val="subscript"/>
        </w:rPr>
        <w:t>L</w:t>
      </w:r>
      <w:r>
        <w:rPr>
          <w:b w:val="0"/>
          <w:i w:val="0"/>
          <w:vertAlign w:val="superscript"/>
        </w:rPr>
        <w:t>own</w:t>
      </w:r>
      <w:r>
        <w:rPr>
          <w:b w:val="0"/>
          <w:i w:val="0"/>
        </w:rPr>
        <w:t xml:space="preserve">]/[(1 − </w:t>
      </w:r>
      <w:r>
        <w:rPr>
          <w:b w:val="0"/>
          <w:i/>
        </w:rPr>
        <w:t>A</w:t>
      </w:r>
      <w:r>
        <w:rPr>
          <w:b w:val="0"/>
          <w:i w:val="0"/>
          <w:vertAlign w:val="subscript"/>
        </w:rPr>
        <w:t>L</w:t>
      </w:r>
      <w:r>
        <w:rPr>
          <w:b w:val="0"/>
          <w:i w:val="0"/>
        </w:rPr>
        <w:t>)</w:t>
      </w:r>
      <w:r>
        <w:rPr>
          <w:b w:val="0"/>
          <w:i/>
        </w:rPr>
        <w:t>φs</w:t>
      </w:r>
      <w:r>
        <w:rPr>
          <w:b w:val="0"/>
          <w:i w:val="0"/>
        </w:rPr>
        <w:t>(</w:t>
      </w:r>
      <w:r>
        <w:rPr>
          <w:b w:val="0"/>
          <w:i/>
        </w:rPr>
        <w:t>p</w:t>
      </w:r>
      <w:r>
        <w:rPr>
          <w:b w:val="0"/>
          <w:i w:val="0"/>
        </w:rPr>
        <w:t>)], where Π</w:t>
      </w:r>
      <w:r>
        <w:rPr>
          <w:b w:val="0"/>
          <w:i w:val="0"/>
          <w:vertAlign w:val="subscript"/>
        </w:rPr>
        <w:t>L</w:t>
      </w:r>
      <w:r>
        <w:rPr>
          <w:b w:val="0"/>
          <w:i w:val="0"/>
          <w:vertAlign w:val="superscript"/>
        </w:rPr>
        <w:t>own</w:t>
      </w:r>
      <w:r>
        <w:rPr>
          <w:b w:val="0"/>
          <w:i w:val="0"/>
        </w:rPr>
        <w:t xml:space="preserve"> is the low type's own full-information profit. The high type's profit net of the warranty is Π(</w:t>
      </w:r>
      <w:r>
        <w:rPr>
          <w:b w:val="0"/>
          <w:i/>
        </w:rPr>
        <w:t>p</w:t>
      </w:r>
      <w:r>
        <w:rPr>
          <w:b w:val="0"/>
          <w:i w:val="0"/>
        </w:rPr>
        <w:t xml:space="preserve">) − [(1 − </w:t>
      </w:r>
      <w:r>
        <w:rPr>
          <w:b w:val="0"/>
          <w:i/>
        </w:rPr>
        <w:t>A</w:t>
      </w:r>
      <w:r>
        <w:rPr>
          <w:b w:val="0"/>
          <w:i w:val="0"/>
          <w:vertAlign w:val="subscript"/>
        </w:rPr>
        <w:t>H</w:t>
      </w:r>
      <w:r>
        <w:rPr>
          <w:b w:val="0"/>
          <w:i w:val="0"/>
        </w:rPr>
        <w:t xml:space="preserve">)/(1 − </w:t>
      </w:r>
      <w:r>
        <w:rPr>
          <w:b w:val="0"/>
          <w:i/>
        </w:rPr>
        <w:t>A</w:t>
      </w:r>
      <w:r>
        <w:rPr>
          <w:b w:val="0"/>
          <w:i w:val="0"/>
          <w:vertAlign w:val="subscript"/>
        </w:rPr>
        <w:t>L</w:t>
      </w:r>
      <w:r>
        <w:rPr>
          <w:b w:val="0"/>
          <w:i w:val="0"/>
        </w:rPr>
        <w:t>)][Π(</w:t>
      </w:r>
      <w:r>
        <w:rPr>
          <w:b w:val="0"/>
          <w:i/>
        </w:rPr>
        <w:t>p</w:t>
      </w:r>
      <w:r>
        <w:rPr>
          <w:b w:val="0"/>
          <w:i w:val="0"/>
        </w:rPr>
        <w:t>) − Π</w:t>
      </w:r>
      <w:r>
        <w:rPr>
          <w:b w:val="0"/>
          <w:i w:val="0"/>
          <w:vertAlign w:val="subscript"/>
        </w:rPr>
        <w:t>L</w:t>
      </w:r>
      <w:r>
        <w:rPr>
          <w:b w:val="0"/>
          <w:i w:val="0"/>
          <w:vertAlign w:val="superscript"/>
        </w:rPr>
        <w:t>own</w:t>
      </w:r>
      <w:r>
        <w:rPr>
          <w:b w:val="0"/>
          <w:i w:val="0"/>
        </w:rPr>
        <w:t xml:space="preserve">]. The warranty cost to the high type is therefore the fraction (1 − </w:t>
      </w:r>
      <w:r>
        <w:rPr>
          <w:b w:val="0"/>
          <w:i/>
        </w:rPr>
        <w:t>A</w:t>
      </w:r>
      <w:r>
        <w:rPr>
          <w:b w:val="0"/>
          <w:i w:val="0"/>
          <w:vertAlign w:val="subscript"/>
        </w:rPr>
        <w:t>H</w:t>
      </w:r>
      <w:r>
        <w:rPr>
          <w:b w:val="0"/>
          <w:i w:val="0"/>
        </w:rPr>
        <w:t xml:space="preserve">)/(1 − </w:t>
      </w:r>
      <w:r>
        <w:rPr>
          <w:b w:val="0"/>
          <w:i/>
        </w:rPr>
        <w:t>A</w:t>
      </w:r>
      <w:r>
        <w:rPr>
          <w:b w:val="0"/>
          <w:i w:val="0"/>
          <w:vertAlign w:val="subscript"/>
        </w:rPr>
        <w:t>L</w:t>
      </w:r>
      <w:r>
        <w:rPr>
          <w:b w:val="0"/>
          <w:i w:val="0"/>
        </w:rPr>
        <w:t xml:space="preserve">) of the mimicking surplus, and vanishes when </w:t>
      </w:r>
      <w:r>
        <w:rPr>
          <w:b w:val="0"/>
          <w:i/>
        </w:rPr>
        <w:t>A</w:t>
      </w:r>
      <w:r>
        <w:rPr>
          <w:b w:val="0"/>
          <w:i w:val="0"/>
          <w:vertAlign w:val="subscript"/>
        </w:rPr>
        <w:t>H</w:t>
      </w:r>
      <w:r>
        <w:rPr>
          <w:b w:val="0"/>
          <w:i w:val="0"/>
        </w:rPr>
        <w:t xml:space="preserve"> = 1. The result does not depend on the vendor's marginal cost </w:t>
      </w:r>
      <w:r>
        <w:rPr>
          <w:b w:val="0"/>
          <w:i/>
        </w:rPr>
        <w:t>k</w:t>
      </w:r>
      <w:r>
        <w:rPr>
          <w:b w:val="0"/>
          <w:i w:val="0"/>
        </w:rPr>
        <w:t>, which contrasts with Proposition D2.</w:t>
      </w:r>
    </w:p>
    <w:p>
      <w:pPr>
        <w:keepNext/>
        <w:spacing w:line="276" w:lineRule="auto" w:after="80" w:before="200"/>
      </w:pPr>
      <w:r>
        <w:rPr>
          <w:b/>
          <w:i w:val="0"/>
        </w:rPr>
        <w:t>Table D2.</w:t>
      </w:r>
      <w:r>
        <w:rPr>
          <w:b w:val="0"/>
          <w:i w:val="0"/>
        </w:rPr>
        <w:t xml:space="preserve"> Fixed-damages warranty: minimum warranty and retained profit</w:t>
      </w:r>
    </w:p>
    <w:tbl>
      <w:tblPr>
        <w:tblW w:type="auto" w:w="0"/>
        <w:jc w:val="center"/>
        <w:tblLook w:firstColumn="1" w:firstRow="1" w:lastColumn="0" w:lastRow="0" w:noHBand="0" w:noVBand="1" w:val="04A0"/>
      </w:tblPr>
      <w:tblGrid>
        <w:gridCol w:w="1872"/>
        <w:gridCol w:w="1872"/>
        <w:gridCol w:w="1872"/>
        <w:gridCol w:w="1872"/>
        <w:gridCol w:w="1872"/>
      </w:tblGrid>
      <w:tr>
        <w:tc>
          <w:tcPr>
            <w:tcW w:type="dxa" w:w="1008"/>
            <w:tcBorders>
              <w:top w:val="single" w:sz="12" w:color="000000"/>
              <w:bottom w:val="single" w:sz="6" w:color="000000"/>
            </w:tcBorders>
          </w:tcPr>
          <w:p>
            <w:pPr>
              <w:spacing w:line="240" w:lineRule="auto" w:after="20" w:before="20"/>
            </w:pPr>
            <w:r/>
            <w:r>
              <w:rPr>
                <w:b/>
                <w:i/>
                <w:sz w:val="18"/>
              </w:rPr>
              <w:t>A</w:t>
            </w:r>
            <w:r>
              <w:rPr>
                <w:b/>
                <w:i w:val="0"/>
                <w:sz w:val="18"/>
                <w:vertAlign w:val="subscript"/>
              </w:rPr>
              <w:t>H</w:t>
            </w:r>
          </w:p>
        </w:tc>
        <w:tc>
          <w:tcPr>
            <w:tcW w:type="dxa" w:w="864"/>
            <w:tcBorders>
              <w:top w:val="single" w:sz="12" w:color="000000"/>
              <w:bottom w:val="single" w:sz="6" w:color="000000"/>
            </w:tcBorders>
          </w:tcPr>
          <w:p>
            <w:pPr>
              <w:spacing w:line="240" w:lineRule="auto" w:after="20" w:before="20"/>
              <w:jc w:val="center"/>
            </w:pPr>
            <w:r/>
            <w:r>
              <w:rPr>
                <w:b/>
                <w:i/>
                <w:sz w:val="18"/>
              </w:rPr>
              <w:t>k</w:t>
            </w:r>
          </w:p>
        </w:tc>
        <w:tc>
          <w:tcPr>
            <w:tcW w:type="dxa" w:w="2736"/>
            <w:tcBorders>
              <w:top w:val="single" w:sz="12" w:color="000000"/>
              <w:bottom w:val="single" w:sz="6" w:color="000000"/>
            </w:tcBorders>
          </w:tcPr>
          <w:p>
            <w:pPr>
              <w:spacing w:line="240" w:lineRule="auto" w:after="20" w:before="20"/>
              <w:jc w:val="center"/>
            </w:pPr>
            <w:r/>
            <w:r>
              <w:rPr>
                <w:b/>
                <w:i/>
                <w:sz w:val="18"/>
              </w:rPr>
              <w:t>D</w:t>
            </w:r>
            <w:r>
              <w:rPr>
                <w:b/>
                <w:i w:val="0"/>
                <w:sz w:val="18"/>
                <w:vertAlign w:val="subscript"/>
              </w:rPr>
              <w:t>min</w:t>
            </w:r>
            <w:r>
              <w:rPr>
                <w:b/>
                <w:i w:val="0"/>
                <w:sz w:val="18"/>
              </w:rPr>
              <w:t xml:space="preserve"> (</w:t>
            </w:r>
            <w:r>
              <w:rPr>
                <w:b/>
                <w:i/>
                <w:sz w:val="18"/>
              </w:rPr>
              <w:t>φ</w:t>
            </w:r>
            <w:r>
              <w:rPr>
                <w:b/>
                <w:i w:val="0"/>
                <w:sz w:val="18"/>
              </w:rPr>
              <w:t xml:space="preserve"> = 0.25 / 1.0)</w:t>
            </w:r>
          </w:p>
        </w:tc>
        <w:tc>
          <w:tcPr>
            <w:tcW w:type="dxa" w:w="3312"/>
            <w:tcBorders>
              <w:top w:val="single" w:sz="12" w:color="000000"/>
              <w:bottom w:val="single" w:sz="6" w:color="000000"/>
            </w:tcBorders>
          </w:tcPr>
          <w:p>
            <w:pPr>
              <w:spacing w:line="240" w:lineRule="auto" w:after="20" w:before="20"/>
              <w:jc w:val="center"/>
            </w:pPr>
            <w:r/>
            <w:r>
              <w:rPr>
                <w:b/>
                <w:i w:val="0"/>
                <w:sz w:val="18"/>
              </w:rPr>
              <w:t>High-type profit / full information</w:t>
            </w:r>
          </w:p>
        </w:tc>
        <w:tc>
          <w:tcPr>
            <w:tcW w:type="dxa" w:w="1440"/>
            <w:tcBorders>
              <w:top w:val="single" w:sz="12" w:color="000000"/>
              <w:bottom w:val="single" w:sz="6" w:color="000000"/>
            </w:tcBorders>
          </w:tcPr>
          <w:p>
            <w:pPr>
              <w:spacing w:line="240" w:lineRule="auto" w:after="20" w:before="20"/>
              <w:jc w:val="center"/>
            </w:pPr>
            <w:r/>
            <w:r>
              <w:rPr>
                <w:b/>
                <w:i w:val="0"/>
                <w:sz w:val="18"/>
              </w:rPr>
              <w:t>Retention</w:t>
            </w:r>
          </w:p>
        </w:tc>
      </w:tr>
      <w:tr>
        <w:tc>
          <w:tcPr>
            <w:tcW w:type="dxa" w:w="1008"/>
          </w:tcPr>
          <w:p>
            <w:pPr>
              <w:spacing w:line="240" w:lineRule="auto" w:after="20" w:before="20"/>
            </w:pPr>
            <w:r/>
            <w:r>
              <w:rPr>
                <w:b w:val="0"/>
                <w:i w:val="0"/>
                <w:sz w:val="18"/>
              </w:rPr>
              <w:t>1.0</w:t>
            </w:r>
          </w:p>
        </w:tc>
        <w:tc>
          <w:tcPr>
            <w:tcW w:type="dxa" w:w="864"/>
          </w:tcPr>
          <w:p>
            <w:pPr>
              <w:spacing w:line="240" w:lineRule="auto" w:after="20" w:before="20"/>
              <w:jc w:val="center"/>
            </w:pPr>
            <w:r/>
            <w:r>
              <w:rPr>
                <w:b w:val="0"/>
                <w:i w:val="0"/>
                <w:sz w:val="18"/>
              </w:rPr>
              <w:t>0.0</w:t>
            </w:r>
          </w:p>
        </w:tc>
        <w:tc>
          <w:tcPr>
            <w:tcW w:type="dxa" w:w="2736"/>
          </w:tcPr>
          <w:p>
            <w:pPr>
              <w:spacing w:line="240" w:lineRule="auto" w:after="20" w:before="20"/>
              <w:jc w:val="center"/>
            </w:pPr>
            <w:r/>
            <w:r>
              <w:rPr>
                <w:b w:val="0"/>
                <w:i w:val="0"/>
                <w:sz w:val="18"/>
              </w:rPr>
              <w:t>68.4 / 17.1</w:t>
            </w:r>
          </w:p>
        </w:tc>
        <w:tc>
          <w:tcPr>
            <w:tcW w:type="dxa" w:w="3312"/>
          </w:tcPr>
          <w:p>
            <w:pPr>
              <w:spacing w:line="240" w:lineRule="auto" w:after="20" w:before="20"/>
              <w:jc w:val="center"/>
            </w:pPr>
            <w:r/>
            <w:r>
              <w:rPr>
                <w:b w:val="0"/>
                <w:i w:val="0"/>
                <w:sz w:val="18"/>
              </w:rPr>
              <w:t>6.564 / 6.564</w:t>
            </w:r>
          </w:p>
        </w:tc>
        <w:tc>
          <w:tcPr>
            <w:tcW w:type="dxa" w:w="1440"/>
          </w:tcPr>
          <w:p>
            <w:pPr>
              <w:spacing w:line="240" w:lineRule="auto" w:after="20" w:before="20"/>
              <w:jc w:val="center"/>
            </w:pPr>
            <w:r/>
            <w:r>
              <w:rPr>
                <w:b w:val="0"/>
                <w:i w:val="0"/>
                <w:sz w:val="18"/>
              </w:rPr>
              <w:t>100%</w:t>
            </w:r>
          </w:p>
        </w:tc>
      </w:tr>
      <w:tr>
        <w:tc>
          <w:tcPr>
            <w:tcW w:type="dxa" w:w="1008"/>
          </w:tcPr>
          <w:p>
            <w:pPr>
              <w:spacing w:line="240" w:lineRule="auto" w:after="20" w:before="20"/>
            </w:pPr>
            <w:r/>
            <w:r>
              <w:rPr>
                <w:b w:val="0"/>
                <w:i w:val="0"/>
                <w:sz w:val="18"/>
              </w:rPr>
              <w:t>1.0</w:t>
            </w:r>
          </w:p>
        </w:tc>
        <w:tc>
          <w:tcPr>
            <w:tcW w:type="dxa" w:w="864"/>
          </w:tcPr>
          <w:p>
            <w:pPr>
              <w:spacing w:line="240" w:lineRule="auto" w:after="20" w:before="20"/>
              <w:jc w:val="center"/>
            </w:pPr>
            <w:r/>
            <w:r>
              <w:rPr>
                <w:b w:val="0"/>
                <w:i w:val="0"/>
                <w:sz w:val="18"/>
              </w:rPr>
              <w:t>0.1</w:t>
            </w:r>
          </w:p>
        </w:tc>
        <w:tc>
          <w:tcPr>
            <w:tcW w:type="dxa" w:w="2736"/>
          </w:tcPr>
          <w:p>
            <w:pPr>
              <w:spacing w:line="240" w:lineRule="auto" w:after="20" w:before="20"/>
              <w:jc w:val="center"/>
            </w:pPr>
            <w:r/>
            <w:r>
              <w:rPr>
                <w:b w:val="0"/>
                <w:i w:val="0"/>
                <w:sz w:val="18"/>
              </w:rPr>
              <w:t>59.8 / 14.9</w:t>
            </w:r>
          </w:p>
        </w:tc>
        <w:tc>
          <w:tcPr>
            <w:tcW w:type="dxa" w:w="3312"/>
          </w:tcPr>
          <w:p>
            <w:pPr>
              <w:spacing w:line="240" w:lineRule="auto" w:after="20" w:before="20"/>
              <w:jc w:val="center"/>
            </w:pPr>
            <w:r/>
            <w:r>
              <w:rPr>
                <w:b w:val="0"/>
                <w:i w:val="0"/>
                <w:sz w:val="18"/>
              </w:rPr>
              <w:t>5.738 / 5.738</w:t>
            </w:r>
          </w:p>
        </w:tc>
        <w:tc>
          <w:tcPr>
            <w:tcW w:type="dxa" w:w="1440"/>
          </w:tcPr>
          <w:p>
            <w:pPr>
              <w:spacing w:line="240" w:lineRule="auto" w:after="20" w:before="20"/>
              <w:jc w:val="center"/>
            </w:pPr>
            <w:r/>
            <w:r>
              <w:rPr>
                <w:b w:val="0"/>
                <w:i w:val="0"/>
                <w:sz w:val="18"/>
              </w:rPr>
              <w:t>100%</w:t>
            </w:r>
          </w:p>
        </w:tc>
      </w:tr>
      <w:tr>
        <w:tc>
          <w:tcPr>
            <w:tcW w:type="dxa" w:w="1008"/>
          </w:tcPr>
          <w:p>
            <w:pPr>
              <w:spacing w:line="240" w:lineRule="auto" w:after="20" w:before="20"/>
            </w:pPr>
            <w:r/>
            <w:r>
              <w:rPr>
                <w:b w:val="0"/>
                <w:i w:val="0"/>
                <w:sz w:val="18"/>
              </w:rPr>
              <w:t>1.0</w:t>
            </w:r>
          </w:p>
        </w:tc>
        <w:tc>
          <w:tcPr>
            <w:tcW w:type="dxa" w:w="864"/>
          </w:tcPr>
          <w:p>
            <w:pPr>
              <w:spacing w:line="240" w:lineRule="auto" w:after="20" w:before="20"/>
              <w:jc w:val="center"/>
            </w:pPr>
            <w:r/>
            <w:r>
              <w:rPr>
                <w:b w:val="0"/>
                <w:i w:val="0"/>
                <w:sz w:val="18"/>
              </w:rPr>
              <w:t>0.4</w:t>
            </w:r>
          </w:p>
        </w:tc>
        <w:tc>
          <w:tcPr>
            <w:tcW w:type="dxa" w:w="2736"/>
          </w:tcPr>
          <w:p>
            <w:pPr>
              <w:spacing w:line="240" w:lineRule="auto" w:after="20" w:before="20"/>
              <w:jc w:val="center"/>
            </w:pPr>
            <w:r/>
            <w:r>
              <w:rPr>
                <w:b w:val="0"/>
                <w:i w:val="0"/>
                <w:sz w:val="18"/>
              </w:rPr>
              <w:t>34.0 / 8.5</w:t>
            </w:r>
          </w:p>
        </w:tc>
        <w:tc>
          <w:tcPr>
            <w:tcW w:type="dxa" w:w="3312"/>
          </w:tcPr>
          <w:p>
            <w:pPr>
              <w:spacing w:line="240" w:lineRule="auto" w:after="20" w:before="20"/>
              <w:jc w:val="center"/>
            </w:pPr>
            <w:r/>
            <w:r>
              <w:rPr>
                <w:b w:val="0"/>
                <w:i w:val="0"/>
                <w:sz w:val="18"/>
              </w:rPr>
              <w:t>3.258 / 3.258</w:t>
            </w:r>
          </w:p>
        </w:tc>
        <w:tc>
          <w:tcPr>
            <w:tcW w:type="dxa" w:w="1440"/>
          </w:tcPr>
          <w:p>
            <w:pPr>
              <w:spacing w:line="240" w:lineRule="auto" w:after="20" w:before="20"/>
              <w:jc w:val="center"/>
            </w:pPr>
            <w:r/>
            <w:r>
              <w:rPr>
                <w:b w:val="0"/>
                <w:i w:val="0"/>
                <w:sz w:val="18"/>
              </w:rPr>
              <w:t>100%</w:t>
            </w:r>
          </w:p>
        </w:tc>
      </w:tr>
      <w:tr>
        <w:tc>
          <w:tcPr>
            <w:tcW w:type="dxa" w:w="1008"/>
          </w:tcPr>
          <w:p>
            <w:pPr>
              <w:spacing w:line="240" w:lineRule="auto" w:after="20" w:before="20"/>
            </w:pPr>
            <w:r/>
            <w:r>
              <w:rPr>
                <w:b w:val="0"/>
                <w:i w:val="0"/>
                <w:sz w:val="18"/>
              </w:rPr>
              <w:t>0.9</w:t>
            </w:r>
          </w:p>
        </w:tc>
        <w:tc>
          <w:tcPr>
            <w:tcW w:type="dxa" w:w="864"/>
          </w:tcPr>
          <w:p>
            <w:pPr>
              <w:spacing w:line="240" w:lineRule="auto" w:after="20" w:before="20"/>
              <w:jc w:val="center"/>
            </w:pPr>
            <w:r/>
            <w:r>
              <w:rPr>
                <w:b w:val="0"/>
                <w:i w:val="0"/>
                <w:sz w:val="18"/>
              </w:rPr>
              <w:t>0.0</w:t>
            </w:r>
          </w:p>
        </w:tc>
        <w:tc>
          <w:tcPr>
            <w:tcW w:type="dxa" w:w="2736"/>
          </w:tcPr>
          <w:p>
            <w:pPr>
              <w:spacing w:line="240" w:lineRule="auto" w:after="20" w:before="20"/>
              <w:jc w:val="center"/>
            </w:pPr>
            <w:r/>
            <w:r>
              <w:rPr>
                <w:b w:val="0"/>
                <w:i w:val="0"/>
                <w:sz w:val="18"/>
              </w:rPr>
              <w:t>22.2 / 5.5</w:t>
            </w:r>
          </w:p>
        </w:tc>
        <w:tc>
          <w:tcPr>
            <w:tcW w:type="dxa" w:w="3312"/>
          </w:tcPr>
          <w:p>
            <w:pPr>
              <w:spacing w:line="240" w:lineRule="auto" w:after="20" w:before="20"/>
              <w:jc w:val="center"/>
            </w:pPr>
            <w:r/>
            <w:r>
              <w:rPr>
                <w:b w:val="0"/>
                <w:i w:val="0"/>
                <w:sz w:val="18"/>
              </w:rPr>
              <w:t>1.140 / 1.519</w:t>
            </w:r>
          </w:p>
        </w:tc>
        <w:tc>
          <w:tcPr>
            <w:tcW w:type="dxa" w:w="1440"/>
          </w:tcPr>
          <w:p>
            <w:pPr>
              <w:spacing w:line="240" w:lineRule="auto" w:after="20" w:before="20"/>
              <w:jc w:val="center"/>
            </w:pPr>
            <w:r/>
            <w:r>
              <w:rPr>
                <w:b w:val="0"/>
                <w:i w:val="0"/>
                <w:sz w:val="18"/>
              </w:rPr>
              <w:t>75%</w:t>
            </w:r>
          </w:p>
        </w:tc>
      </w:tr>
      <w:tr>
        <w:tc>
          <w:tcPr>
            <w:tcW w:type="dxa" w:w="1008"/>
          </w:tcPr>
          <w:p>
            <w:pPr>
              <w:spacing w:line="240" w:lineRule="auto" w:after="20" w:before="20"/>
            </w:pPr>
            <w:r/>
            <w:r>
              <w:rPr>
                <w:b w:val="0"/>
                <w:i w:val="0"/>
                <w:sz w:val="18"/>
              </w:rPr>
              <w:t>0.9</w:t>
            </w:r>
          </w:p>
        </w:tc>
        <w:tc>
          <w:tcPr>
            <w:tcW w:type="dxa" w:w="864"/>
          </w:tcPr>
          <w:p>
            <w:pPr>
              <w:spacing w:line="240" w:lineRule="auto" w:after="20" w:before="20"/>
              <w:jc w:val="center"/>
            </w:pPr>
            <w:r/>
            <w:r>
              <w:rPr>
                <w:b w:val="0"/>
                <w:i w:val="0"/>
                <w:sz w:val="18"/>
              </w:rPr>
              <w:t>0.1</w:t>
            </w:r>
          </w:p>
        </w:tc>
        <w:tc>
          <w:tcPr>
            <w:tcW w:type="dxa" w:w="2736"/>
          </w:tcPr>
          <w:p>
            <w:pPr>
              <w:spacing w:line="240" w:lineRule="auto" w:after="20" w:before="20"/>
              <w:jc w:val="center"/>
            </w:pPr>
            <w:r/>
            <w:r>
              <w:rPr>
                <w:b w:val="0"/>
                <w:i w:val="0"/>
                <w:sz w:val="18"/>
              </w:rPr>
              <w:t>16.4 / 4.1</w:t>
            </w:r>
          </w:p>
        </w:tc>
        <w:tc>
          <w:tcPr>
            <w:tcW w:type="dxa" w:w="3312"/>
          </w:tcPr>
          <w:p>
            <w:pPr>
              <w:spacing w:line="240" w:lineRule="auto" w:after="20" w:before="20"/>
              <w:jc w:val="center"/>
            </w:pPr>
            <w:r/>
            <w:r>
              <w:rPr>
                <w:b w:val="0"/>
                <w:i w:val="0"/>
                <w:sz w:val="18"/>
              </w:rPr>
              <w:t>0.778 / 1.037</w:t>
            </w:r>
          </w:p>
        </w:tc>
        <w:tc>
          <w:tcPr>
            <w:tcW w:type="dxa" w:w="1440"/>
          </w:tcPr>
          <w:p>
            <w:pPr>
              <w:spacing w:line="240" w:lineRule="auto" w:after="20" w:before="20"/>
              <w:jc w:val="center"/>
            </w:pPr>
            <w:r/>
            <w:r>
              <w:rPr>
                <w:b w:val="0"/>
                <w:i w:val="0"/>
                <w:sz w:val="18"/>
              </w:rPr>
              <w:t>75%</w:t>
            </w:r>
          </w:p>
        </w:tc>
      </w:tr>
      <w:tr>
        <w:tc>
          <w:tcPr>
            <w:tcW w:type="dxa" w:w="1008"/>
            <w:tcBorders>
              <w:bottom w:val="single" w:sz="12" w:color="000000"/>
            </w:tcBorders>
          </w:tcPr>
          <w:p>
            <w:pPr>
              <w:spacing w:line="240" w:lineRule="auto" w:after="20" w:before="20"/>
            </w:pPr>
            <w:r/>
            <w:r>
              <w:rPr>
                <w:b w:val="0"/>
                <w:i w:val="0"/>
                <w:sz w:val="18"/>
              </w:rPr>
              <w:t>0.9</w:t>
            </w:r>
          </w:p>
        </w:tc>
        <w:tc>
          <w:tcPr>
            <w:tcW w:type="dxa" w:w="864"/>
            <w:tcBorders>
              <w:bottom w:val="single" w:sz="12" w:color="000000"/>
            </w:tcBorders>
          </w:tcPr>
          <w:p>
            <w:pPr>
              <w:spacing w:line="240" w:lineRule="auto" w:after="20" w:before="20"/>
              <w:jc w:val="center"/>
            </w:pPr>
            <w:r/>
            <w:r>
              <w:rPr>
                <w:b w:val="0"/>
                <w:i w:val="0"/>
                <w:sz w:val="18"/>
              </w:rPr>
              <w:t>0.4</w:t>
            </w:r>
          </w:p>
        </w:tc>
        <w:tc>
          <w:tcPr>
            <w:tcW w:type="dxa" w:w="2736"/>
            <w:tcBorders>
              <w:bottom w:val="single" w:sz="12" w:color="000000"/>
            </w:tcBorders>
          </w:tcPr>
          <w:p>
            <w:pPr>
              <w:spacing w:line="240" w:lineRule="auto" w:after="20" w:before="20"/>
              <w:jc w:val="center"/>
            </w:pPr>
            <w:r/>
            <w:r>
              <w:rPr>
                <w:b w:val="0"/>
                <w:i w:val="0"/>
                <w:sz w:val="18"/>
              </w:rPr>
              <w:t>3.8 / 1.0</w:t>
            </w:r>
          </w:p>
        </w:tc>
        <w:tc>
          <w:tcPr>
            <w:tcW w:type="dxa" w:w="3312"/>
            <w:tcBorders>
              <w:bottom w:val="single" w:sz="12" w:color="000000"/>
            </w:tcBorders>
          </w:tcPr>
          <w:p>
            <w:pPr>
              <w:spacing w:line="240" w:lineRule="auto" w:after="20" w:before="20"/>
              <w:jc w:val="center"/>
            </w:pPr>
            <w:r/>
            <w:r>
              <w:rPr>
                <w:b w:val="0"/>
                <w:i w:val="0"/>
                <w:sz w:val="18"/>
              </w:rPr>
              <w:t>0.097 / 0.129</w:t>
            </w:r>
          </w:p>
        </w:tc>
        <w:tc>
          <w:tcPr>
            <w:tcW w:type="dxa" w:w="1440"/>
            <w:tcBorders>
              <w:bottom w:val="single" w:sz="12" w:color="000000"/>
            </w:tcBorders>
          </w:tcPr>
          <w:p>
            <w:pPr>
              <w:spacing w:line="240" w:lineRule="auto" w:after="20" w:before="20"/>
              <w:jc w:val="center"/>
            </w:pPr>
            <w:r/>
            <w:r>
              <w:rPr>
                <w:b w:val="0"/>
                <w:i w:val="0"/>
                <w:sz w:val="18"/>
              </w:rPr>
              <w:t>75%</w:t>
            </w:r>
          </w:p>
        </w:tc>
      </w:tr>
    </w:tbl>
    <w:p>
      <w:pPr>
        <w:spacing w:line="240" w:lineRule="auto" w:after="160" w:before="60"/>
      </w:pPr>
      <w:r>
        <w:rPr>
          <w:b w:val="0"/>
          <w:i/>
          <w:sz w:val="18"/>
        </w:rPr>
        <w:t>Notes.</w:t>
      </w:r>
      <w:r>
        <w:rPr>
          <w:b w:val="0"/>
          <w:i w:val="0"/>
          <w:sz w:val="18"/>
        </w:rPr>
        <w:t xml:space="preserve"> Low type with </w:t>
      </w:r>
      <w:r>
        <w:rPr>
          <w:b w:val="0"/>
          <w:i/>
          <w:sz w:val="18"/>
        </w:rPr>
        <w:t>A</w:t>
      </w:r>
      <w:r>
        <w:rPr>
          <w:b w:val="0"/>
          <w:i w:val="0"/>
          <w:sz w:val="18"/>
          <w:vertAlign w:val="subscript"/>
        </w:rPr>
        <w:t>L</w:t>
      </w:r>
      <w:r>
        <w:rPr>
          <w:b w:val="0"/>
          <w:i w:val="0"/>
          <w:sz w:val="18"/>
        </w:rPr>
        <w:t xml:space="preserve"> = 0.6 and negligible own profit. Numerical values of Π; retention equals 1 − (1 − </w:t>
      </w:r>
      <w:r>
        <w:rPr>
          <w:b w:val="0"/>
          <w:i/>
          <w:sz w:val="18"/>
        </w:rPr>
        <w:t>A</w:t>
      </w:r>
      <w:r>
        <w:rPr>
          <w:b w:val="0"/>
          <w:i w:val="0"/>
          <w:sz w:val="18"/>
          <w:vertAlign w:val="subscript"/>
        </w:rPr>
        <w:t>H</w:t>
      </w:r>
      <w:r>
        <w:rPr>
          <w:b w:val="0"/>
          <w:i w:val="0"/>
          <w:sz w:val="18"/>
        </w:rPr>
        <w:t xml:space="preserve">)/(1 − </w:t>
      </w:r>
      <w:r>
        <w:rPr>
          <w:b w:val="0"/>
          <w:i/>
          <w:sz w:val="18"/>
        </w:rPr>
        <w:t>A</w:t>
      </w:r>
      <w:r>
        <w:rPr>
          <w:b w:val="0"/>
          <w:i w:val="0"/>
          <w:sz w:val="18"/>
          <w:vertAlign w:val="subscript"/>
        </w:rPr>
        <w:t>L</w:t>
      </w:r>
      <w:r>
        <w:rPr>
          <w:b w:val="0"/>
          <w:i w:val="0"/>
          <w:sz w:val="18"/>
        </w:rPr>
        <w:t>) as in the formula.</w:t>
      </w:r>
    </w:p>
    <w:p>
      <w:pPr>
        <w:spacing w:after="0" w:before="0"/>
        <w:ind w:firstLine="720"/>
      </w:pPr>
      <w:r>
        <w:rPr>
          <w:b w:val="0"/>
          <w:i w:val="0"/>
        </w:rPr>
        <w:t xml:space="preserve">The comparison of instruments is: usage price, cannot separate; success fee, separates only with </w:t>
      </w:r>
      <w:r>
        <w:rPr>
          <w:b w:val="0"/>
          <w:i/>
        </w:rPr>
        <w:t>k</w:t>
      </w:r>
      <w:r>
        <w:rPr>
          <w:b w:val="0"/>
          <w:i w:val="0"/>
        </w:rPr>
        <w:t xml:space="preserve"> &gt; 0, retaining about 18 percent of the high type's profit at </w:t>
      </w:r>
      <w:r>
        <w:rPr>
          <w:b w:val="0"/>
          <w:i/>
        </w:rPr>
        <w:t>k</w:t>
      </w:r>
      <w:r>
        <w:rPr>
          <w:b w:val="0"/>
          <w:i w:val="0"/>
        </w:rPr>
        <w:t xml:space="preserve"> = 0.1; fixed-damages warranty, separates for any </w:t>
      </w:r>
      <w:r>
        <w:rPr>
          <w:b w:val="0"/>
          <w:i/>
        </w:rPr>
        <w:t>k</w:t>
      </w:r>
      <w:r>
        <w:rPr>
          <w:b w:val="0"/>
          <w:i w:val="0"/>
        </w:rPr>
        <w:t xml:space="preserve">, with retention 100 percent at </w:t>
      </w:r>
      <w:r>
        <w:rPr>
          <w:b w:val="0"/>
          <w:i/>
        </w:rPr>
        <w:t>A</w:t>
      </w:r>
      <w:r>
        <w:rPr>
          <w:b w:val="0"/>
          <w:i w:val="0"/>
          <w:vertAlign w:val="subscript"/>
        </w:rPr>
        <w:t>H</w:t>
      </w:r>
      <w:r>
        <w:rPr>
          <w:b w:val="0"/>
          <w:i w:val="0"/>
        </w:rPr>
        <w:t xml:space="preserve"> = 1. The warranty needs the usual conditions: the vendor can pay (limited liability caps </w:t>
      </w:r>
      <w:r>
        <w:rPr>
          <w:b w:val="0"/>
          <w:i/>
        </w:rPr>
        <w:t>D</w:t>
      </w:r>
      <w:r>
        <w:rPr>
          <w:b w:val="0"/>
          <w:i w:val="0"/>
        </w:rPr>
        <w:t>), failures are verifiable, and the firm cannot manipulate the verification. The last is more fragile here because a firm could deliberately underinvest in testing to induce a failure.</w:t>
      </w:r>
    </w:p>
    <w:p>
      <w:pPr>
        <w:spacing w:after="0" w:before="0"/>
        <w:ind w:firstLine="720"/>
      </w:pPr>
      <w:r>
        <w:rPr>
          <w:b w:val="0"/>
          <w:i/>
        </w:rPr>
        <w:t>Mixed-complexity market.</w:t>
      </w:r>
      <w:r>
        <w:rPr>
          <w:b w:val="0"/>
          <w:i w:val="0"/>
        </w:rPr>
        <w:t xml:space="preserve"> Suppose a share </w:t>
      </w:r>
      <w:r>
        <w:rPr>
          <w:b w:val="0"/>
          <w:i/>
        </w:rPr>
        <w:t>λ</w:t>
      </w:r>
      <w:r>
        <w:rPr>
          <w:b w:val="0"/>
          <w:i w:val="0"/>
          <w:vertAlign w:val="subscript"/>
        </w:rPr>
        <w:t>c</w:t>
      </w:r>
      <w:r>
        <w:rPr>
          <w:b w:val="0"/>
          <w:i w:val="0"/>
        </w:rPr>
        <w:t xml:space="preserve"> of firms have complex tasks on which the AI's relative reach is multiplied by </w:t>
      </w:r>
      <w:r>
        <w:rPr>
          <w:b w:val="0"/>
          <w:i/>
        </w:rPr>
        <w:t>δ</w:t>
      </w:r>
      <w:r>
        <w:rPr>
          <w:b w:val="0"/>
          <w:i w:val="0"/>
        </w:rPr>
        <w:t xml:space="preserve"> &lt; 1, the human technology being unchanged, and the vendor cannot tell the task type. If the complex segment cannot yield positive profit at any price, every profit function scales by (1 − </w:t>
      </w:r>
      <w:r>
        <w:rPr>
          <w:b w:val="0"/>
          <w:i/>
        </w:rPr>
        <w:t>λ</w:t>
      </w:r>
      <w:r>
        <w:rPr>
          <w:b w:val="0"/>
          <w:i w:val="0"/>
          <w:vertAlign w:val="subscript"/>
        </w:rPr>
        <w:t>c</w:t>
      </w:r>
      <w:r>
        <w:rPr>
          <w:b w:val="0"/>
          <w:i w:val="0"/>
        </w:rPr>
        <w:t xml:space="preserve">), so the separating price and the signaling cost do not depend on </w:t>
      </w:r>
      <w:r>
        <w:rPr>
          <w:b w:val="0"/>
          <w:i/>
        </w:rPr>
        <w:t>λ</w:t>
      </w:r>
      <w:r>
        <w:rPr>
          <w:b w:val="0"/>
          <w:i w:val="0"/>
          <w:vertAlign w:val="subscript"/>
        </w:rPr>
        <w:t>c</w:t>
      </w:r>
      <w:r>
        <w:rPr>
          <w:b w:val="0"/>
          <w:i w:val="0"/>
        </w:rPr>
        <w:t xml:space="preserve">: the market gets smaller but the contract is unchanged (Table D3, left). The complex segment is served only when </w:t>
      </w:r>
      <w:r>
        <w:rPr>
          <w:b w:val="0"/>
          <w:i/>
        </w:rPr>
        <w:t>δ</w:t>
      </w:r>
      <w:r>
        <w:rPr>
          <w:b w:val="0"/>
          <w:i w:val="0"/>
        </w:rPr>
        <w:t xml:space="preserve"> is high enough. At the parameters used, the critical </w:t>
      </w:r>
      <w:r>
        <w:rPr>
          <w:b w:val="0"/>
          <w:i/>
        </w:rPr>
        <w:t>δ̄</w:t>
      </w:r>
      <w:r>
        <w:rPr>
          <w:b w:val="0"/>
          <w:i w:val="0"/>
        </w:rPr>
        <w:t xml:space="preserve"> lies between 0.6 and 0.8. At </w:t>
      </w:r>
      <w:r>
        <w:rPr>
          <w:b w:val="0"/>
          <w:i/>
        </w:rPr>
        <w:t>δ</w:t>
      </w:r>
      <w:r>
        <w:rPr>
          <w:b w:val="0"/>
          <w:i w:val="0"/>
        </w:rPr>
        <w:t xml:space="preserve"> = 0.8 something interesting occurs: the signaling distortion lowers the high type's separating price enough that 36 percent of complex-task firms adopt, whereas under the full-information price and under pooling none do. The signaling cost thus has an inclusion by-product, but the vendor earns only 0.20 from that segment against 3.68 from the easy segment, so it is not a motive.</w:t>
      </w:r>
    </w:p>
    <w:p>
      <w:pPr>
        <w:keepNext/>
        <w:spacing w:line="276" w:lineRule="auto" w:after="80" w:before="200"/>
      </w:pPr>
      <w:r>
        <w:rPr>
          <w:b/>
          <w:i w:val="0"/>
        </w:rPr>
        <w:t>Table D3.</w:t>
      </w:r>
      <w:r>
        <w:rPr>
          <w:b w:val="0"/>
          <w:i w:val="0"/>
        </w:rPr>
        <w:t xml:space="preserve"> Mixed-complexity market (</w:t>
      </w:r>
      <w:r>
        <w:rPr>
          <w:b w:val="0"/>
          <w:i/>
        </w:rPr>
        <w:t>λ</w:t>
      </w:r>
      <w:r>
        <w:rPr>
          <w:b w:val="0"/>
          <w:i w:val="0"/>
          <w:vertAlign w:val="subscript"/>
        </w:rPr>
        <w:t>c</w:t>
      </w:r>
      <w:r>
        <w:rPr>
          <w:b w:val="0"/>
          <w:i w:val="0"/>
        </w:rPr>
        <w:t xml:space="preserve"> = 0.5)</w:t>
      </w:r>
    </w:p>
    <w:tbl>
      <w:tblPr>
        <w:tblW w:type="auto" w:w="0"/>
        <w:jc w:val="center"/>
        <w:tblLook w:firstColumn="1" w:firstRow="1" w:lastColumn="0" w:lastRow="0" w:noHBand="0" w:noVBand="1" w:val="04A0"/>
      </w:tblPr>
      <w:tblGrid>
        <w:gridCol w:w="2340"/>
        <w:gridCol w:w="2340"/>
        <w:gridCol w:w="2340"/>
        <w:gridCol w:w="2340"/>
      </w:tblGrid>
      <w:tr>
        <w:tc>
          <w:tcPr>
            <w:tcW w:type="dxa" w:w="2160"/>
            <w:tcBorders>
              <w:top w:val="single" w:sz="12" w:color="000000"/>
              <w:bottom w:val="single" w:sz="6" w:color="000000"/>
            </w:tcBorders>
          </w:tcPr>
          <w:p>
            <w:pPr>
              <w:spacing w:line="240" w:lineRule="auto" w:after="20" w:before="20"/>
            </w:pPr>
            <w:r/>
            <w:r>
              <w:rPr>
                <w:b/>
                <w:i w:val="0"/>
                <w:sz w:val="18"/>
              </w:rPr>
              <w:t xml:space="preserve">Complexity penalty </w:t>
            </w:r>
            <w:r>
              <w:rPr>
                <w:b/>
                <w:i/>
                <w:sz w:val="18"/>
              </w:rPr>
              <w:t>δ</w:t>
            </w:r>
          </w:p>
        </w:tc>
        <w:tc>
          <w:tcPr>
            <w:tcW w:type="dxa" w:w="3312"/>
            <w:tcBorders>
              <w:top w:val="single" w:sz="12" w:color="000000"/>
              <w:bottom w:val="single" w:sz="6" w:color="000000"/>
            </w:tcBorders>
          </w:tcPr>
          <w:p>
            <w:pPr>
              <w:spacing w:line="240" w:lineRule="auto" w:after="20" w:before="20"/>
              <w:jc w:val="center"/>
            </w:pPr>
            <w:r/>
            <w:r>
              <w:rPr>
                <w:b/>
                <w:i w:val="0"/>
                <w:sz w:val="18"/>
              </w:rPr>
              <w:t>Adoption, easy / complex (separating)</w:t>
            </w:r>
          </w:p>
        </w:tc>
        <w:tc>
          <w:tcPr>
            <w:tcW w:type="dxa" w:w="2160"/>
            <w:tcBorders>
              <w:top w:val="single" w:sz="12" w:color="000000"/>
              <w:bottom w:val="single" w:sz="6" w:color="000000"/>
            </w:tcBorders>
          </w:tcPr>
          <w:p>
            <w:pPr>
              <w:spacing w:line="240" w:lineRule="auto" w:after="20" w:before="20"/>
              <w:jc w:val="center"/>
            </w:pPr>
            <w:r/>
            <w:r>
              <w:rPr>
                <w:b/>
                <w:i w:val="0"/>
                <w:sz w:val="18"/>
              </w:rPr>
              <w:t>Pooled outcome pricing</w:t>
            </w:r>
          </w:p>
        </w:tc>
        <w:tc>
          <w:tcPr>
            <w:tcW w:type="dxa" w:w="2160"/>
            <w:tcBorders>
              <w:top w:val="single" w:sz="12" w:color="000000"/>
              <w:bottom w:val="single" w:sz="6" w:color="000000"/>
            </w:tcBorders>
          </w:tcPr>
          <w:p>
            <w:pPr>
              <w:spacing w:line="240" w:lineRule="auto" w:after="20" w:before="20"/>
              <w:jc w:val="center"/>
            </w:pPr>
            <w:r/>
            <w:r>
              <w:rPr>
                <w:b/>
                <w:i w:val="0"/>
                <w:sz w:val="18"/>
              </w:rPr>
              <w:t>Pooled usage pricing</w:t>
            </w:r>
          </w:p>
        </w:tc>
      </w:tr>
      <w:tr>
        <w:tc>
          <w:tcPr>
            <w:tcW w:type="dxa" w:w="2160"/>
          </w:tcPr>
          <w:p>
            <w:pPr>
              <w:spacing w:line="240" w:lineRule="auto" w:after="20" w:before="20"/>
            </w:pPr>
            <w:r/>
            <w:r>
              <w:rPr>
                <w:b w:val="0"/>
                <w:i w:val="0"/>
                <w:sz w:val="18"/>
              </w:rPr>
              <w:t>1.0</w:t>
            </w:r>
          </w:p>
        </w:tc>
        <w:tc>
          <w:tcPr>
            <w:tcW w:type="dxa" w:w="3312"/>
          </w:tcPr>
          <w:p>
            <w:pPr>
              <w:spacing w:line="240" w:lineRule="auto" w:after="20" w:before="20"/>
              <w:jc w:val="center"/>
            </w:pPr>
            <w:r/>
            <w:r>
              <w:rPr>
                <w:b w:val="0"/>
                <w:i w:val="0"/>
                <w:sz w:val="18"/>
              </w:rPr>
              <w:t>0.98 / 0.98</w:t>
            </w:r>
          </w:p>
        </w:tc>
        <w:tc>
          <w:tcPr>
            <w:tcW w:type="dxa" w:w="2160"/>
          </w:tcPr>
          <w:p>
            <w:pPr>
              <w:spacing w:line="240" w:lineRule="auto" w:after="20" w:before="20"/>
              <w:jc w:val="center"/>
            </w:pPr>
            <w:r/>
            <w:r>
              <w:rPr>
                <w:b w:val="0"/>
                <w:i w:val="0"/>
                <w:sz w:val="18"/>
              </w:rPr>
              <w:t>0.31 / 0.31</w:t>
            </w:r>
          </w:p>
        </w:tc>
        <w:tc>
          <w:tcPr>
            <w:tcW w:type="dxa" w:w="2160"/>
          </w:tcPr>
          <w:p>
            <w:pPr>
              <w:spacing w:line="240" w:lineRule="auto" w:after="20" w:before="20"/>
              <w:jc w:val="center"/>
            </w:pPr>
            <w:r/>
            <w:r>
              <w:rPr>
                <w:b w:val="0"/>
                <w:i w:val="0"/>
                <w:sz w:val="18"/>
              </w:rPr>
              <w:t>0.29 / 0.29</w:t>
            </w:r>
          </w:p>
        </w:tc>
      </w:tr>
      <w:tr>
        <w:tc>
          <w:tcPr>
            <w:tcW w:type="dxa" w:w="2160"/>
          </w:tcPr>
          <w:p>
            <w:pPr>
              <w:spacing w:line="240" w:lineRule="auto" w:after="20" w:before="20"/>
            </w:pPr>
            <w:r/>
            <w:r>
              <w:rPr>
                <w:b w:val="0"/>
                <w:i w:val="0"/>
                <w:sz w:val="18"/>
              </w:rPr>
              <w:t>0.8</w:t>
            </w:r>
          </w:p>
        </w:tc>
        <w:tc>
          <w:tcPr>
            <w:tcW w:type="dxa" w:w="3312"/>
          </w:tcPr>
          <w:p>
            <w:pPr>
              <w:spacing w:line="240" w:lineRule="auto" w:after="20" w:before="20"/>
              <w:jc w:val="center"/>
            </w:pPr>
            <w:r/>
            <w:r>
              <w:rPr>
                <w:b w:val="0"/>
                <w:i w:val="0"/>
                <w:sz w:val="18"/>
              </w:rPr>
              <w:t>0.98 / 0.36</w:t>
            </w:r>
          </w:p>
        </w:tc>
        <w:tc>
          <w:tcPr>
            <w:tcW w:type="dxa" w:w="2160"/>
          </w:tcPr>
          <w:p>
            <w:pPr>
              <w:spacing w:line="240" w:lineRule="auto" w:after="20" w:before="20"/>
              <w:jc w:val="center"/>
            </w:pPr>
            <w:r/>
            <w:r>
              <w:rPr>
                <w:b w:val="0"/>
                <w:i w:val="0"/>
                <w:sz w:val="18"/>
              </w:rPr>
              <w:t>0.31 / 0.00</w:t>
            </w:r>
          </w:p>
        </w:tc>
        <w:tc>
          <w:tcPr>
            <w:tcW w:type="dxa" w:w="2160"/>
          </w:tcPr>
          <w:p>
            <w:pPr>
              <w:spacing w:line="240" w:lineRule="auto" w:after="20" w:before="20"/>
              <w:jc w:val="center"/>
            </w:pPr>
            <w:r/>
            <w:r>
              <w:rPr>
                <w:b w:val="0"/>
                <w:i w:val="0"/>
                <w:sz w:val="18"/>
              </w:rPr>
              <w:t>0.29 / 0.00</w:t>
            </w:r>
          </w:p>
        </w:tc>
      </w:tr>
      <w:tr>
        <w:tc>
          <w:tcPr>
            <w:tcW w:type="dxa" w:w="2160"/>
          </w:tcPr>
          <w:p>
            <w:pPr>
              <w:spacing w:line="240" w:lineRule="auto" w:after="20" w:before="20"/>
            </w:pPr>
            <w:r/>
            <w:r>
              <w:rPr>
                <w:b w:val="0"/>
                <w:i w:val="0"/>
                <w:sz w:val="18"/>
              </w:rPr>
              <w:t>0.6</w:t>
            </w:r>
          </w:p>
        </w:tc>
        <w:tc>
          <w:tcPr>
            <w:tcW w:type="dxa" w:w="3312"/>
          </w:tcPr>
          <w:p>
            <w:pPr>
              <w:spacing w:line="240" w:lineRule="auto" w:after="20" w:before="20"/>
              <w:jc w:val="center"/>
            </w:pPr>
            <w:r/>
            <w:r>
              <w:rPr>
                <w:b w:val="0"/>
                <w:i w:val="0"/>
                <w:sz w:val="18"/>
              </w:rPr>
              <w:t>0.98 / 0.00</w:t>
            </w:r>
          </w:p>
        </w:tc>
        <w:tc>
          <w:tcPr>
            <w:tcW w:type="dxa" w:w="2160"/>
          </w:tcPr>
          <w:p>
            <w:pPr>
              <w:spacing w:line="240" w:lineRule="auto" w:after="20" w:before="20"/>
              <w:jc w:val="center"/>
            </w:pPr>
            <w:r/>
            <w:r>
              <w:rPr>
                <w:b w:val="0"/>
                <w:i w:val="0"/>
                <w:sz w:val="18"/>
              </w:rPr>
              <w:t>0.31 / 0.00</w:t>
            </w:r>
          </w:p>
        </w:tc>
        <w:tc>
          <w:tcPr>
            <w:tcW w:type="dxa" w:w="2160"/>
          </w:tcPr>
          <w:p>
            <w:pPr>
              <w:spacing w:line="240" w:lineRule="auto" w:after="20" w:before="20"/>
              <w:jc w:val="center"/>
            </w:pPr>
            <w:r/>
            <w:r>
              <w:rPr>
                <w:b w:val="0"/>
                <w:i w:val="0"/>
                <w:sz w:val="18"/>
              </w:rPr>
              <w:t>0.29 / 0.00</w:t>
            </w:r>
          </w:p>
        </w:tc>
      </w:tr>
      <w:tr>
        <w:tc>
          <w:tcPr>
            <w:tcW w:type="dxa" w:w="2160"/>
            <w:tcBorders>
              <w:bottom w:val="single" w:sz="12" w:color="000000"/>
            </w:tcBorders>
          </w:tcPr>
          <w:p>
            <w:pPr>
              <w:spacing w:line="240" w:lineRule="auto" w:after="20" w:before="20"/>
            </w:pPr>
            <w:r/>
            <w:r>
              <w:rPr>
                <w:b w:val="0"/>
                <w:i w:val="0"/>
                <w:sz w:val="18"/>
              </w:rPr>
              <w:t>0.4</w:t>
            </w:r>
          </w:p>
        </w:tc>
        <w:tc>
          <w:tcPr>
            <w:tcW w:type="dxa" w:w="3312"/>
            <w:tcBorders>
              <w:bottom w:val="single" w:sz="12" w:color="000000"/>
            </w:tcBorders>
          </w:tcPr>
          <w:p>
            <w:pPr>
              <w:spacing w:line="240" w:lineRule="auto" w:after="20" w:before="20"/>
              <w:jc w:val="center"/>
            </w:pPr>
            <w:r/>
            <w:r>
              <w:rPr>
                <w:b w:val="0"/>
                <w:i w:val="0"/>
                <w:sz w:val="18"/>
              </w:rPr>
              <w:t>0.98 / 0.00</w:t>
            </w:r>
          </w:p>
        </w:tc>
        <w:tc>
          <w:tcPr>
            <w:tcW w:type="dxa" w:w="2160"/>
            <w:tcBorders>
              <w:bottom w:val="single" w:sz="12" w:color="000000"/>
            </w:tcBorders>
          </w:tcPr>
          <w:p>
            <w:pPr>
              <w:spacing w:line="240" w:lineRule="auto" w:after="20" w:before="20"/>
              <w:jc w:val="center"/>
            </w:pPr>
            <w:r/>
            <w:r>
              <w:rPr>
                <w:b w:val="0"/>
                <w:i w:val="0"/>
                <w:sz w:val="18"/>
              </w:rPr>
              <w:t>0.31 / 0.00</w:t>
            </w:r>
          </w:p>
        </w:tc>
        <w:tc>
          <w:tcPr>
            <w:tcW w:type="dxa" w:w="2160"/>
            <w:tcBorders>
              <w:bottom w:val="single" w:sz="12" w:color="000000"/>
            </w:tcBorders>
          </w:tcPr>
          <w:p>
            <w:pPr>
              <w:spacing w:line="240" w:lineRule="auto" w:after="20" w:before="20"/>
              <w:jc w:val="center"/>
            </w:pPr>
            <w:r/>
            <w:r>
              <w:rPr>
                <w:b w:val="0"/>
                <w:i w:val="0"/>
                <w:sz w:val="18"/>
              </w:rPr>
              <w:t>0.29 / 0.00</w:t>
            </w:r>
          </w:p>
        </w:tc>
      </w:tr>
    </w:tbl>
    <w:p>
      <w:pPr>
        <w:spacing w:line="240" w:lineRule="auto" w:after="160" w:before="60"/>
      </w:pPr>
      <w:r>
        <w:rPr>
          <w:b w:val="0"/>
          <w:i/>
          <w:sz w:val="18"/>
        </w:rPr>
        <w:t>Notes.</w:t>
      </w:r>
      <w:r>
        <w:rPr>
          <w:b w:val="0"/>
          <w:i w:val="0"/>
          <w:sz w:val="18"/>
        </w:rPr>
        <w:t xml:space="preserve"> Numerical. Prior expected profit is ordered separating outcome contract &gt; pooled outcome contract &gt; pooled usage contract at every </w:t>
      </w:r>
      <w:r>
        <w:rPr>
          <w:b w:val="0"/>
          <w:i/>
          <w:sz w:val="18"/>
        </w:rPr>
        <w:t>λ</w:t>
      </w:r>
      <w:r>
        <w:rPr>
          <w:b w:val="0"/>
          <w:i w:val="0"/>
          <w:sz w:val="18"/>
          <w:vertAlign w:val="subscript"/>
        </w:rPr>
        <w:t>c</w:t>
      </w:r>
      <w:r>
        <w:rPr>
          <w:b w:val="0"/>
          <w:i w:val="0"/>
          <w:sz w:val="18"/>
        </w:rPr>
        <w:t xml:space="preserve"> and </w:t>
      </w:r>
      <w:r>
        <w:rPr>
          <w:b w:val="0"/>
          <w:i/>
          <w:sz w:val="18"/>
        </w:rPr>
        <w:t>δ</w:t>
      </w:r>
      <w:r>
        <w:rPr>
          <w:b w:val="0"/>
          <w:i w:val="0"/>
          <w:sz w:val="18"/>
        </w:rPr>
        <w:t>.</w:t>
      </w:r>
    </w:p>
    <w:p>
      <w:pPr>
        <w:spacing w:after="0" w:before="0"/>
        <w:ind w:firstLine="720"/>
      </w:pPr>
      <w:r>
        <w:rPr>
          <w:b w:val="0"/>
          <w:i w:val="0"/>
        </w:rPr>
        <w:t xml:space="preserve">The policy implication, if one takes the numbers seriously, is that exclusion of complex tasks is a reach problem and not a pricing problem: no pricing instrument brings in complex tasks once </w:t>
      </w:r>
      <w:r>
        <w:rPr>
          <w:b w:val="0"/>
          <w:i/>
        </w:rPr>
        <w:t>δ</w:t>
      </w:r>
      <w:r>
        <w:rPr>
          <w:b w:val="0"/>
          <w:i w:val="0"/>
        </w:rPr>
        <w:t xml:space="preserve"> is below the critical value. We regard these extensions as illustrations. The complexity layer takes the stakes distribution to be the same in easy and complex tasks. If complex tasks also carry higher stakes, the exclusion in Proposition 3 compounds it.</w:t>
      </w:r>
    </w:p>
    <w:p>
      <w:pPr>
        <w:keepNext/>
        <w:spacing w:line="276" w:lineRule="auto" w:after="120" w:before="240"/>
      </w:pPr>
      <w:r>
        <w:rPr>
          <w:b/>
          <w:i w:val="0"/>
        </w:rPr>
        <w:t>E. Estimation Machinery for the NHPP Regression Layer</w:t>
      </w:r>
    </w:p>
    <w:p>
      <w:pPr>
        <w:spacing w:after="0" w:before="0"/>
        <w:ind w:firstLine="720"/>
      </w:pPr>
      <w:r>
        <w:rPr>
          <w:b w:val="0"/>
          <w:i w:val="0"/>
        </w:rPr>
        <w:t xml:space="preserve">The paper's theory is self-contained, and the model of the Methods section does not require estimation. For the empirical work that the model suggests, we built and validated a hierarchical Bayesian count model that estimates the pool </w:t>
      </w:r>
      <w:r>
        <w:rPr>
          <w:b w:val="0"/>
          <w:i/>
        </w:rPr>
        <w:t>a</w:t>
      </w:r>
      <w:r>
        <w:rPr>
          <w:b w:val="0"/>
          <w:i w:val="0"/>
        </w:rPr>
        <w:t xml:space="preserve"> and rate </w:t>
      </w:r>
      <w:r>
        <w:rPr>
          <w:b w:val="0"/>
          <w:i/>
        </w:rPr>
        <w:t>b</w:t>
      </w:r>
      <w:r>
        <w:rPr>
          <w:b w:val="0"/>
          <w:i w:val="0"/>
        </w:rPr>
        <w:t xml:space="preserve"> of paired human and AI-assisted test campaigns, with covariates for the use of AI assistance and for task complexity, and that carries posterior uncertainty to the net value of AI testing. This section documents what has been validated, using simulated data only. No estimates in the main text come from this model.</w:t>
      </w:r>
    </w:p>
    <w:p>
      <w:pPr>
        <w:spacing w:after="0" w:before="0"/>
        <w:ind w:firstLine="720"/>
      </w:pPr>
      <w:r>
        <w:rPr>
          <w:b w:val="0"/>
          <w:i/>
        </w:rPr>
        <w:t>Model.</w:t>
      </w:r>
      <w:r>
        <w:rPr>
          <w:b w:val="0"/>
          <w:i w:val="0"/>
        </w:rPr>
        <w:t xml:space="preserve"> For project </w:t>
      </w:r>
      <w:r>
        <w:rPr>
          <w:b w:val="0"/>
          <w:i/>
        </w:rPr>
        <w:t>i</w:t>
      </w:r>
      <w:r>
        <w:rPr>
          <w:b w:val="0"/>
          <w:i w:val="0"/>
        </w:rPr>
        <w:t xml:space="preserve"> and test condition </w:t>
      </w:r>
      <w:r>
        <w:rPr>
          <w:b w:val="0"/>
          <w:i/>
        </w:rPr>
        <w:t>L</w:t>
      </w:r>
      <w:r>
        <w:rPr>
          <w:b w:val="0"/>
          <w:i w:val="0"/>
        </w:rPr>
        <w:t xml:space="preserve"> ∈ {0, 1}, the expected number of faults found in interval (</w:t>
      </w:r>
      <w:r>
        <w:rPr>
          <w:b w:val="0"/>
          <w:i/>
        </w:rPr>
        <w:t>t</w:t>
      </w:r>
      <w:r>
        <w:rPr>
          <w:b w:val="0"/>
          <w:i w:val="0"/>
          <w:vertAlign w:val="subscript"/>
        </w:rPr>
        <w:t>*j*−1</w:t>
      </w:r>
      <w:r>
        <w:rPr>
          <w:b w:val="0"/>
          <w:i w:val="0"/>
        </w:rPr>
        <w:t xml:space="preserve">, </w:t>
      </w:r>
      <w:r>
        <w:rPr>
          <w:b w:val="0"/>
          <w:i/>
        </w:rPr>
        <w:t>t</w:t>
      </w:r>
      <w:r>
        <w:rPr>
          <w:b w:val="0"/>
          <w:i w:val="0"/>
          <w:vertAlign w:val="subscript"/>
        </w:rPr>
        <w:t>*j*</w:t>
      </w:r>
      <w:r>
        <w:rPr>
          <w:b w:val="0"/>
          <w:i w:val="0"/>
        </w:rPr>
        <w:t xml:space="preserve">] is </w:t>
      </w:r>
      <w:r>
        <w:rPr>
          <w:b w:val="0"/>
          <w:i/>
        </w:rPr>
        <w:t>a</w:t>
      </w:r>
      <w:r>
        <w:rPr>
          <w:b w:val="0"/>
          <w:i w:val="0"/>
          <w:vertAlign w:val="subscript"/>
        </w:rPr>
        <w:t>*iL*</w:t>
      </w:r>
      <w:r>
        <w:rPr>
          <w:b w:val="0"/>
          <w:i w:val="0"/>
        </w:rPr>
        <w:t>(e</w:t>
      </w:r>
      <w:r>
        <w:rPr>
          <w:b w:val="0"/>
          <w:i w:val="0"/>
          <w:vertAlign w:val="superscript"/>
        </w:rPr>
        <w:t>−*b*_{*iL*</w:t>
      </w:r>
      <w:r>
        <w:rPr>
          <w:b w:val="0"/>
          <w:i/>
        </w:rPr>
        <w:t>t</w:t>
      </w:r>
      <w:r>
        <w:rPr>
          <w:b w:val="0"/>
          <w:i w:val="0"/>
          <w:vertAlign w:val="subscript"/>
        </w:rPr>
        <w:t>*j*−1</w:t>
      </w:r>
      <w:r>
        <w:rPr>
          <w:b w:val="0"/>
          <w:i w:val="0"/>
        </w:rPr>
        <w:t>} − e</w:t>
      </w:r>
      <w:r>
        <w:rPr>
          <w:b w:val="0"/>
          <w:i w:val="0"/>
          <w:vertAlign w:val="superscript"/>
        </w:rPr>
        <w:t>−*b*_{*iL*</w:t>
      </w:r>
      <w:r>
        <w:rPr>
          <w:b w:val="0"/>
          <w:i/>
        </w:rPr>
        <w:t>t</w:t>
      </w:r>
      <w:r>
        <w:rPr>
          <w:b w:val="0"/>
          <w:i w:val="0"/>
          <w:vertAlign w:val="subscript"/>
        </w:rPr>
        <w:t>*j*</w:t>
      </w:r>
      <w:r>
        <w:rPr>
          <w:b w:val="0"/>
          <w:i w:val="0"/>
        </w:rPr>
        <w:t xml:space="preserve">}), the increment of a Goel–Okumoto mean value function. We set ln </w:t>
      </w:r>
      <w:r>
        <w:rPr>
          <w:b w:val="0"/>
          <w:i/>
        </w:rPr>
        <w:t>a</w:t>
      </w:r>
      <w:r>
        <w:rPr>
          <w:b w:val="0"/>
          <w:i w:val="0"/>
          <w:vertAlign w:val="subscript"/>
        </w:rPr>
        <w:t>*iL*</w:t>
      </w:r>
      <w:r>
        <w:rPr>
          <w:b w:val="0"/>
          <w:i w:val="0"/>
        </w:rPr>
        <w:t xml:space="preserve"> = </w:t>
      </w:r>
      <w:r>
        <w:rPr>
          <w:b w:val="0"/>
          <w:i/>
        </w:rPr>
        <w:t>β</w:t>
      </w:r>
      <w:r>
        <w:rPr>
          <w:b w:val="0"/>
          <w:i w:val="0"/>
          <w:vertAlign w:val="subscript"/>
        </w:rPr>
        <w:t>0</w:t>
      </w:r>
      <w:r>
        <w:rPr>
          <w:b w:val="0"/>
          <w:i w:val="0"/>
        </w:rPr>
        <w:t xml:space="preserve"> + </w:t>
      </w:r>
      <w:r>
        <w:rPr>
          <w:b w:val="0"/>
          <w:i/>
        </w:rPr>
        <w:t>β</w:t>
      </w:r>
      <w:r>
        <w:rPr>
          <w:b w:val="0"/>
          <w:i w:val="0"/>
          <w:vertAlign w:val="subscript"/>
        </w:rPr>
        <w:t>llm</w:t>
      </w:r>
      <w:r>
        <w:rPr>
          <w:b w:val="0"/>
          <w:i/>
        </w:rPr>
        <w:t>L</w:t>
      </w:r>
      <w:r>
        <w:rPr>
          <w:b w:val="0"/>
          <w:i w:val="0"/>
        </w:rPr>
        <w:t xml:space="preserve"> + </w:t>
      </w:r>
      <w:r>
        <w:rPr>
          <w:b w:val="0"/>
          <w:i/>
        </w:rPr>
        <w:t>β</w:t>
      </w:r>
      <w:r>
        <w:rPr>
          <w:b w:val="0"/>
          <w:i w:val="0"/>
          <w:vertAlign w:val="subscript"/>
        </w:rPr>
        <w:t>cx</w:t>
      </w:r>
      <w:r>
        <w:rPr>
          <w:b w:val="0"/>
          <w:i/>
        </w:rPr>
        <w:t>x</w:t>
      </w:r>
      <w:r>
        <w:rPr>
          <w:b w:val="0"/>
          <w:i w:val="0"/>
          <w:vertAlign w:val="subscript"/>
        </w:rPr>
        <w:t>*i*</w:t>
      </w:r>
      <w:r>
        <w:rPr>
          <w:b w:val="0"/>
          <w:i w:val="0"/>
        </w:rPr>
        <w:t xml:space="preserve"> + </w:t>
      </w:r>
      <w:r>
        <w:rPr>
          <w:b w:val="0"/>
          <w:i/>
        </w:rPr>
        <w:t>β</w:t>
      </w:r>
      <w:r>
        <w:rPr>
          <w:b w:val="0"/>
          <w:i w:val="0"/>
          <w:vertAlign w:val="subscript"/>
        </w:rPr>
        <w:t>int</w:t>
      </w:r>
      <w:r>
        <w:rPr>
          <w:b w:val="0"/>
          <w:i/>
        </w:rPr>
        <w:t>L x</w:t>
      </w:r>
      <w:r>
        <w:rPr>
          <w:b w:val="0"/>
          <w:i w:val="0"/>
          <w:vertAlign w:val="subscript"/>
        </w:rPr>
        <w:t>*i*</w:t>
      </w:r>
      <w:r>
        <w:rPr>
          <w:b w:val="0"/>
          <w:i w:val="0"/>
        </w:rPr>
        <w:t xml:space="preserve"> + </w:t>
      </w:r>
      <w:r>
        <w:rPr>
          <w:b w:val="0"/>
          <w:i/>
        </w:rPr>
        <w:t>u</w:t>
      </w:r>
      <w:r>
        <w:rPr>
          <w:b w:val="0"/>
          <w:i w:val="0"/>
          <w:vertAlign w:val="subscript"/>
        </w:rPr>
        <w:t>*i*</w:t>
      </w:r>
      <w:r>
        <w:rPr>
          <w:b w:val="0"/>
          <w:i w:val="0"/>
        </w:rPr>
        <w:t xml:space="preserve"> and ln </w:t>
      </w:r>
      <w:r>
        <w:rPr>
          <w:b w:val="0"/>
          <w:i/>
        </w:rPr>
        <w:t>b</w:t>
      </w:r>
      <w:r>
        <w:rPr>
          <w:b w:val="0"/>
          <w:i w:val="0"/>
          <w:vertAlign w:val="subscript"/>
        </w:rPr>
        <w:t>*iL*</w:t>
      </w:r>
      <w:r>
        <w:rPr>
          <w:b w:val="0"/>
          <w:i w:val="0"/>
        </w:rPr>
        <w:t xml:space="preserve"> = </w:t>
      </w:r>
      <w:r>
        <w:rPr>
          <w:b w:val="0"/>
          <w:i/>
        </w:rPr>
        <w:t>γ</w:t>
      </w:r>
      <w:r>
        <w:rPr>
          <w:b w:val="0"/>
          <w:i w:val="0"/>
          <w:vertAlign w:val="subscript"/>
        </w:rPr>
        <w:t>0</w:t>
      </w:r>
      <w:r>
        <w:rPr>
          <w:b w:val="0"/>
          <w:i w:val="0"/>
        </w:rPr>
        <w:t xml:space="preserve"> + </w:t>
      </w:r>
      <w:r>
        <w:rPr>
          <w:b w:val="0"/>
          <w:i/>
        </w:rPr>
        <w:t>γ</w:t>
      </w:r>
      <w:r>
        <w:rPr>
          <w:b w:val="0"/>
          <w:i w:val="0"/>
          <w:vertAlign w:val="subscript"/>
        </w:rPr>
        <w:t>llm</w:t>
      </w:r>
      <w:r>
        <w:rPr>
          <w:b w:val="0"/>
          <w:i/>
        </w:rPr>
        <w:t>L</w:t>
      </w:r>
      <w:r>
        <w:rPr>
          <w:b w:val="0"/>
          <w:i w:val="0"/>
        </w:rPr>
        <w:t xml:space="preserve"> + </w:t>
      </w:r>
      <w:r>
        <w:rPr>
          <w:b w:val="0"/>
          <w:i/>
        </w:rPr>
        <w:t>γ</w:t>
      </w:r>
      <w:r>
        <w:rPr>
          <w:b w:val="0"/>
          <w:i w:val="0"/>
          <w:vertAlign w:val="subscript"/>
        </w:rPr>
        <w:t>cx</w:t>
      </w:r>
      <w:r>
        <w:rPr>
          <w:b w:val="0"/>
          <w:i/>
        </w:rPr>
        <w:t>x</w:t>
      </w:r>
      <w:r>
        <w:rPr>
          <w:b w:val="0"/>
          <w:i w:val="0"/>
          <w:vertAlign w:val="subscript"/>
        </w:rPr>
        <w:t>*i*</w:t>
      </w:r>
      <w:r>
        <w:rPr>
          <w:b w:val="0"/>
          <w:i w:val="0"/>
        </w:rPr>
        <w:t xml:space="preserve"> + </w:t>
      </w:r>
      <w:r>
        <w:rPr>
          <w:b w:val="0"/>
          <w:i/>
        </w:rPr>
        <w:t>v</w:t>
      </w:r>
      <w:r>
        <w:rPr>
          <w:b w:val="0"/>
          <w:i w:val="0"/>
          <w:vertAlign w:val="subscript"/>
        </w:rPr>
        <w:t>*i*</w:t>
      </w:r>
      <w:r>
        <w:rPr>
          <w:b w:val="0"/>
          <w:i w:val="0"/>
        </w:rPr>
        <w:t xml:space="preserve">, where </w:t>
      </w:r>
      <w:r>
        <w:rPr>
          <w:b w:val="0"/>
          <w:i/>
        </w:rPr>
        <w:t>x</w:t>
      </w:r>
      <w:r>
        <w:rPr>
          <w:b w:val="0"/>
          <w:i w:val="0"/>
          <w:vertAlign w:val="subscript"/>
        </w:rPr>
        <w:t>*i*</w:t>
      </w:r>
      <w:r>
        <w:rPr>
          <w:b w:val="0"/>
          <w:i w:val="0"/>
        </w:rPr>
        <w:t xml:space="preserve"> is task complexity and </w:t>
      </w:r>
      <w:r>
        <w:rPr>
          <w:b w:val="0"/>
          <w:i/>
        </w:rPr>
        <w:t>u</w:t>
      </w:r>
      <w:r>
        <w:rPr>
          <w:b w:val="0"/>
          <w:i w:val="0"/>
        </w:rPr>
        <w:t xml:space="preserve">, </w:t>
      </w:r>
      <w:r>
        <w:rPr>
          <w:b w:val="0"/>
          <w:i/>
        </w:rPr>
        <w:t>v</w:t>
      </w:r>
      <w:r>
        <w:rPr>
          <w:b w:val="0"/>
          <w:i w:val="0"/>
        </w:rPr>
        <w:t xml:space="preserve"> are project random effects. Counts are Poisson, or negative binomial (gamma-mixed Poisson) with dispersion </w:t>
      </w:r>
      <w:r>
        <w:rPr>
          <w:b w:val="0"/>
          <w:i/>
        </w:rPr>
        <w:t>α</w:t>
      </w:r>
      <w:r>
        <w:rPr>
          <w:b w:val="0"/>
          <w:i w:val="0"/>
        </w:rPr>
        <w:t xml:space="preserve"> for overdispersion. The model is implemented in PyMC with NUTS sampling. From the posterior we compute the cost-minimizing budget </w:t>
      </w:r>
      <w:r>
        <w:rPr>
          <w:b w:val="0"/>
          <w:i/>
        </w:rPr>
        <w:t>T</w:t>
      </w:r>
      <w:r>
        <w:rPr>
          <w:b w:val="0"/>
          <w:i w:val="0"/>
          <w:vertAlign w:val="superscript"/>
        </w:rPr>
        <w:t>*</w:t>
      </w:r>
      <w:r>
        <w:rPr>
          <w:b w:val="0"/>
          <w:i w:val="0"/>
        </w:rPr>
        <w:t xml:space="preserve"> and the net value </w:t>
      </w:r>
      <w:r>
        <w:rPr>
          <w:b w:val="0"/>
          <w:i/>
        </w:rPr>
        <w:t>V</w:t>
      </w:r>
      <w:r>
        <w:rPr>
          <w:b w:val="0"/>
          <w:i w:val="0"/>
        </w:rPr>
        <w:t xml:space="preserve"> of AI-assisted testing at three complexity levels, as in Lemma 1.</w:t>
      </w:r>
    </w:p>
    <w:p>
      <w:pPr>
        <w:spacing w:after="0" w:before="0"/>
        <w:ind w:firstLine="720"/>
      </w:pPr>
      <w:r>
        <w:rPr>
          <w:b w:val="0"/>
          <w:i/>
        </w:rPr>
        <w:t>Calibration check.</w:t>
      </w:r>
      <w:r>
        <w:rPr>
          <w:b w:val="0"/>
          <w:i w:val="0"/>
        </w:rPr>
        <w:t xml:space="preserve"> We simulated 60 independent datasets (30 projects, 20 intervals, paired design) from fixed true parameters, refit the model to each, and recorded whether the 89 percent central posterior interval covered the true value. Coverage across the ten model parameters ranged from 0.83 to 0.97 (mean about 0.89), and for the net value </w:t>
      </w:r>
      <w:r>
        <w:rPr>
          <w:b w:val="0"/>
          <w:i/>
        </w:rPr>
        <w:t>V</w:t>
      </w:r>
      <w:r>
        <w:rPr>
          <w:b w:val="0"/>
          <w:i w:val="0"/>
        </w:rPr>
        <w:t xml:space="preserve"> at complexity −1, 0, and +1 it was 0.88, 0.93, and 0.87. One of the 60 fits reported divergent transitions. The posterior probability that </w:t>
      </w:r>
      <w:r>
        <w:rPr>
          <w:b w:val="0"/>
          <w:i/>
        </w:rPr>
        <w:t>V</w:t>
      </w:r>
      <w:r>
        <w:rPr>
          <w:b w:val="0"/>
          <w:i w:val="0"/>
        </w:rPr>
        <w:t xml:space="preserve"> &gt; 0 pointed to the correct sign in 93, 65, and 87 percent of replications at the three complexity levels; the middle figure is low because the true value is close to zero there. These checks establish that the model recovers the data-generating process when it is correctly specified, and they say nothing about performance on real data.</w:t>
      </w:r>
    </w:p>
    <w:p>
      <w:pPr>
        <w:spacing w:after="0" w:before="0"/>
        <w:ind w:firstLine="720"/>
      </w:pPr>
      <w:r>
        <w:rPr>
          <w:b w:val="0"/>
          <w:i/>
        </w:rPr>
        <w:t>Sensitivity.</w:t>
      </w:r>
      <w:r>
        <w:rPr>
          <w:b w:val="0"/>
          <w:i w:val="0"/>
        </w:rPr>
        <w:t xml:space="preserve"> We evaluated the posterior mean of </w:t>
      </w:r>
      <w:r>
        <w:rPr>
          <w:b w:val="0"/>
          <w:i/>
        </w:rPr>
        <w:t>V</w:t>
      </w:r>
      <w:r>
        <w:rPr>
          <w:b w:val="0"/>
          <w:i w:val="0"/>
        </w:rPr>
        <w:t xml:space="preserve"> and Pr(</w:t>
      </w:r>
      <w:r>
        <w:rPr>
          <w:b w:val="0"/>
          <w:i/>
        </w:rPr>
        <w:t>V</w:t>
      </w:r>
      <w:r>
        <w:rPr>
          <w:b w:val="0"/>
          <w:i w:val="0"/>
        </w:rPr>
        <w:t xml:space="preserve"> &gt; 0) over a grid of the cost of a field fault (0.5 to 20) and the cost premium of AI testing (1.0 to 3.0 times human). The sign of </w:t>
      </w:r>
      <w:r>
        <w:rPr>
          <w:b w:val="0"/>
          <w:i/>
        </w:rPr>
        <w:t>V</w:t>
      </w:r>
      <w:r>
        <w:rPr>
          <w:b w:val="0"/>
          <w:i w:val="0"/>
        </w:rPr>
        <w:t xml:space="preserve"> depends on the premium, on the field-fault cost, and on task complexity, but posterior intervals are wide: at the default economics (field-fault cost 3, premium 1.3) the 89 percent interval for </w:t>
      </w:r>
      <w:r>
        <w:rPr>
          <w:b w:val="0"/>
          <w:i/>
        </w:rPr>
        <w:t>V</w:t>
      </w:r>
      <w:r>
        <w:rPr>
          <w:b w:val="0"/>
          <w:i w:val="0"/>
        </w:rPr>
        <w:t xml:space="preserve"> has width 10 to 20 depending on complexity. At several grid points the posterior mean has the opposite sign to the value implied by the data-generating parameters, within the interval. Poisson and negative-binomial fits give similar posterior means (for example </w:t>
      </w:r>
      <w:r>
        <w:rPr>
          <w:b w:val="0"/>
          <w:i/>
        </w:rPr>
        <w:t>V</w:t>
      </w:r>
      <w:r>
        <w:rPr>
          <w:b w:val="0"/>
          <w:i w:val="0"/>
        </w:rPr>
        <w:t xml:space="preserve"> = 4.49 versus 4.61 at average complexity), and the Poisson model has slightly narrower intervals (10.35 versus 10.67), which is the cost of ignoring overdispersion. The point of the exercise is that the economic conclusion from a single study of this size would be imprecise, which is a reason to treat the structural results of the paper as the contribution and not the numerical value of </w:t>
      </w:r>
      <w:r>
        <w:rPr>
          <w:b w:val="0"/>
          <w:i/>
        </w:rPr>
        <w:t>V</w:t>
      </w:r>
      <w:r>
        <w:rPr>
          <w:b w:val="0"/>
          <w:i w:val="0"/>
        </w:rPr>
        <w:t>. The grid is in `sensitivity_results.csv`.</w:t>
      </w:r>
    </w:p>
    <w:p>
      <w:pPr>
        <w:keepNext/>
        <w:spacing w:line="276" w:lineRule="auto" w:after="120" w:before="240"/>
      </w:pPr>
      <w:r>
        <w:rPr>
          <w:b/>
          <w:i w:val="0"/>
        </w:rPr>
        <w:t>F. Public-Data Analyses</w:t>
      </w:r>
    </w:p>
    <w:p>
      <w:pPr>
        <w:spacing w:after="0" w:before="0"/>
        <w:ind w:firstLine="720"/>
      </w:pPr>
      <w:r>
        <w:rPr>
          <w:b w:val="0"/>
          <w:i w:val="0"/>
        </w:rPr>
        <w:t>All data in this section are publicly available. Code and derived tables are in the replication package; the raw files are downloaded by the scripts and are not redistributed.</w:t>
      </w:r>
    </w:p>
    <w:p>
      <w:pPr>
        <w:keepNext/>
        <w:spacing w:line="276" w:lineRule="auto" w:after="80" w:before="160"/>
      </w:pPr>
      <w:r>
        <w:rPr>
          <w:b/>
          <w:i/>
        </w:rPr>
        <w:t>F.1 SWE-bench Verified and agent trajectories</w:t>
      </w:r>
    </w:p>
    <w:p>
      <w:pPr>
        <w:spacing w:after="0" w:before="0"/>
        <w:ind w:firstLine="720"/>
      </w:pPr>
      <w:r>
        <w:rPr>
          <w:b w:val="0"/>
          <w:i w:val="0"/>
        </w:rPr>
        <w:t>SWE-bench Verified (500 software-engineering tasks from 12 Python repositories) provides a human-assigned difficulty label based on the time an engineer would need: under 15 minutes (194 tasks), 15 minutes to 1 hour (261), 1 to 4 hours (42), over 4 hours (3). A published single run of a reasoning model on 495 of these tasks gives the resolution rates in Table F1. We also analyzed 80,036 trajectories on 3,591 task instances from a public collection of coding-agent runs (Nebius), most of them from a 70-billion-parameter open-weight model, to see how the share of tasks solved depends on the number of attempts.</w:t>
      </w:r>
    </w:p>
    <w:p>
      <w:pPr>
        <w:keepNext/>
        <w:spacing w:line="276" w:lineRule="auto" w:after="80" w:before="200"/>
      </w:pPr>
      <w:r>
        <w:rPr>
          <w:b/>
          <w:i w:val="0"/>
        </w:rPr>
        <w:t>Table F1.</w:t>
      </w:r>
      <w:r>
        <w:rPr>
          <w:b w:val="0"/>
          <w:i w:val="0"/>
        </w:rPr>
        <w:t xml:space="preserve"> Agent resolution rate by human fix time (SWE-bench Verified, one reasoning-model run)</w:t>
      </w:r>
    </w:p>
    <w:tbl>
      <w:tblPr>
        <w:tblW w:type="auto" w:w="0"/>
        <w:jc w:val="center"/>
        <w:tblLook w:firstColumn="1" w:firstRow="1" w:lastColumn="0" w:lastRow="0" w:noHBand="0" w:noVBand="1" w:val="04A0"/>
      </w:tblPr>
      <w:tblGrid>
        <w:gridCol w:w="2340"/>
        <w:gridCol w:w="2340"/>
        <w:gridCol w:w="2340"/>
        <w:gridCol w:w="2340"/>
      </w:tblGrid>
      <w:tr>
        <w:tc>
          <w:tcPr>
            <w:tcW w:type="dxa" w:w="3312"/>
            <w:tcBorders>
              <w:top w:val="single" w:sz="12" w:color="000000"/>
              <w:bottom w:val="single" w:sz="6" w:color="000000"/>
            </w:tcBorders>
          </w:tcPr>
          <w:p>
            <w:pPr>
              <w:spacing w:line="240" w:lineRule="auto" w:after="20" w:before="20"/>
            </w:pPr>
            <w:r/>
            <w:r>
              <w:rPr>
                <w:b/>
                <w:i w:val="0"/>
                <w:sz w:val="20"/>
              </w:rPr>
              <w:t>Human fix time</w:t>
            </w:r>
          </w:p>
        </w:tc>
        <w:tc>
          <w:tcPr>
            <w:tcW w:type="dxa" w:w="1440"/>
            <w:tcBorders>
              <w:top w:val="single" w:sz="12" w:color="000000"/>
              <w:bottom w:val="single" w:sz="6" w:color="000000"/>
            </w:tcBorders>
          </w:tcPr>
          <w:p>
            <w:pPr>
              <w:spacing w:line="240" w:lineRule="auto" w:after="20" w:before="20"/>
              <w:jc w:val="center"/>
            </w:pPr>
            <w:r/>
            <w:r>
              <w:rPr>
                <w:b/>
                <w:i w:val="0"/>
                <w:sz w:val="20"/>
              </w:rPr>
              <w:t>Tasks</w:t>
            </w:r>
          </w:p>
        </w:tc>
        <w:tc>
          <w:tcPr>
            <w:tcW w:type="dxa" w:w="1728"/>
            <w:tcBorders>
              <w:top w:val="single" w:sz="12" w:color="000000"/>
              <w:bottom w:val="single" w:sz="6" w:color="000000"/>
            </w:tcBorders>
          </w:tcPr>
          <w:p>
            <w:pPr>
              <w:spacing w:line="240" w:lineRule="auto" w:after="20" w:before="20"/>
              <w:jc w:val="center"/>
            </w:pPr>
            <w:r/>
            <w:r>
              <w:rPr>
                <w:b/>
                <w:i w:val="0"/>
                <w:sz w:val="20"/>
              </w:rPr>
              <w:t>Resolved</w:t>
            </w:r>
          </w:p>
        </w:tc>
        <w:tc>
          <w:tcPr>
            <w:tcW w:type="dxa" w:w="2592"/>
            <w:tcBorders>
              <w:top w:val="single" w:sz="12" w:color="000000"/>
              <w:bottom w:val="single" w:sz="6" w:color="000000"/>
            </w:tcBorders>
          </w:tcPr>
          <w:p>
            <w:pPr>
              <w:spacing w:line="240" w:lineRule="auto" w:after="20" w:before="20"/>
              <w:jc w:val="center"/>
            </w:pPr>
            <w:r/>
            <w:r>
              <w:rPr>
                <w:b/>
                <w:i w:val="0"/>
                <w:sz w:val="20"/>
              </w:rPr>
              <w:t>Mean conversation turns</w:t>
            </w:r>
          </w:p>
        </w:tc>
      </w:tr>
      <w:tr>
        <w:tc>
          <w:tcPr>
            <w:tcW w:type="dxa" w:w="3312"/>
          </w:tcPr>
          <w:p>
            <w:pPr>
              <w:spacing w:line="240" w:lineRule="auto" w:after="20" w:before="20"/>
            </w:pPr>
            <w:r/>
            <w:r>
              <w:rPr>
                <w:b w:val="0"/>
                <w:i w:val="0"/>
                <w:sz w:val="20"/>
              </w:rPr>
              <w:t>Under 15 minutes</w:t>
            </w:r>
          </w:p>
        </w:tc>
        <w:tc>
          <w:tcPr>
            <w:tcW w:type="dxa" w:w="1440"/>
          </w:tcPr>
          <w:p>
            <w:pPr>
              <w:spacing w:line="240" w:lineRule="auto" w:after="20" w:before="20"/>
              <w:jc w:val="center"/>
            </w:pPr>
            <w:r/>
            <w:r>
              <w:rPr>
                <w:b w:val="0"/>
                <w:i w:val="0"/>
                <w:sz w:val="20"/>
              </w:rPr>
              <w:t>193</w:t>
            </w:r>
          </w:p>
        </w:tc>
        <w:tc>
          <w:tcPr>
            <w:tcW w:type="dxa" w:w="1728"/>
          </w:tcPr>
          <w:p>
            <w:pPr>
              <w:spacing w:line="240" w:lineRule="auto" w:after="20" w:before="20"/>
              <w:jc w:val="center"/>
            </w:pPr>
            <w:r/>
            <w:r>
              <w:rPr>
                <w:b w:val="0"/>
                <w:i w:val="0"/>
                <w:sz w:val="20"/>
              </w:rPr>
              <w:t>39.9%</w:t>
            </w:r>
          </w:p>
        </w:tc>
        <w:tc>
          <w:tcPr>
            <w:tcW w:type="dxa" w:w="2592"/>
          </w:tcPr>
          <w:p>
            <w:pPr>
              <w:spacing w:line="240" w:lineRule="auto" w:after="20" w:before="20"/>
              <w:jc w:val="center"/>
            </w:pPr>
            <w:r/>
            <w:r>
              <w:rPr>
                <w:b w:val="0"/>
                <w:i w:val="0"/>
                <w:sz w:val="20"/>
              </w:rPr>
              <w:t>17.9</w:t>
            </w:r>
          </w:p>
        </w:tc>
      </w:tr>
      <w:tr>
        <w:tc>
          <w:tcPr>
            <w:tcW w:type="dxa" w:w="3312"/>
          </w:tcPr>
          <w:p>
            <w:pPr>
              <w:spacing w:line="240" w:lineRule="auto" w:after="20" w:before="20"/>
            </w:pPr>
            <w:r/>
            <w:r>
              <w:rPr>
                <w:b w:val="0"/>
                <w:i w:val="0"/>
                <w:sz w:val="20"/>
              </w:rPr>
              <w:t>15 minutes to 1 hour</w:t>
            </w:r>
          </w:p>
        </w:tc>
        <w:tc>
          <w:tcPr>
            <w:tcW w:type="dxa" w:w="1440"/>
          </w:tcPr>
          <w:p>
            <w:pPr>
              <w:spacing w:line="240" w:lineRule="auto" w:after="20" w:before="20"/>
              <w:jc w:val="center"/>
            </w:pPr>
            <w:r/>
            <w:r>
              <w:rPr>
                <w:b w:val="0"/>
                <w:i w:val="0"/>
                <w:sz w:val="20"/>
              </w:rPr>
              <w:t>258</w:t>
            </w:r>
          </w:p>
        </w:tc>
        <w:tc>
          <w:tcPr>
            <w:tcW w:type="dxa" w:w="1728"/>
          </w:tcPr>
          <w:p>
            <w:pPr>
              <w:spacing w:line="240" w:lineRule="auto" w:after="20" w:before="20"/>
              <w:jc w:val="center"/>
            </w:pPr>
            <w:r/>
            <w:r>
              <w:rPr>
                <w:b w:val="0"/>
                <w:i w:val="0"/>
                <w:sz w:val="20"/>
              </w:rPr>
              <w:t>25.2%</w:t>
            </w:r>
          </w:p>
        </w:tc>
        <w:tc>
          <w:tcPr>
            <w:tcW w:type="dxa" w:w="2592"/>
          </w:tcPr>
          <w:p>
            <w:pPr>
              <w:spacing w:line="240" w:lineRule="auto" w:after="20" w:before="20"/>
              <w:jc w:val="center"/>
            </w:pPr>
            <w:r/>
            <w:r>
              <w:rPr>
                <w:b w:val="0"/>
                <w:i w:val="0"/>
                <w:sz w:val="20"/>
              </w:rPr>
              <w:t>20.0</w:t>
            </w:r>
          </w:p>
        </w:tc>
      </w:tr>
      <w:tr>
        <w:tc>
          <w:tcPr>
            <w:tcW w:type="dxa" w:w="3312"/>
          </w:tcPr>
          <w:p>
            <w:pPr>
              <w:spacing w:line="240" w:lineRule="auto" w:after="20" w:before="20"/>
            </w:pPr>
            <w:r/>
            <w:r>
              <w:rPr>
                <w:b w:val="0"/>
                <w:i w:val="0"/>
                <w:sz w:val="20"/>
              </w:rPr>
              <w:t>1 to 4 hours</w:t>
            </w:r>
          </w:p>
        </w:tc>
        <w:tc>
          <w:tcPr>
            <w:tcW w:type="dxa" w:w="1440"/>
          </w:tcPr>
          <w:p>
            <w:pPr>
              <w:spacing w:line="240" w:lineRule="auto" w:after="20" w:before="20"/>
              <w:jc w:val="center"/>
            </w:pPr>
            <w:r/>
            <w:r>
              <w:rPr>
                <w:b w:val="0"/>
                <w:i w:val="0"/>
                <w:sz w:val="20"/>
              </w:rPr>
              <w:t>41</w:t>
            </w:r>
          </w:p>
        </w:tc>
        <w:tc>
          <w:tcPr>
            <w:tcW w:type="dxa" w:w="1728"/>
          </w:tcPr>
          <w:p>
            <w:pPr>
              <w:spacing w:line="240" w:lineRule="auto" w:after="20" w:before="20"/>
              <w:jc w:val="center"/>
            </w:pPr>
            <w:r/>
            <w:r>
              <w:rPr>
                <w:b w:val="0"/>
                <w:i w:val="0"/>
                <w:sz w:val="20"/>
              </w:rPr>
              <w:t>4.9%</w:t>
            </w:r>
          </w:p>
        </w:tc>
        <w:tc>
          <w:tcPr>
            <w:tcW w:type="dxa" w:w="2592"/>
          </w:tcPr>
          <w:p>
            <w:pPr>
              <w:spacing w:line="240" w:lineRule="auto" w:after="20" w:before="20"/>
              <w:jc w:val="center"/>
            </w:pPr>
            <w:r/>
            <w:r>
              <w:rPr>
                <w:b w:val="0"/>
                <w:i w:val="0"/>
                <w:sz w:val="20"/>
              </w:rPr>
              <w:t>22.0</w:t>
            </w:r>
          </w:p>
        </w:tc>
      </w:tr>
      <w:tr>
        <w:tc>
          <w:tcPr>
            <w:tcW w:type="dxa" w:w="3312"/>
          </w:tcPr>
          <w:p>
            <w:pPr>
              <w:spacing w:line="240" w:lineRule="auto" w:after="20" w:before="20"/>
            </w:pPr>
            <w:r/>
            <w:r>
              <w:rPr>
                <w:b w:val="0"/>
                <w:i w:val="0"/>
                <w:sz w:val="20"/>
              </w:rPr>
              <w:t>Over 4 hours</w:t>
            </w:r>
          </w:p>
        </w:tc>
        <w:tc>
          <w:tcPr>
            <w:tcW w:type="dxa" w:w="1440"/>
          </w:tcPr>
          <w:p>
            <w:pPr>
              <w:spacing w:line="240" w:lineRule="auto" w:after="20" w:before="20"/>
              <w:jc w:val="center"/>
            </w:pPr>
            <w:r/>
            <w:r>
              <w:rPr>
                <w:b w:val="0"/>
                <w:i w:val="0"/>
                <w:sz w:val="20"/>
              </w:rPr>
              <w:t>3</w:t>
            </w:r>
          </w:p>
        </w:tc>
        <w:tc>
          <w:tcPr>
            <w:tcW w:type="dxa" w:w="1728"/>
          </w:tcPr>
          <w:p>
            <w:pPr>
              <w:spacing w:line="240" w:lineRule="auto" w:after="20" w:before="20"/>
              <w:jc w:val="center"/>
            </w:pPr>
            <w:r/>
            <w:r>
              <w:rPr>
                <w:b w:val="0"/>
                <w:i w:val="0"/>
                <w:sz w:val="20"/>
              </w:rPr>
              <w:t>0%</w:t>
            </w:r>
          </w:p>
        </w:tc>
        <w:tc>
          <w:tcPr>
            <w:tcW w:type="dxa" w:w="2592"/>
          </w:tcPr>
          <w:p>
            <w:pPr>
              <w:spacing w:line="240" w:lineRule="auto" w:after="20" w:before="20"/>
              <w:jc w:val="center"/>
            </w:pPr>
            <w:r/>
            <w:r>
              <w:rPr>
                <w:b w:val="0"/>
                <w:i w:val="0"/>
                <w:sz w:val="20"/>
              </w:rPr>
              <w:t>37.3</w:t>
            </w:r>
          </w:p>
        </w:tc>
      </w:tr>
      <w:tr>
        <w:tc>
          <w:tcPr>
            <w:tcW w:type="dxa" w:w="3312"/>
            <w:tcBorders>
              <w:bottom w:val="single" w:sz="12" w:color="000000"/>
            </w:tcBorders>
          </w:tcPr>
          <w:p>
            <w:pPr>
              <w:spacing w:line="240" w:lineRule="auto" w:after="20" w:before="20"/>
            </w:pPr>
            <w:r/>
            <w:r>
              <w:rPr>
                <w:b w:val="0"/>
                <w:i w:val="0"/>
                <w:sz w:val="20"/>
              </w:rPr>
              <w:t>All</w:t>
            </w:r>
          </w:p>
        </w:tc>
        <w:tc>
          <w:tcPr>
            <w:tcW w:type="dxa" w:w="1440"/>
            <w:tcBorders>
              <w:bottom w:val="single" w:sz="12" w:color="000000"/>
            </w:tcBorders>
          </w:tcPr>
          <w:p>
            <w:pPr>
              <w:spacing w:line="240" w:lineRule="auto" w:after="20" w:before="20"/>
              <w:jc w:val="center"/>
            </w:pPr>
            <w:r/>
            <w:r>
              <w:rPr>
                <w:b w:val="0"/>
                <w:i w:val="0"/>
                <w:sz w:val="20"/>
              </w:rPr>
              <w:t>495</w:t>
            </w:r>
          </w:p>
        </w:tc>
        <w:tc>
          <w:tcPr>
            <w:tcW w:type="dxa" w:w="1728"/>
            <w:tcBorders>
              <w:bottom w:val="single" w:sz="12" w:color="000000"/>
            </w:tcBorders>
          </w:tcPr>
          <w:p>
            <w:pPr>
              <w:spacing w:line="240" w:lineRule="auto" w:after="20" w:before="20"/>
              <w:jc w:val="center"/>
            </w:pPr>
            <w:r/>
            <w:r>
              <w:rPr>
                <w:b w:val="0"/>
                <w:i w:val="0"/>
                <w:sz w:val="20"/>
              </w:rPr>
              <w:t>29.1%</w:t>
            </w:r>
          </w:p>
        </w:tc>
        <w:tc>
          <w:tcPr>
            <w:tcW w:type="dxa" w:w="2592"/>
            <w:tcBorders>
              <w:bottom w:val="single" w:sz="12" w:color="000000"/>
            </w:tcBorders>
          </w:tcPr>
          <w:p>
            <w:pPr>
              <w:spacing w:line="240" w:lineRule="auto" w:after="20" w:before="20"/>
              <w:jc w:val="center"/>
            </w:pPr>
            <w:r/>
          </w:p>
        </w:tc>
      </w:tr>
    </w:tbl>
    <w:p>
      <w:pPr>
        <w:spacing w:line="240" w:lineRule="auto" w:after="160" w:before="60"/>
      </w:pPr>
      <w:r>
        <w:rPr>
          <w:b w:val="0"/>
          <w:i/>
          <w:sz w:val="18"/>
        </w:rPr>
        <w:t>Notes.</w:t>
      </w:r>
      <w:r>
        <w:rPr>
          <w:b w:val="0"/>
          <w:i w:val="0"/>
          <w:sz w:val="18"/>
        </w:rPr>
        <w:t xml:space="preserve"> The result is a task-level resolution rate, not a fault-detection rate. The run dates from 2024.</w:t>
      </w:r>
    </w:p>
    <w:p>
      <w:pPr>
        <w:keepNext/>
        <w:spacing w:line="276" w:lineRule="auto" w:after="80" w:before="200"/>
      </w:pPr>
      <w:r>
        <w:rPr>
          <w:b/>
          <w:i w:val="0"/>
        </w:rPr>
        <w:t>Table F2.</w:t>
      </w:r>
      <w:r>
        <w:rPr>
          <w:b w:val="0"/>
          <w:i w:val="0"/>
        </w:rPr>
        <w:t xml:space="preserve"> Heterogeneous-instance model fits to agent trajectories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tcBorders>
              <w:top w:val="single" w:sz="12" w:color="000000"/>
              <w:bottom w:val="single" w:sz="6" w:color="000000"/>
            </w:tcBorders>
          </w:tcPr>
          <w:p>
            <w:pPr>
              <w:spacing w:line="240" w:lineRule="auto" w:after="20" w:before="20"/>
            </w:pPr>
            <w:r/>
            <w:r>
              <w:rPr>
                <w:b/>
                <w:i w:val="0"/>
                <w:sz w:val="18"/>
              </w:rPr>
              <w:t>Model</w:t>
            </w:r>
          </w:p>
        </w:tc>
        <w:tc>
          <w:tcPr>
            <w:tcW w:type="dxa" w:w="1152"/>
            <w:tcBorders>
              <w:top w:val="single" w:sz="12" w:color="000000"/>
              <w:bottom w:val="single" w:sz="6" w:color="000000"/>
            </w:tcBorders>
          </w:tcPr>
          <w:p>
            <w:pPr>
              <w:spacing w:line="240" w:lineRule="auto" w:after="20" w:before="20"/>
              <w:jc w:val="center"/>
            </w:pPr>
            <w:r/>
            <w:r>
              <w:rPr>
                <w:b/>
                <w:i w:val="0"/>
                <w:sz w:val="18"/>
              </w:rPr>
              <w:t>Instances</w:t>
            </w:r>
          </w:p>
        </w:tc>
        <w:tc>
          <w:tcPr>
            <w:tcW w:type="dxa" w:w="1440"/>
            <w:tcBorders>
              <w:top w:val="single" w:sz="12" w:color="000000"/>
              <w:bottom w:val="single" w:sz="6" w:color="000000"/>
            </w:tcBorders>
          </w:tcPr>
          <w:p>
            <w:pPr>
              <w:spacing w:line="240" w:lineRule="auto" w:after="20" w:before="20"/>
              <w:jc w:val="center"/>
            </w:pPr>
            <w:r/>
            <w:r>
              <w:rPr>
                <w:b/>
                <w:i w:val="0"/>
                <w:sz w:val="18"/>
              </w:rPr>
              <w:t>Per-attempt success</w:t>
            </w:r>
          </w:p>
        </w:tc>
        <w:tc>
          <w:tcPr>
            <w:tcW w:type="dxa" w:w="1872"/>
            <w:tcBorders>
              <w:top w:val="single" w:sz="12" w:color="000000"/>
              <w:bottom w:val="single" w:sz="6" w:color="000000"/>
            </w:tcBorders>
          </w:tcPr>
          <w:p>
            <w:pPr>
              <w:spacing w:line="240" w:lineRule="auto" w:after="20" w:before="20"/>
              <w:jc w:val="center"/>
            </w:pPr>
            <w:r/>
            <w:r>
              <w:rPr>
                <w:b/>
                <w:i w:val="0"/>
                <w:sz w:val="18"/>
              </w:rPr>
              <w:t>Solved at least once (12 attempts)</w:t>
            </w:r>
          </w:p>
        </w:tc>
        <w:tc>
          <w:tcPr>
            <w:tcW w:type="dxa" w:w="1872"/>
            <w:tcBorders>
              <w:top w:val="single" w:sz="12" w:color="000000"/>
              <w:bottom w:val="single" w:sz="6" w:color="000000"/>
            </w:tcBorders>
          </w:tcPr>
          <w:p>
            <w:pPr>
              <w:spacing w:line="240" w:lineRule="auto" w:after="20" w:before="20"/>
              <w:jc w:val="center"/>
            </w:pPr>
            <w:r/>
            <w:r>
              <w:rPr>
                <w:b/>
                <w:i w:val="0"/>
                <w:sz w:val="18"/>
              </w:rPr>
              <w:t>Asymptotic reach (89% interval)</w:t>
            </w:r>
          </w:p>
        </w:tc>
        <w:tc>
          <w:tcPr>
            <w:tcW w:type="dxa" w:w="2016"/>
            <w:tcBorders>
              <w:top w:val="single" w:sz="12" w:color="000000"/>
              <w:bottom w:val="single" w:sz="6" w:color="000000"/>
            </w:tcBorders>
          </w:tcPr>
          <w:p>
            <w:pPr>
              <w:spacing w:line="240" w:lineRule="auto" w:after="20" w:before="20"/>
              <w:jc w:val="center"/>
            </w:pPr>
            <w:r/>
            <w:r>
              <w:rPr>
                <w:b/>
                <w:i w:val="0"/>
                <w:sz w:val="18"/>
              </w:rPr>
              <w:t>Extrapolated at 100 attempts (zero-inflated / beta)</w:t>
            </w:r>
          </w:p>
        </w:tc>
      </w:tr>
      <w:tr>
        <w:tc>
          <w:tcPr>
            <w:tcW w:type="dxa" w:w="1728"/>
          </w:tcPr>
          <w:p>
            <w:pPr>
              <w:spacing w:line="240" w:lineRule="auto" w:after="20" w:before="20"/>
            </w:pPr>
            <w:r/>
            <w:r>
              <w:rPr>
                <w:b w:val="0"/>
                <w:i w:val="0"/>
                <w:sz w:val="18"/>
              </w:rPr>
              <w:t>70B open-weight</w:t>
            </w:r>
          </w:p>
        </w:tc>
        <w:tc>
          <w:tcPr>
            <w:tcW w:type="dxa" w:w="1152"/>
          </w:tcPr>
          <w:p>
            <w:pPr>
              <w:spacing w:line="240" w:lineRule="auto" w:after="20" w:before="20"/>
              <w:jc w:val="center"/>
            </w:pPr>
            <w:r/>
            <w:r>
              <w:rPr>
                <w:b w:val="0"/>
                <w:i w:val="0"/>
                <w:sz w:val="18"/>
              </w:rPr>
              <w:t>3,591</w:t>
            </w:r>
          </w:p>
        </w:tc>
        <w:tc>
          <w:tcPr>
            <w:tcW w:type="dxa" w:w="1440"/>
          </w:tcPr>
          <w:p>
            <w:pPr>
              <w:spacing w:line="240" w:lineRule="auto" w:after="20" w:before="20"/>
              <w:jc w:val="center"/>
            </w:pPr>
            <w:r/>
            <w:r>
              <w:rPr>
                <w:b w:val="0"/>
                <w:i w:val="0"/>
                <w:sz w:val="18"/>
              </w:rPr>
              <w:t>16.7%</w:t>
            </w:r>
          </w:p>
        </w:tc>
        <w:tc>
          <w:tcPr>
            <w:tcW w:type="dxa" w:w="1872"/>
          </w:tcPr>
          <w:p>
            <w:pPr>
              <w:spacing w:line="240" w:lineRule="auto" w:after="20" w:before="20"/>
              <w:jc w:val="center"/>
            </w:pPr>
            <w:r/>
            <w:r>
              <w:rPr>
                <w:b w:val="0"/>
                <w:i w:val="0"/>
                <w:sz w:val="18"/>
              </w:rPr>
              <w:t>23.3%</w:t>
            </w:r>
          </w:p>
        </w:tc>
        <w:tc>
          <w:tcPr>
            <w:tcW w:type="dxa" w:w="1872"/>
          </w:tcPr>
          <w:p>
            <w:pPr>
              <w:spacing w:line="240" w:lineRule="auto" w:after="20" w:before="20"/>
              <w:jc w:val="center"/>
            </w:pPr>
            <w:r/>
            <w:r>
              <w:rPr>
                <w:b w:val="0"/>
                <w:i w:val="0"/>
                <w:sz w:val="18"/>
              </w:rPr>
              <w:t>0.55 (0.43–0.75)</w:t>
            </w:r>
          </w:p>
        </w:tc>
        <w:tc>
          <w:tcPr>
            <w:tcW w:type="dxa" w:w="2016"/>
          </w:tcPr>
          <w:p>
            <w:pPr>
              <w:spacing w:line="240" w:lineRule="auto" w:after="20" w:before="20"/>
              <w:jc w:val="center"/>
            </w:pPr>
            <w:r/>
            <w:r>
              <w:rPr>
                <w:b w:val="0"/>
                <w:i w:val="0"/>
                <w:sz w:val="18"/>
              </w:rPr>
              <w:t>32.4% / 34.1%</w:t>
            </w:r>
          </w:p>
        </w:tc>
      </w:tr>
      <w:tr>
        <w:tc>
          <w:tcPr>
            <w:tcW w:type="dxa" w:w="1728"/>
          </w:tcPr>
          <w:p>
            <w:pPr>
              <w:spacing w:line="240" w:lineRule="auto" w:after="20" w:before="20"/>
            </w:pPr>
            <w:r/>
            <w:r>
              <w:rPr>
                <w:b w:val="0"/>
                <w:i w:val="0"/>
                <w:sz w:val="18"/>
              </w:rPr>
              <w:t>8B open-weight</w:t>
            </w:r>
          </w:p>
        </w:tc>
        <w:tc>
          <w:tcPr>
            <w:tcW w:type="dxa" w:w="1152"/>
          </w:tcPr>
          <w:p>
            <w:pPr>
              <w:spacing w:line="240" w:lineRule="auto" w:after="20" w:before="20"/>
              <w:jc w:val="center"/>
            </w:pPr>
            <w:r/>
            <w:r>
              <w:rPr>
                <w:b w:val="0"/>
                <w:i w:val="0"/>
                <w:sz w:val="18"/>
              </w:rPr>
              <w:t>528</w:t>
            </w:r>
          </w:p>
        </w:tc>
        <w:tc>
          <w:tcPr>
            <w:tcW w:type="dxa" w:w="1440"/>
          </w:tcPr>
          <w:p>
            <w:pPr>
              <w:spacing w:line="240" w:lineRule="auto" w:after="20" w:before="20"/>
              <w:jc w:val="center"/>
            </w:pPr>
            <w:r/>
            <w:r>
              <w:rPr>
                <w:b w:val="0"/>
                <w:i w:val="0"/>
                <w:sz w:val="18"/>
              </w:rPr>
              <w:t>15.1%</w:t>
            </w:r>
          </w:p>
        </w:tc>
        <w:tc>
          <w:tcPr>
            <w:tcW w:type="dxa" w:w="1872"/>
          </w:tcPr>
          <w:p>
            <w:pPr>
              <w:spacing w:line="240" w:lineRule="auto" w:after="20" w:before="20"/>
              <w:jc w:val="center"/>
            </w:pPr>
            <w:r/>
            <w:r>
              <w:rPr>
                <w:b w:val="0"/>
                <w:i w:val="0"/>
                <w:sz w:val="18"/>
              </w:rPr>
              <w:t>16.5%</w:t>
            </w:r>
          </w:p>
        </w:tc>
        <w:tc>
          <w:tcPr>
            <w:tcW w:type="dxa" w:w="1872"/>
          </w:tcPr>
          <w:p>
            <w:pPr>
              <w:spacing w:line="240" w:lineRule="auto" w:after="20" w:before="20"/>
              <w:jc w:val="center"/>
            </w:pPr>
            <w:r/>
            <w:r>
              <w:rPr>
                <w:b w:val="0"/>
                <w:i w:val="0"/>
                <w:sz w:val="18"/>
              </w:rPr>
              <w:t>0.32 (0.22–1.00)</w:t>
            </w:r>
          </w:p>
        </w:tc>
        <w:tc>
          <w:tcPr>
            <w:tcW w:type="dxa" w:w="2016"/>
          </w:tcPr>
          <w:p>
            <w:pPr>
              <w:spacing w:line="240" w:lineRule="auto" w:after="20" w:before="20"/>
              <w:jc w:val="center"/>
            </w:pPr>
            <w:r/>
            <w:r>
              <w:rPr>
                <w:b w:val="0"/>
                <w:i w:val="0"/>
                <w:sz w:val="18"/>
              </w:rPr>
              <w:t>26.7% / 32.7%</w:t>
            </w:r>
          </w:p>
        </w:tc>
      </w:tr>
      <w:tr>
        <w:tc>
          <w:tcPr>
            <w:tcW w:type="dxa" w:w="1728"/>
            <w:tcBorders>
              <w:bottom w:val="single" w:sz="12" w:color="000000"/>
            </w:tcBorders>
          </w:tcPr>
          <w:p>
            <w:pPr>
              <w:spacing w:line="240" w:lineRule="auto" w:after="20" w:before="20"/>
            </w:pPr>
            <w:r/>
            <w:r>
              <w:rPr>
                <w:b w:val="0"/>
                <w:i w:val="0"/>
                <w:sz w:val="18"/>
              </w:rPr>
              <w:t>405B open-weight</w:t>
            </w:r>
          </w:p>
        </w:tc>
        <w:tc>
          <w:tcPr>
            <w:tcW w:type="dxa" w:w="1152"/>
            <w:tcBorders>
              <w:bottom w:val="single" w:sz="12" w:color="000000"/>
            </w:tcBorders>
          </w:tcPr>
          <w:p>
            <w:pPr>
              <w:spacing w:line="240" w:lineRule="auto" w:after="20" w:before="20"/>
              <w:jc w:val="center"/>
            </w:pPr>
            <w:r/>
            <w:r>
              <w:rPr>
                <w:b w:val="0"/>
                <w:i w:val="0"/>
                <w:sz w:val="18"/>
              </w:rPr>
              <w:t>100</w:t>
            </w:r>
          </w:p>
        </w:tc>
        <w:tc>
          <w:tcPr>
            <w:tcW w:type="dxa" w:w="1440"/>
            <w:tcBorders>
              <w:bottom w:val="single" w:sz="12" w:color="000000"/>
            </w:tcBorders>
          </w:tcPr>
          <w:p>
            <w:pPr>
              <w:spacing w:line="240" w:lineRule="auto" w:after="20" w:before="20"/>
              <w:jc w:val="center"/>
            </w:pPr>
            <w:r/>
            <w:r>
              <w:rPr>
                <w:b w:val="0"/>
                <w:i w:val="0"/>
                <w:sz w:val="18"/>
              </w:rPr>
              <w:t>25.9%</w:t>
            </w:r>
          </w:p>
        </w:tc>
        <w:tc>
          <w:tcPr>
            <w:tcW w:type="dxa" w:w="1872"/>
            <w:tcBorders>
              <w:bottom w:val="single" w:sz="12" w:color="000000"/>
            </w:tcBorders>
          </w:tcPr>
          <w:p>
            <w:pPr>
              <w:spacing w:line="240" w:lineRule="auto" w:after="20" w:before="20"/>
              <w:jc w:val="center"/>
            </w:pPr>
            <w:r/>
            <w:r>
              <w:rPr>
                <w:b w:val="0"/>
                <w:i w:val="0"/>
                <w:sz w:val="18"/>
              </w:rPr>
              <w:t>48.0%</w:t>
            </w:r>
          </w:p>
        </w:tc>
        <w:tc>
          <w:tcPr>
            <w:tcW w:type="dxa" w:w="1872"/>
            <w:tcBorders>
              <w:bottom w:val="single" w:sz="12" w:color="000000"/>
            </w:tcBorders>
          </w:tcPr>
          <w:p>
            <w:pPr>
              <w:spacing w:line="240" w:lineRule="auto" w:after="20" w:before="20"/>
              <w:jc w:val="center"/>
            </w:pPr>
            <w:r/>
            <w:r>
              <w:rPr>
                <w:b w:val="0"/>
                <w:i w:val="0"/>
                <w:sz w:val="18"/>
              </w:rPr>
              <w:t>0.50 (0.43–0.57)</w:t>
            </w:r>
          </w:p>
        </w:tc>
        <w:tc>
          <w:tcPr>
            <w:tcW w:type="dxa" w:w="2016"/>
            <w:tcBorders>
              <w:bottom w:val="single" w:sz="12" w:color="000000"/>
            </w:tcBorders>
          </w:tcPr>
          <w:p>
            <w:pPr>
              <w:spacing w:line="240" w:lineRule="auto" w:after="20" w:before="20"/>
              <w:jc w:val="center"/>
            </w:pPr>
            <w:r/>
            <w:r>
              <w:rPr>
                <w:b w:val="0"/>
                <w:i w:val="0"/>
                <w:sz w:val="18"/>
              </w:rPr>
              <w:t>50.0% / 69.6%</w:t>
            </w:r>
          </w:p>
        </w:tc>
      </w:tr>
    </w:tbl>
    <w:p>
      <w:pPr>
        <w:spacing w:line="240" w:lineRule="auto" w:after="160" w:before="60"/>
      </w:pPr>
      <w:r>
        <w:rPr>
          <w:b w:val="0"/>
          <w:i/>
          <w:sz w:val="18"/>
        </w:rPr>
        <w:t>Notes.</w:t>
      </w:r>
      <w:r>
        <w:rPr>
          <w:b w:val="0"/>
          <w:i w:val="0"/>
          <w:sz w:val="18"/>
        </w:rPr>
        <w:t xml:space="preserve"> The zero-inflated beta-binomial lets a share of instances be unsolvable; the beta-binomial does not. Model sizes are not comparable because instance sets differ.</w:t>
      </w:r>
    </w:p>
    <w:p>
      <w:pPr>
        <w:spacing w:after="0" w:before="0"/>
        <w:ind w:firstLine="720"/>
      </w:pPr>
      <w:r>
        <w:rPr>
          <w:b w:val="0"/>
          <w:i w:val="0"/>
        </w:rPr>
        <w:t xml:space="preserve">In a fixed set of 223 instances with at least twelve attempts, the cumulative solve rate rises from 12.5 percent (one attempt) to 27.4 percent (12 attempts). The logarithmic NHPP has a sum of squared errors of 0.00023 and the exponential one 0.00104. Of the instances, 68 percent are unsolved in all 12 attempts. Asymptotic reach is model-dependent, but solve rates within an operational budget of 100 attempts agree between the two models within about two percentage points for the 70B model. We therefore define reach in applications as a function of budget, </w:t>
      </w:r>
      <w:r>
        <w:rPr>
          <w:b w:val="0"/>
          <w:i/>
        </w:rPr>
        <w:t>A</w:t>
      </w:r>
      <w:r>
        <w:rPr>
          <w:b w:val="0"/>
          <w:i w:val="0"/>
        </w:rPr>
        <w:t>(</w:t>
      </w:r>
      <w:r>
        <w:rPr>
          <w:b w:val="0"/>
          <w:i/>
        </w:rPr>
        <w:t>K</w:t>
      </w:r>
      <w:r>
        <w:rPr>
          <w:b w:val="0"/>
          <w:i w:val="0"/>
        </w:rPr>
        <w:t>).</w:t>
      </w:r>
    </w:p>
    <w:p>
      <w:pPr>
        <w:keepNext/>
        <w:spacing w:line="276" w:lineRule="auto" w:after="80" w:before="160"/>
      </w:pPr>
      <w:r>
        <w:rPr>
          <w:b/>
          <w:i/>
        </w:rPr>
        <w:t>F.2 Public Jira trackers</w:t>
      </w:r>
    </w:p>
    <w:p>
      <w:pPr>
        <w:spacing w:after="0" w:before="0"/>
        <w:ind w:firstLine="720"/>
      </w:pPr>
      <w:r>
        <w:rPr>
          <w:b w:val="0"/>
          <w:i w:val="0"/>
        </w:rPr>
        <w:t>We streamed the Public Jira Dataset (Montgomery, Lüders, and Maalej 2022; about 56 GB uncompressed) for seven trackers (Apache, Qt, MongoDB, Sakai, Hyperledger, Spring, and Atlassian's Jira) and extracted 876,957 bug reports. Each report was assigned to the latest dated affected release that preceded its creation (43 percent of reports, 373,609, could be assigned). A release–tracker unit with at least 25 assigned reports and an observation window of 180 to 360 days contributed a series of 30-day counts. We fitted constant-rate, Goel–Okumoto, and Musa–Okumoto NHPP models by Poisson maximum likelihood, with parameter bounds to avoid degenerate fits.</w:t>
      </w:r>
    </w:p>
    <w:p>
      <w:pPr>
        <w:keepNext/>
        <w:spacing w:line="276" w:lineRule="auto" w:after="80" w:before="200"/>
      </w:pPr>
      <w:r>
        <w:rPr>
          <w:b/>
          <w:i w:val="0"/>
        </w:rPr>
        <w:t>Table F3.</w:t>
      </w:r>
      <w:r>
        <w:rPr>
          <w:b w:val="0"/>
          <w:i w:val="0"/>
        </w:rPr>
        <w:t xml:space="preserve"> NHPP fits to 3,333 releases in public Jira trackers</w:t>
      </w:r>
    </w:p>
    <w:tbl>
      <w:tblPr>
        <w:tblW w:type="auto" w:w="0"/>
        <w:jc w:val="center"/>
        <w:tblLook w:firstColumn="1" w:firstRow="1" w:lastColumn="0" w:lastRow="0" w:noHBand="0" w:noVBand="1" w:val="04A0"/>
      </w:tblPr>
      <w:tblGrid>
        <w:gridCol w:w="4680"/>
        <w:gridCol w:w="4680"/>
      </w:tblGrid>
      <w:tr>
        <w:tc>
          <w:tcPr>
            <w:tcW w:type="dxa" w:w="5760"/>
            <w:tcBorders>
              <w:top w:val="single" w:sz="12" w:color="000000"/>
              <w:bottom w:val="single" w:sz="6" w:color="000000"/>
            </w:tcBorders>
          </w:tcPr>
          <w:p>
            <w:pPr>
              <w:spacing w:line="240" w:lineRule="auto" w:after="20" w:before="20"/>
            </w:pPr>
            <w:r/>
            <w:r>
              <w:rPr>
                <w:b/>
                <w:i w:val="0"/>
                <w:sz w:val="20"/>
              </w:rPr>
              <w:t>Quantity</w:t>
            </w:r>
          </w:p>
        </w:tc>
        <w:tc>
          <w:tcPr>
            <w:tcW w:type="dxa" w:w="3744"/>
            <w:tcBorders>
              <w:top w:val="single" w:sz="12" w:color="000000"/>
              <w:bottom w:val="single" w:sz="6" w:color="000000"/>
            </w:tcBorders>
          </w:tcPr>
          <w:p>
            <w:pPr>
              <w:spacing w:line="240" w:lineRule="auto" w:after="20" w:before="20"/>
            </w:pPr>
            <w:r/>
            <w:r>
              <w:rPr>
                <w:b/>
                <w:i w:val="0"/>
                <w:sz w:val="20"/>
              </w:rPr>
              <w:t>Result</w:t>
            </w:r>
          </w:p>
        </w:tc>
      </w:tr>
      <w:tr>
        <w:tc>
          <w:tcPr>
            <w:tcW w:type="dxa" w:w="5760"/>
          </w:tcPr>
          <w:p>
            <w:pPr>
              <w:spacing w:line="240" w:lineRule="auto" w:after="20" w:before="20"/>
            </w:pPr>
            <w:r/>
            <w:r>
              <w:rPr>
                <w:b w:val="0"/>
                <w:i w:val="0"/>
                <w:sz w:val="20"/>
              </w:rPr>
              <w:t>Releases / projects / trackers</w:t>
            </w:r>
          </w:p>
        </w:tc>
        <w:tc>
          <w:tcPr>
            <w:tcW w:type="dxa" w:w="3744"/>
          </w:tcPr>
          <w:p>
            <w:pPr>
              <w:spacing w:line="240" w:lineRule="auto" w:after="20" w:before="20"/>
            </w:pPr>
            <w:r/>
            <w:r>
              <w:rPr>
                <w:b w:val="0"/>
                <w:i w:val="0"/>
                <w:sz w:val="20"/>
              </w:rPr>
              <w:t>3,333 / 237 / 7</w:t>
            </w:r>
          </w:p>
        </w:tc>
      </w:tr>
      <w:tr>
        <w:tc>
          <w:tcPr>
            <w:tcW w:type="dxa" w:w="5760"/>
          </w:tcPr>
          <w:p>
            <w:pPr>
              <w:spacing w:line="240" w:lineRule="auto" w:after="20" w:before="20"/>
            </w:pPr>
            <w:r/>
            <w:r>
              <w:rPr>
                <w:b w:val="0"/>
                <w:i w:val="0"/>
                <w:sz w:val="20"/>
              </w:rPr>
              <w:t>Best by AIC: Goel–Okumoto / Musa–Okumoto / constant</w:t>
            </w:r>
          </w:p>
        </w:tc>
        <w:tc>
          <w:tcPr>
            <w:tcW w:type="dxa" w:w="3744"/>
          </w:tcPr>
          <w:p>
            <w:pPr>
              <w:spacing w:line="240" w:lineRule="auto" w:after="20" w:before="20"/>
            </w:pPr>
            <w:r/>
            <w:r>
              <w:rPr>
                <w:b w:val="0"/>
                <w:i w:val="0"/>
                <w:sz w:val="20"/>
              </w:rPr>
              <w:t>2,660 (80%) / 521 (16%) / 152 (5%)</w:t>
            </w:r>
          </w:p>
        </w:tc>
      </w:tr>
      <w:tr>
        <w:tc>
          <w:tcPr>
            <w:tcW w:type="dxa" w:w="5760"/>
          </w:tcPr>
          <w:p>
            <w:pPr>
              <w:spacing w:line="240" w:lineRule="auto" w:after="20" w:before="20"/>
            </w:pPr>
            <w:r/>
            <w:r>
              <w:rPr>
                <w:b w:val="0"/>
                <w:i w:val="0"/>
                <w:sz w:val="20"/>
              </w:rPr>
              <w:t>Median AIC(GO) − AIC(MO)</w:t>
            </w:r>
          </w:p>
        </w:tc>
        <w:tc>
          <w:tcPr>
            <w:tcW w:type="dxa" w:w="3744"/>
          </w:tcPr>
          <w:p>
            <w:pPr>
              <w:spacing w:line="240" w:lineRule="auto" w:after="20" w:before="20"/>
            </w:pPr>
            <w:r/>
            <w:r>
              <w:rPr>
                <w:b w:val="0"/>
                <w:i w:val="0"/>
                <w:sz w:val="20"/>
              </w:rPr>
              <w:t>−10.2</w:t>
            </w:r>
          </w:p>
        </w:tc>
      </w:tr>
      <w:tr>
        <w:tc>
          <w:tcPr>
            <w:tcW w:type="dxa" w:w="5760"/>
          </w:tcPr>
          <w:p>
            <w:pPr>
              <w:spacing w:line="240" w:lineRule="auto" w:after="20" w:before="20"/>
            </w:pPr>
            <w:r/>
            <w:r>
              <w:rPr>
                <w:b w:val="0"/>
                <w:i w:val="0"/>
                <w:sz w:val="20"/>
              </w:rPr>
              <w:t>Releases whose fitted pool is at most 3× observed faults</w:t>
            </w:r>
          </w:p>
        </w:tc>
        <w:tc>
          <w:tcPr>
            <w:tcW w:type="dxa" w:w="3744"/>
          </w:tcPr>
          <w:p>
            <w:pPr>
              <w:spacing w:line="240" w:lineRule="auto" w:after="20" w:before="20"/>
            </w:pPr>
            <w:r/>
            <w:r>
              <w:rPr>
                <w:b w:val="0"/>
                <w:i w:val="0"/>
                <w:sz w:val="20"/>
              </w:rPr>
              <w:t>97% (3,219)</w:t>
            </w:r>
          </w:p>
        </w:tc>
      </w:tr>
      <w:tr>
        <w:tc>
          <w:tcPr>
            <w:tcW w:type="dxa" w:w="5760"/>
          </w:tcPr>
          <w:p>
            <w:pPr>
              <w:spacing w:line="240" w:lineRule="auto" w:after="20" w:before="20"/>
            </w:pPr>
            <w:r/>
            <w:r>
              <w:rPr>
                <w:b w:val="0"/>
                <w:i w:val="0"/>
                <w:sz w:val="20"/>
              </w:rPr>
              <w:t xml:space="preserve">Median fitted rate </w:t>
            </w:r>
            <w:r>
              <w:rPr>
                <w:b w:val="0"/>
                <w:i/>
                <w:sz w:val="20"/>
              </w:rPr>
              <w:t>b</w:t>
            </w:r>
            <w:r>
              <w:rPr>
                <w:b w:val="0"/>
                <w:i w:val="0"/>
                <w:sz w:val="20"/>
              </w:rPr>
              <w:t xml:space="preserve"> per 30 days; implied half-life</w:t>
            </w:r>
          </w:p>
        </w:tc>
        <w:tc>
          <w:tcPr>
            <w:tcW w:type="dxa" w:w="3744"/>
          </w:tcPr>
          <w:p>
            <w:pPr>
              <w:spacing w:line="240" w:lineRule="auto" w:after="20" w:before="20"/>
            </w:pPr>
            <w:r/>
            <w:r>
              <w:rPr>
                <w:b w:val="0"/>
                <w:i w:val="0"/>
                <w:sz w:val="20"/>
              </w:rPr>
              <w:t>0.518; about 1.3 months (IQR 0.8–2.2)</w:t>
            </w:r>
          </w:p>
        </w:tc>
      </w:tr>
      <w:tr>
        <w:tc>
          <w:tcPr>
            <w:tcW w:type="dxa" w:w="5760"/>
          </w:tcPr>
          <w:p>
            <w:pPr>
              <w:spacing w:line="240" w:lineRule="auto" w:after="20" w:before="20"/>
            </w:pPr>
            <w:r/>
            <w:r>
              <w:rPr>
                <w:b w:val="0"/>
                <w:i w:val="0"/>
                <w:sz w:val="20"/>
              </w:rPr>
              <w:t>Median share of observed bug reports in first 30 days</w:t>
            </w:r>
          </w:p>
        </w:tc>
        <w:tc>
          <w:tcPr>
            <w:tcW w:type="dxa" w:w="3744"/>
          </w:tcPr>
          <w:p>
            <w:pPr>
              <w:spacing w:line="240" w:lineRule="auto" w:after="20" w:before="20"/>
            </w:pPr>
            <w:r/>
            <w:r>
              <w:rPr>
                <w:b w:val="0"/>
                <w:i w:val="0"/>
                <w:sz w:val="20"/>
              </w:rPr>
              <w:t>38%</w:t>
            </w:r>
          </w:p>
        </w:tc>
      </w:tr>
      <w:tr>
        <w:tc>
          <w:tcPr>
            <w:tcW w:type="dxa" w:w="5760"/>
          </w:tcPr>
          <w:p>
            <w:pPr>
              <w:spacing w:line="240" w:lineRule="auto" w:after="20" w:before="20"/>
            </w:pPr>
            <w:r/>
            <w:r>
              <w:rPr>
                <w:b w:val="0"/>
                <w:i w:val="0"/>
                <w:sz w:val="20"/>
              </w:rPr>
              <w:t>Median reports per release</w:t>
            </w:r>
          </w:p>
        </w:tc>
        <w:tc>
          <w:tcPr>
            <w:tcW w:type="dxa" w:w="3744"/>
          </w:tcPr>
          <w:p>
            <w:pPr>
              <w:spacing w:line="240" w:lineRule="auto" w:after="20" w:before="20"/>
            </w:pPr>
            <w:r/>
            <w:r>
              <w:rPr>
                <w:b w:val="0"/>
                <w:i w:val="0"/>
                <w:sz w:val="20"/>
              </w:rPr>
              <w:t>44 (IQR 32–72)</w:t>
            </w:r>
          </w:p>
        </w:tc>
      </w:tr>
      <w:tr>
        <w:tc>
          <w:tcPr>
            <w:tcW w:type="dxa" w:w="5760"/>
          </w:tcPr>
          <w:p>
            <w:pPr>
              <w:spacing w:line="240" w:lineRule="auto" w:after="20" w:before="20"/>
            </w:pPr>
            <w:r/>
            <w:r>
              <w:rPr>
                <w:b w:val="0"/>
                <w:i w:val="0"/>
                <w:sz w:val="20"/>
              </w:rPr>
              <w:t xml:space="preserve">Log standard deviation across releases: pool </w:t>
            </w:r>
            <w:r>
              <w:rPr>
                <w:b w:val="0"/>
                <w:i/>
                <w:sz w:val="20"/>
              </w:rPr>
              <w:t>a</w:t>
            </w:r>
            <w:r>
              <w:rPr>
                <w:b w:val="0"/>
                <w:i w:val="0"/>
                <w:sz w:val="20"/>
              </w:rPr>
              <w:t xml:space="preserve">; rate </w:t>
            </w:r>
            <w:r>
              <w:rPr>
                <w:b w:val="0"/>
                <w:i/>
                <w:sz w:val="20"/>
              </w:rPr>
              <w:t>b</w:t>
            </w:r>
          </w:p>
        </w:tc>
        <w:tc>
          <w:tcPr>
            <w:tcW w:type="dxa" w:w="3744"/>
          </w:tcPr>
          <w:p>
            <w:pPr>
              <w:spacing w:line="240" w:lineRule="auto" w:after="20" w:before="20"/>
            </w:pPr>
            <w:r/>
            <w:r>
              <w:rPr>
                <w:b w:val="0"/>
                <w:i w:val="0"/>
                <w:sz w:val="20"/>
              </w:rPr>
              <w:t>0.69; 1.05</w:t>
            </w:r>
          </w:p>
        </w:tc>
      </w:tr>
      <w:tr>
        <w:tc>
          <w:tcPr>
            <w:tcW w:type="dxa" w:w="5760"/>
          </w:tcPr>
          <w:p>
            <w:pPr>
              <w:spacing w:line="240" w:lineRule="auto" w:after="20" w:before="20"/>
            </w:pPr>
            <w:r/>
            <w:r>
              <w:rPr>
                <w:b w:val="0"/>
                <w:i w:val="0"/>
                <w:sz w:val="20"/>
              </w:rPr>
              <w:t xml:space="preserve">Correlation of ln </w:t>
            </w:r>
            <w:r>
              <w:rPr>
                <w:b w:val="0"/>
                <w:i/>
                <w:sz w:val="20"/>
              </w:rPr>
              <w:t>a</w:t>
            </w:r>
            <w:r>
              <w:rPr>
                <w:b w:val="0"/>
                <w:i w:val="0"/>
                <w:sz w:val="20"/>
              </w:rPr>
              <w:t xml:space="preserve"> and ln </w:t>
            </w:r>
            <w:r>
              <w:rPr>
                <w:b w:val="0"/>
                <w:i/>
                <w:sz w:val="20"/>
              </w:rPr>
              <w:t>b</w:t>
            </w:r>
          </w:p>
        </w:tc>
        <w:tc>
          <w:tcPr>
            <w:tcW w:type="dxa" w:w="3744"/>
          </w:tcPr>
          <w:p>
            <w:pPr>
              <w:spacing w:line="240" w:lineRule="auto" w:after="20" w:before="20"/>
            </w:pPr>
            <w:r/>
            <w:r>
              <w:rPr>
                <w:b w:val="0"/>
                <w:i w:val="0"/>
                <w:sz w:val="20"/>
              </w:rPr>
              <w:t>−0.20</w:t>
            </w:r>
          </w:p>
        </w:tc>
      </w:tr>
      <w:tr>
        <w:tc>
          <w:tcPr>
            <w:tcW w:type="dxa" w:w="5760"/>
            <w:tcBorders>
              <w:bottom w:val="single" w:sz="12" w:color="000000"/>
            </w:tcBorders>
          </w:tcPr>
          <w:p>
            <w:pPr>
              <w:spacing w:line="240" w:lineRule="auto" w:after="20" w:before="20"/>
            </w:pPr>
            <w:r/>
            <w:r>
              <w:rPr>
                <w:b w:val="0"/>
                <w:i w:val="0"/>
                <w:sz w:val="20"/>
              </w:rPr>
              <w:t>Share best fit by Goel–Okumoto, lowest tracker</w:t>
            </w:r>
          </w:p>
        </w:tc>
        <w:tc>
          <w:tcPr>
            <w:tcW w:type="dxa" w:w="3744"/>
            <w:tcBorders>
              <w:bottom w:val="single" w:sz="12" w:color="000000"/>
            </w:tcBorders>
          </w:tcPr>
          <w:p>
            <w:pPr>
              <w:spacing w:line="240" w:lineRule="auto" w:after="20" w:before="20"/>
            </w:pPr>
            <w:r/>
            <w:r>
              <w:rPr>
                <w:b w:val="0"/>
                <w:i w:val="0"/>
                <w:sz w:val="20"/>
              </w:rPr>
              <w:t>Atlassian Jira, 64% (36% Musa–Okumoto)</w:t>
            </w:r>
          </w:p>
        </w:tc>
      </w:tr>
    </w:tbl>
    <w:p>
      <w:pPr>
        <w:spacing w:line="240" w:lineRule="auto" w:after="160" w:before="60"/>
      </w:pPr>
      <w:r>
        <w:rPr>
          <w:b w:val="0"/>
          <w:i/>
          <w:sz w:val="18"/>
        </w:rPr>
        <w:t>Notes.</w:t>
      </w:r>
      <w:r>
        <w:rPr>
          <w:b w:val="0"/>
          <w:i w:val="0"/>
          <w:sz w:val="18"/>
        </w:rPr>
        <w:t xml:space="preserve"> Fault reports in the field are driven by user exposure and the release-attribution rule. The fitted pool and rate should be read as parameters of a reporting curve, not as the size of a fault pool and the speed of a test campaign.</w:t>
      </w:r>
    </w:p>
    <w:p>
      <w:pPr>
        <w:spacing w:after="0" w:before="0"/>
        <w:ind w:firstLine="720"/>
      </w:pPr>
      <w:r>
        <w:rPr>
          <w:b w:val="0"/>
          <w:i w:val="0"/>
        </w:rPr>
        <w:t>The share of high-priority reports is uncorrelated with the fitted pool and rate (correlations of −0.06), which does not contradict the model's assumption that stakes are independent of (</w:t>
      </w:r>
      <w:r>
        <w:rPr>
          <w:b w:val="0"/>
          <w:i/>
        </w:rPr>
        <w:t>a</w:t>
      </w:r>
      <w:r>
        <w:rPr>
          <w:b w:val="0"/>
          <w:i w:val="0"/>
        </w:rPr>
        <w:t xml:space="preserve">, </w:t>
      </w:r>
      <w:r>
        <w:rPr>
          <w:b w:val="0"/>
          <w:i/>
        </w:rPr>
        <w:t>b</w:t>
      </w:r>
      <w:r>
        <w:rPr>
          <w:b w:val="0"/>
          <w:i w:val="0"/>
        </w:rPr>
        <w:t>), although priority is a coarse proxy for stakes. There is no AI-use signal in these data, so they give the human baseline only.</w:t>
      </w:r>
    </w:p>
    <w:p>
      <w:pPr>
        <w:keepNext/>
        <w:spacing w:line="276" w:lineRule="auto" w:after="80" w:before="160"/>
      </w:pPr>
      <w:r>
        <w:rPr>
          <w:b/>
          <w:i/>
        </w:rPr>
        <w:t>F.3 Adoption of an AI coding assistant: what could and could not be done</w:t>
      </w:r>
    </w:p>
    <w:p>
      <w:pPr>
        <w:spacing w:after="0" w:before="0"/>
        <w:ind w:firstLine="720"/>
      </w:pPr>
      <w:r>
        <w:rPr>
          <w:b w:val="0"/>
          <w:i w:val="0"/>
        </w:rPr>
        <w:t>We obtained a public replication package of a study of repositories that adopted an AI coding assistant (813 adopting repositories, about 78,000 candidate repositories, monthly panels of issues, commits, and code-quality metrics). We used it to (i) screen repositories for use as a difference-in-differences sample, and (ii) measure issue-label usage so that defect-related issues could be separated. Of 196 repositories that passed the screen, we collected issues through the GitHub GraphQL API for 191 (five repositories had been deleted or made private), obtaining 114,362 issues (56,677 before and 57,685 after adoption). A label was present on 71 percent of issues and a defect-like label on 32 percent. Between 53 and 69 repositories had enough defect-labeled issues both before and after adoption (at least 10 or 5, respectively) for any repository-level analysis. Among the 53, the mean monthly count of defect-labeled issues was 27.8 before and 45.9 after adoption, higher after in 37 repositories; there is no control group in this calculation and it is not evidence of any effect. The sample is too small for a controlled difference-in-differences design (Callaway and Sant'Anna 2021), and control-group labels were not collected.</w:t>
      </w:r>
    </w:p>
    <w:p>
      <w:pPr>
        <w:spacing w:after="0" w:before="0"/>
        <w:ind w:firstLine="720"/>
      </w:pPr>
      <w:r>
        <w:rPr>
          <w:b w:val="0"/>
          <w:i w:val="0"/>
        </w:rPr>
        <w:t xml:space="preserve">A crude test of Proposition 2 using GitHub stars as a proxy for stakes gave U-shaped relative adoption intensity (a quadratic coefficient of 0.221 in a logistic regression, </w:t>
      </w:r>
      <w:r>
        <w:rPr>
          <w:b w:val="0"/>
          <w:i/>
        </w:rPr>
        <w:t>p</w:t>
      </w:r>
      <w:r>
        <w:rPr>
          <w:b w:val="0"/>
          <w:i w:val="0"/>
        </w:rPr>
        <w:t xml:space="preserve"> &lt; 0.001), with the largest ratios at the extremes of the popularity distribution. We do not interpret this as evidence against the model. Stars measure popularity and not the cost of faults; large projects attract more contributors, so someone is more likely to commit a configuration file; the control sample is not documented well enough to read ratios as probabilities; and low-star repositories are mostly personal projects, not firms. A proper test would need a better proxy for stakes (for example the number of dependents or production use), contributor-level adoption data, and a documented control design.</w:t>
      </w:r>
    </w:p>
    <w:p>
      <w:pPr>
        <w:keepNext/>
        <w:spacing w:line="276" w:lineRule="auto" w:after="80" w:before="160"/>
      </w:pPr>
      <w:r>
        <w:rPr>
          <w:b/>
          <w:i/>
        </w:rPr>
        <w:t>F.4 A proposed identification strategy</w:t>
      </w:r>
    </w:p>
    <w:p>
      <w:pPr>
        <w:spacing w:after="0" w:before="0"/>
        <w:ind w:firstLine="720"/>
      </w:pPr>
      <w:r>
        <w:rPr>
          <w:b w:val="0"/>
          <w:i w:val="0"/>
        </w:rPr>
        <w:t>A firm-level test of the model's predictions would use (i) the staggered introduction of an AI testing service across teams or firms; (ii) data on stakes, such as the cost of production incidents; (iii) estimates of the reach of the tool on the firm's own fault classes, perhaps from a pre-adoption trial; and (iv) a heterogeneity-robust difference-in-differences estimator. The model predicts that treatment effects on adoption and escaped faults vary with stakes in the single-peaked pattern of Proposition 2, and that the pattern flattens as measured reach approaches parity. The test would require firm-internal data that are not available in public sources.</w:t>
      </w:r>
    </w:p>
    <w:p>
      <w:pPr>
        <w:keepNext/>
        <w:spacing w:line="276" w:lineRule="auto" w:after="120" w:before="240"/>
      </w:pPr>
      <w:r>
        <w:rPr>
          <w:b/>
          <w:i w:val="0"/>
        </w:rPr>
        <w:t>G. Replication Package</w:t>
      </w:r>
    </w:p>
    <w:p>
      <w:pPr>
        <w:spacing w:after="0" w:before="0"/>
        <w:ind w:firstLine="720"/>
      </w:pPr>
      <w:r>
        <w:rPr>
          <w:b w:val="0"/>
          <w:i w:val="0"/>
        </w:rPr>
        <w:t>The replication package accompanies the submission (</w:t>
      </w:r>
      <w:r>
        <w:rPr>
          <w:b w:val="0"/>
          <w:i/>
        </w:rPr>
        <w:t>replication_package.zip</w:t>
      </w:r>
      <w:r>
        <w:rPr>
          <w:b w:val="0"/>
          <w:i w:val="0"/>
        </w:rPr>
        <w:t>). It contains the Python code for every numerical result and figure, the derived data tables, a script that reproduces the key numbers cited in the text, and instructions for downloading the public raw data. A README documents the environment (Python 3.13, NumPy, SciPy, pandas, Matplotlib, PyMC, ArviZ), the order in which scripts are run, approximate run times, and which results require the large downloads. The package contains no credentials. The scripts that query the GitHub API read an access token from an environment variable and the token is not included.</w:t>
      </w:r>
    </w:p>
    <w:p>
      <w:pPr>
        <w:keepNext/>
        <w:spacing w:line="276" w:lineRule="auto" w:after="80" w:before="200"/>
      </w:pPr>
      <w:r>
        <w:rPr>
          <w:b/>
          <w:i w:val="0"/>
        </w:rPr>
        <w:t>Table G1.</w:t>
      </w:r>
      <w:r>
        <w:rPr>
          <w:b w:val="0"/>
          <w:i w:val="0"/>
        </w:rPr>
        <w:t xml:space="preserve"> Where each result is produced</w:t>
      </w:r>
    </w:p>
    <w:tbl>
      <w:tblPr>
        <w:tblW w:type="auto" w:w="0"/>
        <w:jc w:val="center"/>
        <w:tblLook w:firstColumn="1" w:firstRow="1" w:lastColumn="0" w:lastRow="0" w:noHBand="0" w:noVBand="1" w:val="04A0"/>
      </w:tblPr>
      <w:tblGrid>
        <w:gridCol w:w="4680"/>
        <w:gridCol w:w="4680"/>
      </w:tblGrid>
      <w:tr>
        <w:tc>
          <w:tcPr>
            <w:tcW w:type="dxa" w:w="4032"/>
            <w:tcBorders>
              <w:top w:val="single" w:sz="12" w:color="000000"/>
              <w:bottom w:val="single" w:sz="6" w:color="000000"/>
            </w:tcBorders>
          </w:tcPr>
          <w:p>
            <w:pPr>
              <w:spacing w:line="240" w:lineRule="auto" w:after="20" w:before="20"/>
            </w:pPr>
            <w:r/>
            <w:r>
              <w:rPr>
                <w:b/>
                <w:i w:val="0"/>
                <w:sz w:val="20"/>
              </w:rPr>
              <w:t>Result</w:t>
            </w:r>
          </w:p>
        </w:tc>
        <w:tc>
          <w:tcPr>
            <w:tcW w:type="dxa" w:w="5472"/>
            <w:tcBorders>
              <w:top w:val="single" w:sz="12" w:color="000000"/>
              <w:bottom w:val="single" w:sz="6" w:color="000000"/>
            </w:tcBorders>
          </w:tcPr>
          <w:p>
            <w:pPr>
              <w:spacing w:line="240" w:lineRule="auto" w:after="20" w:before="20"/>
            </w:pPr>
            <w:r/>
            <w:r>
              <w:rPr>
                <w:b/>
                <w:i w:val="0"/>
                <w:sz w:val="20"/>
              </w:rPr>
              <w:t>Script</w:t>
            </w:r>
          </w:p>
        </w:tc>
      </w:tr>
      <w:tr>
        <w:tc>
          <w:tcPr>
            <w:tcW w:type="dxa" w:w="4032"/>
          </w:tcPr>
          <w:p>
            <w:pPr>
              <w:spacing w:line="240" w:lineRule="auto" w:after="20" w:before="20"/>
            </w:pPr>
            <w:r/>
            <w:r>
              <w:rPr>
                <w:b w:val="0"/>
                <w:i w:val="0"/>
                <w:sz w:val="20"/>
              </w:rPr>
              <w:t>Adoption set, profit, price, menus</w:t>
            </w:r>
          </w:p>
        </w:tc>
        <w:tc>
          <w:tcPr>
            <w:tcW w:type="dxa" w:w="5472"/>
          </w:tcPr>
          <w:p>
            <w:pPr>
              <w:spacing w:line="240" w:lineRule="auto" w:after="20" w:before="20"/>
            </w:pPr>
            <w:r/>
            <w:r>
              <w:rPr>
                <w:b w:val="0"/>
                <w:i w:val="0"/>
                <w:sz w:val="20"/>
              </w:rPr>
              <w:t>vendor_model.py, vendor_menu.py, vendor_menu_det.py</w:t>
            </w:r>
          </w:p>
        </w:tc>
      </w:tr>
      <w:tr>
        <w:tc>
          <w:tcPr>
            <w:tcW w:type="dxa" w:w="4032"/>
          </w:tcPr>
          <w:p>
            <w:pPr>
              <w:spacing w:line="240" w:lineRule="auto" w:after="20" w:before="20"/>
            </w:pPr>
            <w:r/>
            <w:r>
              <w:rPr>
                <w:b w:val="0"/>
                <w:i w:val="0"/>
                <w:sz w:val="20"/>
              </w:rPr>
              <w:t>Kink and bunching (Propositions 7, 8)</w:t>
            </w:r>
          </w:p>
        </w:tc>
        <w:tc>
          <w:tcPr>
            <w:tcW w:type="dxa" w:w="5472"/>
          </w:tcPr>
          <w:p>
            <w:pPr>
              <w:spacing w:line="240" w:lineRule="auto" w:after="20" w:before="20"/>
            </w:pPr>
            <w:r/>
            <w:r>
              <w:rPr>
                <w:b w:val="0"/>
                <w:i w:val="0"/>
                <w:sz w:val="20"/>
              </w:rPr>
              <w:t>kink_asymptotics.py</w:t>
            </w:r>
          </w:p>
        </w:tc>
      </w:tr>
      <w:tr>
        <w:tc>
          <w:tcPr>
            <w:tcW w:type="dxa" w:w="4032"/>
          </w:tcPr>
          <w:p>
            <w:pPr>
              <w:spacing w:line="240" w:lineRule="auto" w:after="20" w:before="20"/>
            </w:pPr>
            <w:r/>
            <w:r>
              <w:rPr>
                <w:b w:val="0"/>
                <w:i w:val="0"/>
                <w:sz w:val="20"/>
              </w:rPr>
              <w:t>Investment jump, subsidies (Propositions 6, 9)</w:t>
            </w:r>
          </w:p>
        </w:tc>
        <w:tc>
          <w:tcPr>
            <w:tcW w:type="dxa" w:w="5472"/>
          </w:tcPr>
          <w:p>
            <w:pPr>
              <w:spacing w:line="240" w:lineRule="auto" w:after="20" w:before="20"/>
            </w:pPr>
            <w:r/>
            <w:r>
              <w:rPr>
                <w:b w:val="0"/>
                <w:i w:val="0"/>
                <w:sz w:val="20"/>
              </w:rPr>
              <w:t>vendor_investment.py, vendor_investment_policy.py</w:t>
            </w:r>
          </w:p>
        </w:tc>
      </w:tr>
      <w:tr>
        <w:tc>
          <w:tcPr>
            <w:tcW w:type="dxa" w:w="4032"/>
          </w:tcPr>
          <w:p>
            <w:pPr>
              <w:spacing w:line="240" w:lineRule="auto" w:after="20" w:before="20"/>
            </w:pPr>
            <w:r/>
            <w:r>
              <w:rPr>
                <w:b w:val="0"/>
                <w:i w:val="0"/>
                <w:sz w:val="20"/>
              </w:rPr>
              <w:t>Liability, competition, signaling</w:t>
            </w:r>
          </w:p>
        </w:tc>
        <w:tc>
          <w:tcPr>
            <w:tcW w:type="dxa" w:w="5472"/>
          </w:tcPr>
          <w:p>
            <w:pPr>
              <w:spacing w:line="240" w:lineRule="auto" w:after="20" w:before="20"/>
            </w:pPr>
            <w:r/>
            <w:r>
              <w:rPr>
                <w:b w:val="0"/>
                <w:i w:val="0"/>
                <w:sz w:val="20"/>
              </w:rPr>
              <w:t>vendor_strategic.py, vendor_signaling.py, vendor_signaling_complexity.py</w:t>
            </w:r>
          </w:p>
        </w:tc>
      </w:tr>
      <w:tr>
        <w:tc>
          <w:tcPr>
            <w:tcW w:type="dxa" w:w="4032"/>
          </w:tcPr>
          <w:p>
            <w:pPr>
              <w:spacing w:line="240" w:lineRule="auto" w:after="20" w:before="20"/>
            </w:pPr>
            <w:r/>
            <w:r>
              <w:rPr>
                <w:b w:val="0"/>
                <w:i w:val="0"/>
                <w:sz w:val="20"/>
              </w:rPr>
              <w:t>Duopoly, learning, private reach</w:t>
            </w:r>
          </w:p>
        </w:tc>
        <w:tc>
          <w:tcPr>
            <w:tcW w:type="dxa" w:w="5472"/>
          </w:tcPr>
          <w:p>
            <w:pPr>
              <w:spacing w:line="240" w:lineRule="auto" w:after="20" w:before="20"/>
            </w:pPr>
            <w:r/>
            <w:r>
              <w:rPr>
                <w:b w:val="0"/>
                <w:i w:val="0"/>
                <w:sz w:val="20"/>
              </w:rPr>
              <w:t>vendor_dynamics.py</w:t>
            </w:r>
          </w:p>
        </w:tc>
      </w:tr>
      <w:tr>
        <w:tc>
          <w:tcPr>
            <w:tcW w:type="dxa" w:w="4032"/>
          </w:tcPr>
          <w:p>
            <w:pPr>
              <w:spacing w:line="240" w:lineRule="auto" w:after="20" w:before="20"/>
            </w:pPr>
            <w:r/>
            <w:r>
              <w:rPr>
                <w:b w:val="0"/>
                <w:i w:val="0"/>
                <w:sz w:val="20"/>
              </w:rPr>
              <w:t>Figures 1–5</w:t>
            </w:r>
          </w:p>
        </w:tc>
        <w:tc>
          <w:tcPr>
            <w:tcW w:type="dxa" w:w="5472"/>
          </w:tcPr>
          <w:p>
            <w:pPr>
              <w:spacing w:line="240" w:lineRule="auto" w:after="20" w:before="20"/>
            </w:pPr>
            <w:r/>
            <w:r>
              <w:rPr>
                <w:b w:val="0"/>
                <w:i w:val="0"/>
                <w:sz w:val="20"/>
              </w:rPr>
              <w:t>make_figures.py</w:t>
            </w:r>
          </w:p>
        </w:tc>
      </w:tr>
      <w:tr>
        <w:tc>
          <w:tcPr>
            <w:tcW w:type="dxa" w:w="4032"/>
          </w:tcPr>
          <w:p>
            <w:pPr>
              <w:spacing w:line="240" w:lineRule="auto" w:after="20" w:before="20"/>
            </w:pPr>
            <w:r/>
            <w:r>
              <w:rPr>
                <w:b w:val="0"/>
                <w:i w:val="0"/>
                <w:sz w:val="20"/>
              </w:rPr>
              <w:t>NHPP regression layer and calibration</w:t>
            </w:r>
          </w:p>
        </w:tc>
        <w:tc>
          <w:tcPr>
            <w:tcW w:type="dxa" w:w="5472"/>
          </w:tcPr>
          <w:p>
            <w:pPr>
              <w:spacing w:line="240" w:lineRule="auto" w:after="20" w:before="20"/>
            </w:pPr>
            <w:r/>
            <w:r>
              <w:rPr>
                <w:b w:val="0"/>
                <w:i w:val="0"/>
                <w:sz w:val="20"/>
              </w:rPr>
              <w:t>nhpp_llm_econ.py, coverage_check.py, sensitivity.py</w:t>
            </w:r>
          </w:p>
        </w:tc>
      </w:tr>
      <w:tr>
        <w:tc>
          <w:tcPr>
            <w:tcW w:type="dxa" w:w="4032"/>
          </w:tcPr>
          <w:p>
            <w:pPr>
              <w:spacing w:line="240" w:lineRule="auto" w:after="20" w:before="20"/>
            </w:pPr>
            <w:r/>
            <w:r>
              <w:rPr>
                <w:b w:val="0"/>
                <w:i w:val="0"/>
                <w:sz w:val="20"/>
              </w:rPr>
              <w:t>Public-data analyses</w:t>
            </w:r>
          </w:p>
        </w:tc>
        <w:tc>
          <w:tcPr>
            <w:tcW w:type="dxa" w:w="5472"/>
          </w:tcPr>
          <w:p>
            <w:pPr>
              <w:spacing w:line="240" w:lineRule="auto" w:after="20" w:before="20"/>
            </w:pPr>
            <w:r/>
            <w:r>
              <w:rPr>
                <w:b w:val="0"/>
                <w:i w:val="0"/>
                <w:sz w:val="20"/>
              </w:rPr>
              <w:t>jira_extract_bugs.py, jira_nhpp.py, swe_agent_curve.py, swe_beta_model.py, pilot_cursor_package.py, cursor_adoption_by_popularity.py, collect_issue_labels_gql.py</w:t>
            </w:r>
          </w:p>
        </w:tc>
      </w:tr>
      <w:tr>
        <w:tc>
          <w:tcPr>
            <w:tcW w:type="dxa" w:w="4032"/>
            <w:tcBorders>
              <w:bottom w:val="single" w:sz="12" w:color="000000"/>
            </w:tcBorders>
          </w:tcPr>
          <w:p>
            <w:pPr>
              <w:spacing w:line="240" w:lineRule="auto" w:after="20" w:before="20"/>
            </w:pPr>
            <w:r/>
            <w:r>
              <w:rPr>
                <w:b w:val="0"/>
                <w:i w:val="0"/>
                <w:sz w:val="20"/>
              </w:rPr>
              <w:t>Key-number check</w:t>
            </w:r>
          </w:p>
        </w:tc>
        <w:tc>
          <w:tcPr>
            <w:tcW w:type="dxa" w:w="5472"/>
            <w:tcBorders>
              <w:bottom w:val="single" w:sz="12" w:color="000000"/>
            </w:tcBorders>
          </w:tcPr>
          <w:p>
            <w:pPr>
              <w:spacing w:line="240" w:lineRule="auto" w:after="20" w:before="20"/>
            </w:pPr>
            <w:r/>
            <w:r>
              <w:rPr>
                <w:b w:val="0"/>
                <w:i w:val="0"/>
                <w:sz w:val="20"/>
              </w:rPr>
              <w:t>reproduce_key_numbers.py</w:t>
            </w:r>
          </w:p>
        </w:tc>
      </w:tr>
    </w:tbl>
    <w:p>
      <w:pPr>
        <w:spacing w:line="240" w:lineRule="auto" w:after="0" w:before="0"/>
      </w:pP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Reach, not speed: Supplementary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