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We then examine measurable counterparts of the theory in public leaderboard, endpoint-price, and SEC filing data. The evidence is directionally consistent with the predictions but rests on small samples, and we identify what it can and cannot establish.</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take the resulting predictions to public data.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how large it is likely to be, and when it will disappear. Second, we define appropriability ex ante, as expected imitation lag and cost, and show how that definition yields testable constructs (quality lead, imitation lag, and organizational capital) that can be measured from public sources. Third, we offer a first empirical look at these constructs using leaderboard, endpoint-price, and regulatory filing data, and we are explicit about the limits of these tests.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derives the hypotheses, and Section 6 reports results.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39" w:name="hypotheses-and-empirical-counterparts"/>
    <w:p>
      <w:pPr>
        <w:pStyle w:val="Heading1"/>
      </w:pPr>
      <w:r>
        <w:t xml:space="preserve">5. Hypotheses and Empirical Counterparts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hypotheses"/>
    <w:p>
      <w:pPr>
        <w:pStyle w:val="Heading2"/>
      </w:pPr>
      <w:r>
        <w:t xml:space="preserve">5.2 Hypotheses</w:t>
      </w:r>
    </w:p>
    <w:p>
      <w:pPr>
        <w:pStyle w:val="FirstParagraph"/>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bookmarkEnd w:id="38"/>
    <w:bookmarkEnd w:id="39"/>
    <w:bookmarkStart w:id="43" w:name="results"/>
    <w:p>
      <w:pPr>
        <w:pStyle w:val="Heading1"/>
      </w:pPr>
      <w:r>
        <w:t xml:space="preserve">6. Results</w:t>
      </w:r>
    </w:p>
    <w:p>
      <w:pPr>
        <w:pStyle w:val="FirstParagraph"/>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0"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0"/>
    <w:bookmarkStart w:id="41" w:name="adopter-side-h2-to-h4"/>
    <w:p>
      <w:pPr>
        <w:pStyle w:val="Heading2"/>
      </w:pPr>
      <w:r>
        <w:t xml:space="preserve">6.2 Adopter side (H2 to H4)</w:t>
      </w:r>
    </w:p>
    <w:p>
      <w:pPr>
        <w:pStyle w:val="FirstParagraph"/>
      </w:pPr>
      <w:r>
        <w:rPr>
          <w:iCs/>
          <w:i/>
        </w:rPr>
        <w:t xml:space="preserve">H2.</w:t>
      </w:r>
      <w:r>
        <w:t xml:space="preserve"> </w:t>
      </w:r>
      <w:r>
        <w:t xml:space="preserve">Pooled exposure without a coded GA year does not predict operating margin.</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so the point estimates alone do not establish decay, and we do not claim support for H4. A time-invariant bundle-by-post-2023 difference-in-differences gives a similar coefficient and is retained as a robustness check.</w:t>
      </w:r>
    </w:p>
    <w:bookmarkEnd w:id="41"/>
    <w:bookmarkStart w:id="42"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2"/>
    <w:bookmarkEnd w:id="43"/>
    <w:bookmarkStart w:id="47" w:name="discussion"/>
    <w:p>
      <w:pPr>
        <w:pStyle w:val="Heading1"/>
      </w:pPr>
      <w:r>
        <w:t xml:space="preserve">7. Discussion</w:t>
      </w:r>
    </w:p>
    <w:bookmarkStart w:id="44"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4"/>
    <w:bookmarkStart w:id="45"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5"/>
    <w:bookmarkStart w:id="46"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The tests here are best viewed as a first look at the constructs, and they are not a confirmation of the theory.</w:t>
      </w:r>
    </w:p>
    <w:bookmarkEnd w:id="46"/>
    <w:bookmarkEnd w:id="47"/>
    <w:bookmarkStart w:id="48"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8"/>
    <w:bookmarkStart w:id="49"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49"/>
    <w:bookmarkStart w:id="50"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2026-10-20T23:16:16Z</dcterms:created>
  <dcterms:modified xsi:type="dcterms:W3CDTF">2026-10-20T23:16:16Z</dcterms:modified>
</cp:coreProperties>
</file>

<file path=docProps/custom.xml><?xml version="1.0" encoding="utf-8"?>
<Properties xmlns="http://schemas.openxmlformats.org/officeDocument/2006/custom-properties" xmlns:vt="http://schemas.openxmlformats.org/officeDocument/2006/docPropsVTypes"/>
</file>