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sz w:val="36"/>
          <w:szCs w:val="36"/>
        </w:rPr>
        <w:t xml:space="preserve">Does Generative AI Help Inventors Innovate?</w:t>
      </w:r>
    </w:p>
    <w:p>
      <w:pPr>
        <w:spacing w:after="120"/>
      </w:pPr>
      <w:r>
        <w:rPr>
          <w:i/>
          <w:iCs/>
          <w:sz w:val="24"/>
          <w:szCs w:val="24"/>
        </w:rPr>
        <w:t xml:space="preserve">Patent-Level Measurement of LLM-Assisted Drafting and Its Effects on Innovation Quantity, Novelty, and Exploration — Revised Research Proposal (v2)</w:t>
      </w:r>
    </w:p>
    <w:p>
      <w:pPr>
        <w:spacing w:after="120"/>
      </w:pPr>
      <w:r>
        <w:t xml:space="preserve">October 2026</w:t>
      </w:r>
    </w:p>
    <w:p>
      <w:pPr>
        <w:pStyle w:val="Heading1"/>
      </w:pPr>
      <w:r>
        <w:t xml:space="preserve">Summary of Revisions from v1</w:t>
      </w:r>
    </w:p>
    <w:p>
      <w:pPr>
        <w:spacing w:after="120"/>
      </w:pPr>
      <w:r>
        <w:t xml:space="preserve">This version responds to a methodological review of v1. The main changes are:</w:t>
      </w:r>
    </w:p>
    <w:p>
      <w:pPr>
        <w:pStyle w:val="ListParagraph"/>
        <w:numPr>
          <w:ilvl w:val="0"/>
          <w:numId w:val="2"/>
        </w:numPr>
        <w:spacing w:after="60"/>
      </w:pPr>
      <w:r>
        <w:rPr>
          <w:b/>
          <w:bCs/>
        </w:rPr>
        <w:t xml:space="preserve">Sample restriction. </w:t>
      </w:r>
      <w:r>
        <w:t xml:space="preserve">v1 required at least two applications after November 2022, which conditions on the outcome and biases H1 upward. v2 conditions only on pre-period characteristics.</w:t>
      </w:r>
    </w:p>
    <w:p>
      <w:pPr>
        <w:pStyle w:val="ListParagraph"/>
        <w:numPr>
          <w:ilvl w:val="0"/>
          <w:numId w:val="2"/>
        </w:numPr>
        <w:spacing w:after="60"/>
      </w:pPr>
      <w:r>
        <w:rPr>
          <w:b/>
          <w:bCs/>
        </w:rPr>
        <w:t xml:space="preserve">Unit of analysis. </w:t>
      </w:r>
      <w:r>
        <w:t xml:space="preserve">Specifications are mostly written by patent attorneys, and inventor-year detection is statistically weak. v2 makes the drafting unit (assignee × law firm/agent) the primary level, with inventor-level analysis as a secondary, continuous-intensity specification.</w:t>
      </w:r>
    </w:p>
    <w:p>
      <w:pPr>
        <w:pStyle w:val="ListParagraph"/>
        <w:numPr>
          <w:ilvl w:val="0"/>
          <w:numId w:val="2"/>
        </w:numPr>
        <w:spacing w:after="60"/>
      </w:pPr>
      <w:r>
        <w:rPr>
          <w:b/>
          <w:bCs/>
        </w:rPr>
        <w:t xml:space="preserve">Mechanical links. </w:t>
      </w:r>
      <w:r>
        <w:t xml:space="preserve">Text-novelty outcomes are mechanically affected by LLM polishing. v2 makes CPC-based measures primary and treats text novelty as evidence about expression only. Adoption is also defined so that it does not mechanically depend on filing volume.</w:t>
      </w:r>
    </w:p>
    <w:p>
      <w:pPr>
        <w:pStyle w:val="ListParagraph"/>
        <w:numPr>
          <w:ilvl w:val="0"/>
          <w:numId w:val="2"/>
        </w:numPr>
        <w:spacing w:after="60"/>
      </w:pPr>
      <w:r>
        <w:rPr>
          <w:b/>
          <w:bCs/>
        </w:rPr>
        <w:t xml:space="preserve">Estimators. </w:t>
      </w:r>
      <w:r>
        <w:t xml:space="preserve">v1 combined Callaway–Sant’Anna with a TWFE Poisson model. v2 uses a single staggered/continuous-treatment framework, with Poisson ETWFE for counts.</w:t>
      </w:r>
    </w:p>
    <w:p>
      <w:pPr>
        <w:pStyle w:val="ListParagraph"/>
        <w:numPr>
          <w:ilvl w:val="0"/>
          <w:numId w:val="2"/>
        </w:numPr>
        <w:spacing w:after="60"/>
      </w:pPr>
      <w:r>
        <w:rPr>
          <w:b/>
          <w:bCs/>
        </w:rPr>
        <w:t xml:space="preserve">Literature positioning. </w:t>
      </w:r>
      <w:r>
        <w:t xml:space="preserve">The Acharya et al. paper does study originality and generality, not only citations; the positioning table is corrected.</w:t>
      </w:r>
    </w:p>
    <w:p>
      <w:pPr>
        <w:pStyle w:val="ListParagraph"/>
        <w:numPr>
          <w:ilvl w:val="0"/>
          <w:numId w:val="2"/>
        </w:numPr>
        <w:spacing w:after="60"/>
      </w:pPr>
      <w:r>
        <w:rPr>
          <w:b/>
          <w:bCs/>
        </w:rPr>
        <w:t xml:space="preserve">Added safeguards. </w:t>
      </w:r>
      <w:r>
        <w:t xml:space="preserve">Machine-translation and temporal-drift controls, a go/no-go pilot gate, updated data windows, revised budget, and an ethics note.</w:t>
      </w:r>
    </w:p>
    <w:p>
      <w:pPr>
        <w:pStyle w:val="Heading1"/>
      </w:pPr>
      <w:r>
        <w:t xml:space="preserve">1. Summary</w:t>
      </w:r>
    </w:p>
    <w:p>
      <w:pPr>
        <w:spacing w:after="120"/>
      </w:pPr>
      <w:r>
        <w:t xml:space="preserve">This study asks whether generative AI helps inventors innovate. Instead of inferring AI use from industry exposure or product-installation dates, it measures LLM-assisted drafting directly in the text of U.S. patent applications, and compares units before and after they begin using it against comparable units that have not.</w:t>
      </w:r>
    </w:p>
    <w:p>
      <w:pPr>
        <w:spacing w:after="120"/>
      </w:pPr>
      <w:r>
        <w:t xml:space="preserve">Three outcome families are examined: the number of patent applications (quantity); novelty measured from technology-class combinations (primary) and from text (secondary); and the share of applications in technology fields new to the unit (exploration). The central question is whether generative AI raises innovation volume while narrowing its content — a quantity–novelty trade-off.</w:t>
      </w:r>
    </w:p>
    <w:p>
      <w:pPr>
        <w:spacing w:after="120"/>
      </w:pPr>
      <w:r>
        <w:t xml:space="preserve">Core data are free and public. A main contribution is a validated, multi-method procedure for detecting LLM-assisted writing in patents, together with an explicit analysis of what such detection does and does not identify.</w:t>
      </w:r>
    </w:p>
    <w:p>
      <w:pPr>
        <w:pStyle w:val="Heading1"/>
      </w:pPr>
      <w:r>
        <w:t xml:space="preserve">2. Motivation</w:t>
      </w:r>
    </w:p>
    <w:p>
      <w:pPr>
        <w:spacing w:after="120"/>
      </w:pPr>
      <w:r>
        <w:t xml:space="preserve">Generative AI lowers the cost of prior-art search, coding, and technical writing. Experiments show individual creativity gains but reduced collective diversity of AI-assisted output (Doshi &amp; Hauser, 2024). Whether this holds for real invention, where stakes and incentives are high, is unknown. Firm-level studies infer AI use from exposure indices or product adoption and cannot say whether a given application involved generative AI. Patent texts are public and time-stamped, offering a rare opportunity to observe AI use at the level of individual filings.</w:t>
      </w:r>
    </w:p>
    <w:p>
      <w:pPr>
        <w:spacing w:after="120"/>
      </w:pPr>
      <w:r>
        <w:rPr>
          <w:b/>
          <w:bCs/>
        </w:rPr>
        <w:t xml:space="preserve">Scope note. </w:t>
      </w:r>
      <w:r>
        <w:t xml:space="preserve">What the text reveals is AI-assisted drafting. Patent specifications are frequently written by attorneys, so drafting-stage AI use and invention-stage AI use are different treatments. The design separates them as far as the data allow (Sections 7–9) and states conclusions accordingly.</w:t>
      </w:r>
    </w:p>
    <w:p>
      <w:pPr>
        <w:pStyle w:val="Heading1"/>
      </w:pPr>
      <w:r>
        <w:t xml:space="preserve">3. Related Literature and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tcBorders>
              <w:top w:val="single" w:color="BBBBBB" w:sz="4"/>
              <w:left w:val="single" w:color="BBBBBB" w:sz="4"/>
              <w:bottom w:val="single" w:color="BBBBBB" w:sz="4"/>
              <w:right w:val="single" w:color="BBBBBB" w:sz="4"/>
            </w:tcBorders>
            <w:shd w:fill="E8EDF3" w:color="auto" w:val="clear"/>
            <w:tcMar>
              <w:top w:type="dxa" w:w="60"/>
              <w:left w:type="dxa" w:w="100"/>
              <w:bottom w:type="dxa" w:w="60"/>
              <w:right w:type="dxa" w:w="100"/>
            </w:tcMar>
          </w:tcPr>
          <w:p>
            <w:r>
              <w:rPr>
                <w:b/>
                <w:bCs/>
                <w:sz w:val="19"/>
                <w:szCs w:val="19"/>
              </w:rPr>
              <w:t xml:space="preserve">Study</w:t>
            </w:r>
          </w:p>
        </w:tc>
        <w:tc>
          <w:tcPr>
            <w:tcW w:type="dxa" w:w="3400"/>
            <w:tcBorders>
              <w:top w:val="single" w:color="BBBBBB" w:sz="4"/>
              <w:left w:val="single" w:color="BBBBBB" w:sz="4"/>
              <w:bottom w:val="single" w:color="BBBBBB" w:sz="4"/>
              <w:right w:val="single" w:color="BBBBBB" w:sz="4"/>
            </w:tcBorders>
            <w:shd w:fill="E8EDF3" w:color="auto" w:val="clear"/>
            <w:tcMar>
              <w:top w:type="dxa" w:w="60"/>
              <w:left w:type="dxa" w:w="100"/>
              <w:bottom w:type="dxa" w:w="60"/>
              <w:right w:type="dxa" w:w="100"/>
            </w:tcMar>
          </w:tcPr>
          <w:p>
            <w:r>
              <w:rPr>
                <w:b/>
                <w:bCs/>
                <w:sz w:val="19"/>
                <w:szCs w:val="19"/>
              </w:rPr>
              <w:t xml:space="preserve">What it does</w:t>
            </w:r>
          </w:p>
        </w:tc>
        <w:tc>
          <w:tcPr>
            <w:tcW w:type="dxa" w:w="3660"/>
            <w:tcBorders>
              <w:top w:val="single" w:color="BBBBBB" w:sz="4"/>
              <w:left w:val="single" w:color="BBBBBB" w:sz="4"/>
              <w:bottom w:val="single" w:color="BBBBBB" w:sz="4"/>
              <w:right w:val="single" w:color="BBBBBB" w:sz="4"/>
            </w:tcBorders>
            <w:shd w:fill="E8EDF3" w:color="auto" w:val="clear"/>
            <w:tcMar>
              <w:top w:type="dxa" w:w="60"/>
              <w:left w:type="dxa" w:w="100"/>
              <w:bottom w:type="dxa" w:w="60"/>
              <w:right w:type="dxa" w:w="100"/>
            </w:tcMar>
          </w:tcPr>
          <w:p>
            <w:r>
              <w:rPr>
                <w:b/>
                <w:bCs/>
                <w:sz w:val="19"/>
                <w:szCs w:val="19"/>
              </w:rPr>
              <w:t xml:space="preserve">Gap this proposal addresses</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Acharya, Shao &amp; Xu (SSRN, March 2026)</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Staggered DID on firms using AI product installation dates; adopters file more patents with more citations, claims, originality, and generality; mechanisms include efficiency, inventor composition, and recombination</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AI adoption is measured by product installation, not by use in each filing; outcomes are not tied to LLM-assisted drafting at the filing level, and homogenization is not tested</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Liang et al. (2025), Patterns</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Estimates LLM-assisted writing across several domains; reportedly attempted patents with a limited sample (to be verified against the paper)</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Patent coverage limited by publication lag; no link to inventor/firm outcomes</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Systematic review of LLMs in the patent lifecycle (2026), World Patent Information</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Maps LLM applications in patent analytics</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Names reliable detection of AI-generated patent text as a priority gap</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2026 preprint on detecting LLM text in patents (EPO setting; not peer reviewed)</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Benchmarks zero-shot detectors; argues formulaic claim language makes perplexity-based detection unreliable</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Motivates our section-specific, group-level approach and the downgrading of document-level scores</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Brazilian dissertation (2025)</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ChatGPT and national filing volume; no significant effect</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Aggregate national data only</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Doshi &amp; Hauser (2024), Science Advances</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Lab experiment: AI raises individual creativity, lowers collective diversity</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Not tested in real-world invention</w:t>
            </w:r>
          </w:p>
        </w:tc>
      </w:tr>
    </w:tbl>
    <w:p>
      <w:pPr>
        <w:spacing w:after="120"/>
      </w:pPr>
      <w:r>
        <w:t xml:space="preserve"/>
      </w:r>
    </w:p>
    <w:p>
      <w:pPr>
        <w:spacing w:after="120"/>
      </w:pPr>
      <w:r>
        <w:rPr>
          <w:b/>
          <w:bCs/>
        </w:rPr>
        <w:t xml:space="preserve">Positioning. </w:t>
      </w:r>
      <w:r>
        <w:t xml:space="preserve">We have not located a study that links filing-level measurement of LLM-assisted drafting to changes in combinatorial novelty and exploration. Methods and data are public, so competition may arrive quickly; literature alerts (Google Scholar, SSRN, NBER, arXiv) will be maintained. A pre-registered analysis plan and early release of RQ1 results will establish priority.</w:t>
      </w:r>
    </w:p>
    <w:p>
      <w:pPr>
        <w:spacing w:after="120"/>
      </w:pPr>
      <w:r>
        <w:rPr>
          <w:b/>
          <w:bCs/>
        </w:rPr>
        <w:t xml:space="preserve">Context. </w:t>
      </w:r>
      <w:r>
        <w:t xml:space="preserve">The USPTO revised its inventorship guidance in late 2025, reaffirming that only natural persons can be inventors. This may change incentives to disclose or conceal AI use and is discussed as a contextual factor, not modeled.</w:t>
      </w:r>
    </w:p>
    <w:p>
      <w:pPr>
        <w:pStyle w:val="Heading1"/>
      </w:pPr>
      <w:r>
        <w:t xml:space="preserve">4. Research Questions</w:t>
      </w:r>
    </w:p>
    <w:p>
      <w:pPr>
        <w:pStyle w:val="ListParagraph"/>
        <w:numPr>
          <w:ilvl w:val="0"/>
          <w:numId w:val="2"/>
        </w:numPr>
        <w:spacing w:after="60"/>
      </w:pPr>
      <w:r>
        <w:t xml:space="preserve">RQ1 (Measurement): How prevalent is LLM-assisted drafting in U.S. patent applications filed 2023–2026, and how does it vary by field, firm size, applicant country, and law firm?</w:t>
      </w:r>
    </w:p>
    <w:p>
      <w:pPr>
        <w:pStyle w:val="ListParagraph"/>
        <w:numPr>
          <w:ilvl w:val="0"/>
          <w:numId w:val="2"/>
        </w:numPr>
        <w:spacing w:after="60"/>
      </w:pPr>
      <w:r>
        <w:t xml:space="preserve">RQ2 (Quantity): Do units that begin using LLM-assisted drafting file more applications?</w:t>
      </w:r>
    </w:p>
    <w:p>
      <w:pPr>
        <w:pStyle w:val="ListParagraph"/>
        <w:numPr>
          <w:ilvl w:val="0"/>
          <w:numId w:val="2"/>
        </w:numPr>
        <w:spacing w:after="60"/>
      </w:pPr>
      <w:r>
        <w:t xml:space="preserve">RQ3 (Novelty): Does combinatorial novelty of their filings rise or fall? Does text novelty move differently, indicating a change in expression only?</w:t>
      </w:r>
    </w:p>
    <w:p>
      <w:pPr>
        <w:pStyle w:val="ListParagraph"/>
        <w:numPr>
          <w:ilvl w:val="0"/>
          <w:numId w:val="2"/>
        </w:numPr>
        <w:spacing w:after="60"/>
      </w:pPr>
      <w:r>
        <w:t xml:space="preserve">RQ4 (Direction): Does LLM-assisted drafting accompany a move toward new technology fields or toward existing ones?</w:t>
      </w:r>
    </w:p>
    <w:p>
      <w:pPr>
        <w:pStyle w:val="ListParagraph"/>
        <w:numPr>
          <w:ilvl w:val="0"/>
          <w:numId w:val="2"/>
        </w:numPr>
        <w:spacing w:after="60"/>
      </w:pPr>
      <w:r>
        <w:t xml:space="preserve">RQ5 (Heterogeneity): Do effects differ by firm size and by prior specialization?</w:t>
      </w:r>
    </w:p>
    <w:p>
      <w:pPr>
        <w:pStyle w:val="Heading1"/>
      </w:pPr>
      <w:r>
        <w:t xml:space="preserve">5. Theory and Hypotheses</w:t>
      </w:r>
    </w:p>
    <w:p>
      <w:pPr>
        <w:pStyle w:val="Heading2"/>
      </w:pPr>
      <w:r>
        <w:t xml:space="preserve">5.1 Knowledge Production Function</w:t>
      </w:r>
    </w:p>
    <w:p>
      <w:pPr>
        <w:spacing w:after="120"/>
      </w:pPr>
      <w:r>
        <w:t xml:space="preserve">Innovative output depends on R&amp;D inputs and the existing knowledge stock (Griliches, 1979). Generative AI lowers the marginal cost of search, coding, and drafting.</w:t>
      </w:r>
    </w:p>
    <w:p>
      <w:pPr>
        <w:spacing w:after="120"/>
      </w:pPr>
      <w:r>
        <w:rPr>
          <w:b/>
          <w:bCs/>
        </w:rPr>
        <w:t xml:space="preserve">H1: </w:t>
      </w:r>
      <w:r>
        <w:t xml:space="preserve">Units that adopt LLM-assisted drafting increase patent filings relative to comparable non-adopters.</w:t>
      </w:r>
    </w:p>
    <w:p>
      <w:pPr>
        <w:pStyle w:val="Heading2"/>
      </w:pPr>
      <w:r>
        <w:t xml:space="preserve">5.2 Recombinant Growth and Homogenization</w:t>
      </w:r>
    </w:p>
    <w:p>
      <w:pPr>
        <w:spacing w:after="120"/>
      </w:pPr>
      <w:r>
        <w:t xml:space="preserve">New ideas are new combinations of existing ones (Weitzman, 1998). LLMs tend to suggest combinations frequent in training data.</w:t>
      </w:r>
    </w:p>
    <w:p>
      <w:pPr>
        <w:spacing w:after="120"/>
      </w:pPr>
      <w:r>
        <w:rPr>
          <w:b/>
          <w:bCs/>
        </w:rPr>
        <w:t xml:space="preserve">H2: </w:t>
      </w:r>
      <w:r>
        <w:t xml:space="preserve">Combinatorial novelty per filing falls after adoption, relative to non-adopters. Text novelty is analyzed separately (Section 8) and is not used as primary evidence, because LLM polishing mechanically makes text more similar.</w:t>
      </w:r>
    </w:p>
    <w:p>
      <w:pPr>
        <w:pStyle w:val="Heading2"/>
      </w:pPr>
      <w:r>
        <w:t xml:space="preserve">5.3 Exploration and Exploitation</w:t>
      </w:r>
    </w:p>
    <w:p>
      <w:pPr>
        <w:spacing w:after="120"/>
      </w:pPr>
      <w:r>
        <w:t xml:space="preserve">Organizations favor exploiting familiar domains (March, 1991). Generative AI could reinforce this or lower the cost of learning new fields. Rather than leaving the direction open, we pre-specify a conditional prediction:</w:t>
      </w:r>
    </w:p>
    <w:p>
      <w:pPr>
        <w:spacing w:after="120"/>
      </w:pPr>
      <w:r>
        <w:rPr>
          <w:b/>
          <w:bCs/>
        </w:rPr>
        <w:t xml:space="preserve">H3: </w:t>
      </w:r>
      <w:r>
        <w:t xml:space="preserve">The effect on the share of filings in new fields depends on prior specialization. Units with deep prior specialization shift toward exploitation (lower new-field share); units with broad prior portfolios shift toward exploration. A pooled null is not interpreted as evidence against the mechanism.</w:t>
      </w:r>
    </w:p>
    <w:p>
      <w:pPr>
        <w:pStyle w:val="Heading2"/>
      </w:pPr>
      <w:r>
        <w:t xml:space="preserve">5.4 Fixed Costs and Organizational Capacity</w:t>
      </w:r>
    </w:p>
    <w:p>
      <w:pPr>
        <w:spacing w:after="120"/>
      </w:pPr>
      <w:r>
        <w:t xml:space="preserve">Drafting and search are largely fixed costs per invention. Large firms absorb them through IP teams; small firms do not. Against this, large firms may adopt in-house AI tools and policies earlier.</w:t>
      </w:r>
    </w:p>
    <w:p>
      <w:pPr>
        <w:spacing w:after="120"/>
      </w:pPr>
      <w:r>
        <w:rPr>
          <w:b/>
          <w:bCs/>
        </w:rPr>
        <w:t xml:space="preserve">H4 (two-sided, theory-informed): </w:t>
      </w:r>
      <w:r>
        <w:t xml:space="preserve">The H1 effect differs by firm size. We pre-specify the sign as stronger for small firms but report the interaction regardless of sign and test it as such, since the theory admits both directions.</w:t>
      </w:r>
    </w:p>
    <w:p>
      <w:pPr>
        <w:pStyle w:val="Heading1"/>
      </w:pPr>
      <w:r>
        <w:t xml:space="preserve">6. Data</w:t>
      </w:r>
    </w:p>
    <w:p>
      <w:pPr>
        <w:spacing w:after="120"/>
      </w:pPr>
      <w:r>
        <w:t xml:space="preserve">The sample covers applications filed 2018 onward and published through the latest available PatentsView/USPTO release (as of October 2026, the release window should be extended beyond December 2025 where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rPr>
          <w:tblHeader/>
        </w:trPr>
        <w:tc>
          <w:tcPr>
            <w:tcW w:type="dxa" w:w="2400"/>
            <w:tcBorders>
              <w:top w:val="single" w:color="BBBBBB" w:sz="4"/>
              <w:left w:val="single" w:color="BBBBBB" w:sz="4"/>
              <w:bottom w:val="single" w:color="BBBBBB" w:sz="4"/>
              <w:right w:val="single" w:color="BBBBBB" w:sz="4"/>
            </w:tcBorders>
            <w:shd w:fill="E8EDF3" w:color="auto" w:val="clear"/>
            <w:tcMar>
              <w:top w:type="dxa" w:w="60"/>
              <w:left w:type="dxa" w:w="100"/>
              <w:bottom w:type="dxa" w:w="60"/>
              <w:right w:type="dxa" w:w="100"/>
            </w:tcMar>
          </w:tcPr>
          <w:p>
            <w:r>
              <w:rPr>
                <w:b/>
                <w:bCs/>
                <w:sz w:val="19"/>
                <w:szCs w:val="19"/>
              </w:rPr>
              <w:t xml:space="preserve">Data</w:t>
            </w:r>
          </w:p>
        </w:tc>
        <w:tc>
          <w:tcPr>
            <w:tcW w:type="dxa" w:w="2400"/>
            <w:tcBorders>
              <w:top w:val="single" w:color="BBBBBB" w:sz="4"/>
              <w:left w:val="single" w:color="BBBBBB" w:sz="4"/>
              <w:bottom w:val="single" w:color="BBBBBB" w:sz="4"/>
              <w:right w:val="single" w:color="BBBBBB" w:sz="4"/>
            </w:tcBorders>
            <w:shd w:fill="E8EDF3" w:color="auto" w:val="clear"/>
            <w:tcMar>
              <w:top w:type="dxa" w:w="60"/>
              <w:left w:type="dxa" w:w="100"/>
              <w:bottom w:type="dxa" w:w="60"/>
              <w:right w:type="dxa" w:w="100"/>
            </w:tcMar>
          </w:tcPr>
          <w:p>
            <w:r>
              <w:rPr>
                <w:b/>
                <w:bCs/>
                <w:sz w:val="19"/>
                <w:szCs w:val="19"/>
              </w:rPr>
              <w:t xml:space="preserve">Source</w:t>
            </w:r>
          </w:p>
        </w:tc>
        <w:tc>
          <w:tcPr>
            <w:tcW w:type="dxa" w:w="2000"/>
            <w:tcBorders>
              <w:top w:val="single" w:color="BBBBBB" w:sz="4"/>
              <w:left w:val="single" w:color="BBBBBB" w:sz="4"/>
              <w:bottom w:val="single" w:color="BBBBBB" w:sz="4"/>
              <w:right w:val="single" w:color="BBBBBB" w:sz="4"/>
            </w:tcBorders>
            <w:shd w:fill="E8EDF3" w:color="auto" w:val="clear"/>
            <w:tcMar>
              <w:top w:type="dxa" w:w="60"/>
              <w:left w:type="dxa" w:w="100"/>
              <w:bottom w:type="dxa" w:w="60"/>
              <w:right w:type="dxa" w:w="100"/>
            </w:tcMar>
          </w:tcPr>
          <w:p>
            <w:r>
              <w:rPr>
                <w:b/>
                <w:bCs/>
                <w:sz w:val="19"/>
                <w:szCs w:val="19"/>
              </w:rPr>
              <w:t xml:space="preserve">Use</w:t>
            </w:r>
          </w:p>
        </w:tc>
        <w:tc>
          <w:tcPr>
            <w:tcW w:type="dxa" w:w="2560"/>
            <w:tcBorders>
              <w:top w:val="single" w:color="BBBBBB" w:sz="4"/>
              <w:left w:val="single" w:color="BBBBBB" w:sz="4"/>
              <w:bottom w:val="single" w:color="BBBBBB" w:sz="4"/>
              <w:right w:val="single" w:color="BBBBBB" w:sz="4"/>
            </w:tcBorders>
            <w:shd w:fill="E8EDF3" w:color="auto" w:val="clear"/>
            <w:tcMar>
              <w:top w:type="dxa" w:w="60"/>
              <w:left w:type="dxa" w:w="100"/>
              <w:bottom w:type="dxa" w:w="60"/>
              <w:right w:type="dxa" w:w="100"/>
            </w:tcMar>
          </w:tcPr>
          <w:p>
            <w:r>
              <w:rPr>
                <w:b/>
                <w:bCs/>
                <w:sz w:val="19"/>
                <w:szCs w:val="19"/>
              </w:rPr>
              <w:t xml:space="preserve">Notes</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Application full text (claims, summary, description)</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PatentsView pre-grant long-text tables; USPTO bulk XML</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AI-use detection; text novelty</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CC BY 4.0</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Disambiguated inventors and assignees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PatentsView with persistent inventor ID table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Panels</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IDs can shift between releases; persistent table fixes this</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Attorney / agent / law firm</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USPTO bulk XML for applications (check whether agent fields are populated); PatentsView for granted patents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Primary drafting-unit definition; attorney FE</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To be verified in the pilot; granted-only fallback is weaker (selection, grant lag)</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CPC classifications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PatentsView</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Combinatorial novelty; exploration; field × year FE</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Assigned partly by examiners; see limitations</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Corporate filings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SEC EDGAR 10-K</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Firm size; AI adoption cross-check</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Free</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Industry AI exposure</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Eloundou et al. (2024); Felten et al. (2021)</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Intent-to-treat analysis</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Free</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Financial controls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Compustat via university WRDS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Sales, R&amp;D, employees</w:t>
            </w:r>
          </w:p>
        </w:tc>
        <w:tc>
          <w:tcPr>
            <w:tcW w:type="dxa" w:w="2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Optional</w:t>
            </w:r>
          </w:p>
        </w:tc>
      </w:tr>
    </w:tbl>
    <w:p>
      <w:pPr>
        <w:spacing w:after="120"/>
      </w:pPr>
      <w:r>
        <w:t xml:space="preserve"/>
      </w:r>
    </w:p>
    <w:p>
      <w:pPr>
        <w:spacing w:after="120"/>
      </w:pPr>
      <w:r>
        <w:rPr>
          <w:b/>
          <w:bCs/>
        </w:rPr>
        <w:t xml:space="preserve">Truncation. </w:t>
      </w:r>
      <w:r>
        <w:t xml:space="preserve">Applications are published about 18 months after filing, so filings through roughly mid-2024 are essentially complete as of the 2025 data and later cohorts are partial; the window extends as new releases appear. Analyses use filing-date cohorts with cohort-specific publication-lag controls and are re-estimated with each release. With complete data only through 2024, the clean post-period is short (about 1.5 years), so conclusions are framed as short-run.</w:t>
      </w:r>
    </w:p>
    <w:p>
      <w:pPr>
        <w:pStyle w:val="Heading1"/>
      </w:pPr>
      <w:r>
        <w:t xml:space="preserve">7. Measuring LLM-Assisted Drafting (Core Method)</w:t>
      </w:r>
    </w:p>
    <w:p>
      <w:pPr>
        <w:spacing w:after="120"/>
      </w:pPr>
      <w:r>
        <w:t xml:space="preserve">Asking an LLM to judge whether a text is AI-written is unreliable and is not used. LLMs serve as generators of reference text and as probability models.</w:t>
      </w:r>
    </w:p>
    <w:p>
      <w:pPr>
        <w:pStyle w:val="Heading2"/>
      </w:pPr>
      <w:r>
        <w:t xml:space="preserve">7.1 Reference Corpora</w:t>
      </w:r>
    </w:p>
    <w:p>
      <w:pPr>
        <w:pStyle w:val="ListParagraph"/>
        <w:numPr>
          <w:ilvl w:val="0"/>
          <w:numId w:val="2"/>
        </w:numPr>
        <w:spacing w:after="60"/>
      </w:pPr>
      <w:r>
        <w:rPr>
          <w:b/>
          <w:bCs/>
        </w:rPr>
        <w:t xml:space="preserve">Human corpus: </w:t>
      </w:r>
      <w:r>
        <w:t xml:space="preserve">applications filed before November 30, 2022 are treated as human-written, with a documented caveat for earlier language models and for templated text.</w:t>
      </w:r>
    </w:p>
    <w:p>
      <w:pPr>
        <w:pStyle w:val="ListParagraph"/>
        <w:numPr>
          <w:ilvl w:val="0"/>
          <w:numId w:val="2"/>
        </w:numPr>
        <w:spacing w:after="60"/>
      </w:pPr>
      <w:r>
        <w:rPr>
          <w:b/>
          <w:bCs/>
        </w:rPr>
        <w:t xml:space="preserve">AI corpus: </w:t>
      </w:r>
      <w:r>
        <w:t xml:space="preserve">a random sample of pre-2022 applications rewritten by several LLMs (GPT, Claude, Gemini, Llama, Qwen) under prompts mimicking polishing, expansion, and drafting from an invention disclosure. A subset also uses commercial patent-drafting tools or open drafting pipelines, since practitioners’ text may differ from general-purpose chat output.</w:t>
      </w:r>
    </w:p>
    <w:p>
      <w:pPr>
        <w:pStyle w:val="ListParagraph"/>
        <w:numPr>
          <w:ilvl w:val="0"/>
          <w:numId w:val="2"/>
        </w:numPr>
        <w:spacing w:after="60"/>
      </w:pPr>
      <w:r>
        <w:rPr>
          <w:b/>
          <w:bCs/>
        </w:rPr>
        <w:t xml:space="preserve">Machine-translation corpus: </w:t>
      </w:r>
      <w:r>
        <w:t xml:space="preserve">pre-2022 text from non-English-origin filings passed through neural MT, to prevent the detector from labeling translated text as LLM-written.</w:t>
      </w:r>
    </w:p>
    <w:p>
      <w:pPr>
        <w:pStyle w:val="Heading2"/>
      </w:pPr>
      <w:r>
        <w:t xml:space="preserve">7.2 Three Complementary Measures</w:t>
      </w:r>
    </w:p>
    <w:p>
      <w:pPr>
        <w:pStyle w:val="ListParagraph"/>
        <w:numPr>
          <w:ilvl w:val="0"/>
          <w:numId w:val="2"/>
        </w:numPr>
        <w:spacing w:after="60"/>
      </w:pPr>
      <w:r>
        <w:rPr>
          <w:b/>
          <w:bCs/>
        </w:rPr>
        <w:t xml:space="preserve">Group-level distributional estimate (primary). </w:t>
      </w:r>
      <w:r>
        <w:t xml:space="preserve">A mixture model of word frequencies estimates the LLM-assisted share in a group, following Liang et al. (2024, 2025). It is applied at the drafting-unit and field × quarter levels where sample sizes are large enough; minimum group-size thresholds are set in the pilot.</w:t>
      </w:r>
    </w:p>
    <w:p>
      <w:pPr>
        <w:pStyle w:val="ListParagraph"/>
        <w:numPr>
          <w:ilvl w:val="0"/>
          <w:numId w:val="2"/>
        </w:numPr>
        <w:spacing w:after="60"/>
      </w:pPr>
      <w:r>
        <w:rPr>
          <w:b/>
          <w:bCs/>
        </w:rPr>
        <w:t xml:space="preserve">Document-level likelihood score (secondary). </w:t>
      </w:r>
      <w:r>
        <w:t xml:space="preserve">Zero-shot Binoculars-type score using two open-source LLMs (Hans et al., 2024). Because formulaic claim language makes such scores unreliable, it is used on the description and summary only, as a robustness measure.</w:t>
      </w:r>
    </w:p>
    <w:p>
      <w:pPr>
        <w:pStyle w:val="ListParagraph"/>
        <w:numPr>
          <w:ilvl w:val="0"/>
          <w:numId w:val="2"/>
        </w:numPr>
        <w:spacing w:after="60"/>
      </w:pPr>
      <w:r>
        <w:rPr>
          <w:b/>
          <w:bCs/>
        </w:rPr>
        <w:t xml:space="preserve">Supervised classifier (secondary). </w:t>
      </w:r>
      <w:r>
        <w:t xml:space="preserve">A patent-specific classifier fine-tuned on the reference corpora, producing a continuous probability, with temporal cross-validation.</w:t>
      </w:r>
    </w:p>
    <w:p>
      <w:pPr>
        <w:pStyle w:val="Heading2"/>
      </w:pPr>
      <w:r>
        <w:t xml:space="preserve">7.3 Validation</w:t>
      </w:r>
    </w:p>
    <w:p>
      <w:pPr>
        <w:pStyle w:val="ListParagraph"/>
        <w:numPr>
          <w:ilvl w:val="0"/>
          <w:numId w:val="2"/>
        </w:numPr>
        <w:spacing w:after="60"/>
      </w:pPr>
      <w:r>
        <w:t xml:space="preserve">False-positive rate on held-out pre-2022 applications (near zero).</w:t>
      </w:r>
    </w:p>
    <w:p>
      <w:pPr>
        <w:pStyle w:val="ListParagraph"/>
        <w:numPr>
          <w:ilvl w:val="0"/>
          <w:numId w:val="2"/>
        </w:numPr>
        <w:spacing w:after="60"/>
      </w:pPr>
      <w:r>
        <w:t xml:space="preserve">Leave-one-generator-out test (train on four LLMs, test on the fifth).</w:t>
      </w:r>
    </w:p>
    <w:p>
      <w:pPr>
        <w:pStyle w:val="ListParagraph"/>
        <w:numPr>
          <w:ilvl w:val="0"/>
          <w:numId w:val="2"/>
        </w:numPr>
        <w:spacing w:after="60"/>
      </w:pPr>
      <w:r>
        <w:t xml:space="preserve">Partial-editing test (human text lightly edited by an LLM).</w:t>
      </w:r>
    </w:p>
    <w:p>
      <w:pPr>
        <w:pStyle w:val="ListParagraph"/>
        <w:numPr>
          <w:ilvl w:val="0"/>
          <w:numId w:val="2"/>
        </w:numPr>
        <w:spacing w:after="60"/>
      </w:pPr>
      <w:r>
        <w:t xml:space="preserve">Bias check: false-positive rates for U.S. versus non-U.S. applicants, MT-translated filings, and technology fields.</w:t>
      </w:r>
    </w:p>
    <w:p>
      <w:pPr>
        <w:pStyle w:val="ListParagraph"/>
        <w:numPr>
          <w:ilvl w:val="0"/>
          <w:numId w:val="2"/>
        </w:numPr>
        <w:spacing w:after="60"/>
      </w:pPr>
      <w:r>
        <w:t xml:space="preserve">Temporal-drift placebo: apply the detector to 2019–2021 and across pre-2022 cohorts; no spurious “adoption”.</w:t>
      </w:r>
    </w:p>
    <w:p>
      <w:pPr>
        <w:pStyle w:val="ListParagraph"/>
        <w:numPr>
          <w:ilvl w:val="0"/>
          <w:numId w:val="2"/>
        </w:numPr>
        <w:spacing w:after="60"/>
      </w:pPr>
      <w:r>
        <w:t xml:space="preserve">Section choice: detection run separately on claims, summary, and description.</w:t>
      </w:r>
    </w:p>
    <w:p>
      <w:pPr>
        <w:pStyle w:val="ListParagraph"/>
        <w:numPr>
          <w:ilvl w:val="0"/>
          <w:numId w:val="2"/>
        </w:numPr>
        <w:spacing w:after="60"/>
      </w:pPr>
      <w:r>
        <w:t xml:space="preserve">Detector aging: re-estimate the reference AI corpus with newer model generations (including reasoning models) and report sensitivity.</w:t>
      </w:r>
    </w:p>
    <w:p>
      <w:pPr>
        <w:pStyle w:val="Heading2"/>
      </w:pPr>
      <w:r>
        <w:t xml:space="preserve">7.4 Treatment Definition</w:t>
      </w:r>
    </w:p>
    <w:p>
      <w:pPr>
        <w:spacing w:after="120"/>
      </w:pPr>
      <w:r>
        <w:t xml:space="preserve">Two levels are defined, with different roles.</w:t>
      </w:r>
    </w:p>
    <w:p>
      <w:pPr>
        <w:pStyle w:val="ListParagraph"/>
        <w:numPr>
          <w:ilvl w:val="0"/>
          <w:numId w:val="2"/>
        </w:numPr>
        <w:spacing w:after="60"/>
      </w:pPr>
      <w:r>
        <w:rPr>
          <w:b/>
          <w:bCs/>
        </w:rPr>
        <w:t xml:space="preserve">Primary: drafting unit (assignee × law firm/agent). </w:t>
      </w:r>
      <w:r>
        <w:t xml:space="preserve">Treatment intensity is the group-level LLM-assisted share per unit-quarter, estimated from many documents. Binary adoption is the first period in which intensity exceeds a threshold calibrated on the pre-2022 null distribution for the unit’s document count (permutation-based, so that units with more or fewer filings face the same false-positive rate). Continuous intensity is also used.</w:t>
      </w:r>
    </w:p>
    <w:p>
      <w:pPr>
        <w:pStyle w:val="ListParagraph"/>
        <w:numPr>
          <w:ilvl w:val="0"/>
          <w:numId w:val="2"/>
        </w:numPr>
        <w:spacing w:after="60"/>
      </w:pPr>
      <w:r>
        <w:rPr>
          <w:b/>
          <w:bCs/>
        </w:rPr>
        <w:t xml:space="preserve">Secondary: inventor. </w:t>
      </w:r>
      <w:r>
        <w:t xml:space="preserve">Because per-inventor-year samples are small, inventor-level analysis uses continuous intensity with shrinkage toward the drafting-unit estimate, and is interpreted as exposure to AI-assisted drafting, not as the inventor’s own adoption.</w:t>
      </w:r>
    </w:p>
    <w:p>
      <w:pPr>
        <w:spacing w:after="120"/>
      </w:pPr>
      <w:r>
        <w:rPr>
          <w:b/>
          <w:bCs/>
        </w:rPr>
        <w:t xml:space="preserve">Avoiding mechanical dependence. </w:t>
      </w:r>
      <w:r>
        <w:t xml:space="preserve">To keep treatment independent of the outcome documents, adoption is determined on a random half of each unit’s documents (or on description sections) and outcomes are measured on the remaining half where outcomes are document-level (novelty, exploration). For filing counts, which cannot be split, the null calibration above conditions on document count and results are checked with intensity measured on a lagged window.</w:t>
      </w:r>
    </w:p>
    <w:p>
      <w:pPr>
        <w:pStyle w:val="Heading1"/>
      </w:pPr>
      <w:r>
        <w:t xml:space="preserve">8. Outcome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tblHeader/>
        </w:trPr>
        <w:tc>
          <w:tcPr>
            <w:tcW w:type="dxa" w:w="2300"/>
            <w:tcBorders>
              <w:top w:val="single" w:color="BBBBBB" w:sz="4"/>
              <w:left w:val="single" w:color="BBBBBB" w:sz="4"/>
              <w:bottom w:val="single" w:color="BBBBBB" w:sz="4"/>
              <w:right w:val="single" w:color="BBBBBB" w:sz="4"/>
            </w:tcBorders>
            <w:shd w:fill="E8EDF3" w:color="auto" w:val="clear"/>
            <w:tcMar>
              <w:top w:type="dxa" w:w="60"/>
              <w:left w:type="dxa" w:w="100"/>
              <w:bottom w:type="dxa" w:w="60"/>
              <w:right w:type="dxa" w:w="100"/>
            </w:tcMar>
          </w:tcPr>
          <w:p>
            <w:r>
              <w:rPr>
                <w:b/>
                <w:bCs/>
                <w:sz w:val="19"/>
                <w:szCs w:val="19"/>
              </w:rPr>
              <w:t xml:space="preserve">Variable</w:t>
            </w:r>
          </w:p>
        </w:tc>
        <w:tc>
          <w:tcPr>
            <w:tcW w:type="dxa" w:w="3700"/>
            <w:tcBorders>
              <w:top w:val="single" w:color="BBBBBB" w:sz="4"/>
              <w:left w:val="single" w:color="BBBBBB" w:sz="4"/>
              <w:bottom w:val="single" w:color="BBBBBB" w:sz="4"/>
              <w:right w:val="single" w:color="BBBBBB" w:sz="4"/>
            </w:tcBorders>
            <w:shd w:fill="E8EDF3" w:color="auto" w:val="clear"/>
            <w:tcMar>
              <w:top w:type="dxa" w:w="60"/>
              <w:left w:type="dxa" w:w="100"/>
              <w:bottom w:type="dxa" w:w="60"/>
              <w:right w:type="dxa" w:w="100"/>
            </w:tcMar>
          </w:tcPr>
          <w:p>
            <w:r>
              <w:rPr>
                <w:b/>
                <w:bCs/>
                <w:sz w:val="19"/>
                <w:szCs w:val="19"/>
              </w:rPr>
              <w:t xml:space="preserve">Definition</w:t>
            </w:r>
          </w:p>
        </w:tc>
        <w:tc>
          <w:tcPr>
            <w:tcW w:type="dxa" w:w="3360"/>
            <w:tcBorders>
              <w:top w:val="single" w:color="BBBBBB" w:sz="4"/>
              <w:left w:val="single" w:color="BBBBBB" w:sz="4"/>
              <w:bottom w:val="single" w:color="BBBBBB" w:sz="4"/>
              <w:right w:val="single" w:color="BBBBBB" w:sz="4"/>
            </w:tcBorders>
            <w:shd w:fill="E8EDF3" w:color="auto" w:val="clear"/>
            <w:tcMar>
              <w:top w:type="dxa" w:w="60"/>
              <w:left w:type="dxa" w:w="100"/>
              <w:bottom w:type="dxa" w:w="60"/>
              <w:right w:type="dxa" w:w="100"/>
            </w:tcMar>
          </w:tcPr>
          <w:p>
            <w:r>
              <w:rPr>
                <w:b/>
                <w:bCs/>
                <w:sz w:val="19"/>
                <w:szCs w:val="19"/>
              </w:rPr>
              <w:t xml:space="preserve">Role / note</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Patent filings (H1, H4)</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Applications by unit i in period t</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PatentsView counts; primary for quantity</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Combinatorial novelty (H2) — primary</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Share of filings (per-filing, not per-unit) containing a CPC pair never seen before in the prior 5 years; also a rarity-weighted version</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Independent of wording; normalized per filing so it is not mechanically linked to volume</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Exploration share (H3)</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Share of filings in CPC subclasses new to the unit in the prior 5 years</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Reported with volume-adjusted version</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Text novelty (H2) — secondary</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1 − mean cosine similarity to the k most similar applications in the prior 5 years, from open-source embeddings of claims and description</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Interpreted as change in expression: LLM polishing is expected to raise similarity mechanically, so this is not evidence of homogenized inventions</w:t>
            </w:r>
          </w:p>
        </w:tc>
      </w:tr>
    </w:tbl>
    <w:p>
      <w:pPr>
        <w:spacing w:after="120"/>
      </w:pPr>
      <w:r>
        <w:t xml:space="preserve"/>
      </w:r>
    </w:p>
    <w:p>
      <w:pPr>
        <w:spacing w:after="120"/>
      </w:pPr>
      <w:r>
        <w:rPr>
          <w:b/>
          <w:bCs/>
        </w:rPr>
        <w:t xml:space="preserve">Writing versus invention. </w:t>
      </w:r>
      <w:r>
        <w:t xml:space="preserve">If only wording changes, text novelty will move while combinatorial novelty will not. Comparing the two helps separate effects on expression from effects on the invention itself. CPC codes are partly assigned by examiners; results are also reported with applicant-assigned classes where available.</w:t>
      </w:r>
    </w:p>
    <w:p>
      <w:pPr>
        <w:pStyle w:val="Heading1"/>
      </w:pPr>
      <w:r>
        <w:t xml:space="preserve">9. Empirical Strategy</w:t>
      </w:r>
    </w:p>
    <w:p>
      <w:pPr>
        <w:pStyle w:val="Heading2"/>
      </w:pPr>
      <w:r>
        <w:t xml:space="preserve">9.1 Sample</w:t>
      </w:r>
    </w:p>
    <w:p>
      <w:pPr>
        <w:spacing w:after="120"/>
      </w:pPr>
      <w:r>
        <w:t xml:space="preserve">Units are selected on pre-period characteristics only (for example, at least two filings between 2018 and November 2022, a minimum number of documents for detection). No restriction uses post-period filing counts. Descriptive results are reported for all units and inventors.</w:t>
      </w:r>
    </w:p>
    <w:p>
      <w:pPr>
        <w:pStyle w:val="Heading2"/>
      </w:pPr>
      <w:r>
        <w:t xml:space="preserve">9.2 Staggered / Continuous-Treatment Difference-in-Differences</w:t>
      </w:r>
    </w:p>
    <w:p>
      <w:pPr>
        <w:spacing w:after="120"/>
      </w:pPr>
      <w:r>
        <w:t xml:space="preserve">Adopters are compared with not-yet-adopters and never-adopters using estimators robust to staggered timing (Callaway &amp; Sant’Anna, 2021) and to continuous intensity (Callaway, Goodman-Bacon &amp; Sant’Anna, 2024). Because most units may eventually show some detectable use, the not-yet-treated group carries much of the identification, and results with a high-threshold “never-adopter” definition are shown separately. Controls are matched on pre-period filing trends, field, and firm size.</w:t>
      </w:r>
    </w:p>
    <w:p>
      <w:pPr>
        <w:pStyle w:val="Heading2"/>
      </w:pPr>
      <w:r>
        <w:t xml:space="preserve">9.3 Count Model (H1, H4)</w:t>
      </w:r>
    </w:p>
    <w:p>
      <w:pPr>
        <w:spacing w:after="120"/>
      </w:pPr>
      <w:r>
        <w:t xml:space="preserve">For counts, the extended two-way fixed effects Poisson estimator (Wooldridge, 2023) with unit and field × year effects replaces the plain TWFE specification, avoiding negative-weight problems under heterogeneous effects. Estimation uses Poisson pseudo-maximum likelihood with high-dimensional fixed effects (Santos Silva &amp; Tenreyro, 2006; Correia et al., 2020), consistent under distributional misspecification (Wooldridge, 1999). Standard errors are clustered at the unit level. H4 adds a size interaction.</w:t>
      </w:r>
    </w:p>
    <w:p>
      <w:pPr>
        <w:pStyle w:val="Heading2"/>
      </w:pPr>
      <w:r>
        <w:t xml:space="preserve">9.4 Novelty and Exploration (H2, H3)</w:t>
      </w:r>
    </w:p>
    <w:p>
      <w:pPr>
        <w:spacing w:after="120"/>
      </w:pPr>
      <w:r>
        <w:t xml:space="preserve">Filing-level linear or logit models with unit and field × year effects, with dynamic event-study estimates using the same staggered estimators. H3 interactions use pre-period specialization (for example, a Herfindahl index of the unit’s prior CPC distribution).</w:t>
      </w:r>
    </w:p>
    <w:p>
      <w:pPr>
        <w:pStyle w:val="Heading2"/>
      </w:pPr>
      <w:r>
        <w:t xml:space="preserve">9.5 Identification Checks</w:t>
      </w:r>
    </w:p>
    <w:p>
      <w:pPr>
        <w:pStyle w:val="ListParagraph"/>
        <w:numPr>
          <w:ilvl w:val="0"/>
          <w:numId w:val="2"/>
        </w:numPr>
        <w:spacing w:after="60"/>
      </w:pPr>
      <w:r>
        <w:rPr>
          <w:b/>
          <w:bCs/>
        </w:rPr>
        <w:t xml:space="preserve">Event study: </w:t>
      </w:r>
      <w:r>
        <w:t xml:space="preserve">no pre-trends before adoption.</w:t>
      </w:r>
    </w:p>
    <w:p>
      <w:pPr>
        <w:pStyle w:val="ListParagraph"/>
        <w:numPr>
          <w:ilvl w:val="0"/>
          <w:numId w:val="2"/>
        </w:numPr>
        <w:spacing w:after="60"/>
      </w:pPr>
      <w:r>
        <w:rPr>
          <w:b/>
          <w:bCs/>
        </w:rPr>
        <w:t xml:space="preserve">Placebo: </w:t>
      </w:r>
      <w:r>
        <w:t xml:space="preserve">apply the detector and adoption rule to 2019–2021; no “adoption” effects should appear.</w:t>
      </w:r>
    </w:p>
    <w:p>
      <w:pPr>
        <w:pStyle w:val="ListParagraph"/>
        <w:numPr>
          <w:ilvl w:val="0"/>
          <w:numId w:val="2"/>
        </w:numPr>
        <w:spacing w:after="60"/>
      </w:pPr>
      <w:r>
        <w:rPr>
          <w:b/>
          <w:bCs/>
        </w:rPr>
        <w:t xml:space="preserve">Attorney/agent effects: </w:t>
      </w:r>
      <w:r>
        <w:t xml:space="preserve">law-firm fixed effects (or the drafting-unit design itself); on the granted subset, results are interpreted with selection in mind.</w:t>
      </w:r>
    </w:p>
    <w:p>
      <w:pPr>
        <w:pStyle w:val="ListParagraph"/>
        <w:numPr>
          <w:ilvl w:val="0"/>
          <w:numId w:val="2"/>
        </w:numPr>
        <w:spacing w:after="60"/>
      </w:pPr>
      <w:r>
        <w:rPr>
          <w:b/>
          <w:bCs/>
        </w:rPr>
        <w:t xml:space="preserve">Machine-translation check: </w:t>
      </w:r>
      <w:r>
        <w:t xml:space="preserve">exclude or separately estimate filings originating from translation workflows.</w:t>
      </w:r>
    </w:p>
    <w:p>
      <w:pPr>
        <w:pStyle w:val="ListParagraph"/>
        <w:numPr>
          <w:ilvl w:val="0"/>
          <w:numId w:val="2"/>
        </w:numPr>
        <w:spacing w:after="60"/>
      </w:pPr>
      <w:r>
        <w:rPr>
          <w:b/>
          <w:bCs/>
        </w:rPr>
        <w:t xml:space="preserve">Intent-to-treat: </w:t>
      </w:r>
      <w:r>
        <w:t xml:space="preserve">industry exposure × post-ChatGPT as a complementary estimate that does not rely on the detector.</w:t>
      </w:r>
    </w:p>
    <w:p>
      <w:pPr>
        <w:pStyle w:val="ListParagraph"/>
        <w:numPr>
          <w:ilvl w:val="0"/>
          <w:numId w:val="2"/>
        </w:numPr>
        <w:spacing w:after="60"/>
      </w:pPr>
      <w:r>
        <w:rPr>
          <w:b/>
          <w:bCs/>
        </w:rPr>
        <w:t xml:space="preserve">Misclassification: </w:t>
      </w:r>
      <w:r>
        <w:t xml:space="preserve">bound the effect of detection error using validation-set error rates (misclassification-robust bounds).</w:t>
      </w:r>
    </w:p>
    <w:p>
      <w:pPr>
        <w:pStyle w:val="ListParagraph"/>
        <w:numPr>
          <w:ilvl w:val="0"/>
          <w:numId w:val="2"/>
        </w:numPr>
        <w:spacing w:after="60"/>
      </w:pPr>
      <w:r>
        <w:rPr>
          <w:b/>
          <w:bCs/>
        </w:rPr>
        <w:t xml:space="preserve">Selection on unobservables: </w:t>
      </w:r>
      <w:r>
        <w:t xml:space="preserve">sensitivity bounds for how strong unobserved selection must be to overturn results.</w:t>
      </w:r>
    </w:p>
    <w:p>
      <w:pPr>
        <w:pStyle w:val="Heading1"/>
      </w:pPr>
      <w:r>
        <w:t xml:space="preserve">10. Pilot and Go/No-Go Gate</w:t>
      </w:r>
    </w:p>
    <w:p>
      <w:pPr>
        <w:spacing w:after="120"/>
      </w:pPr>
      <w:r>
        <w:t xml:space="preserve">Before committing to the full study, the pilot (Months 1–2) must show that: (a) the group-level mixture estimate yields a clearly non-zero, field-varying LLM share in 2023–2025 filings relative to a flat pre-2022 baseline; (b) the false-positive rate on held-out pre-2022 text is near zero, including for non-U.S. and MT-translated filings; (c) agent or law-firm information is available for application publications, or a credible alternative exists. If (a) or (b) fails, the project is reframed as a measurement-limits paper; if (c) fails, the drafting-unit design falls back to assignee-level analysis with stronger caveats.</w:t>
      </w:r>
    </w:p>
    <w:p>
      <w:pPr>
        <w:pStyle w:val="Heading1"/>
      </w:pPr>
      <w:r>
        <w:t xml:space="preserve">11. Expected Contributions</w:t>
      </w:r>
    </w:p>
    <w:p>
      <w:pPr>
        <w:pStyle w:val="ListParagraph"/>
        <w:numPr>
          <w:ilvl w:val="0"/>
          <w:numId w:val="2"/>
        </w:numPr>
        <w:spacing w:after="60"/>
      </w:pPr>
      <w:r>
        <w:rPr>
          <w:b/>
          <w:bCs/>
        </w:rPr>
        <w:t xml:space="preserve">Information systems: </w:t>
      </w:r>
      <w:r>
        <w:t xml:space="preserve">moves from exposure to observed use of generative AI in knowledge work, at the level of filings and drafting units.</w:t>
      </w:r>
    </w:p>
    <w:p>
      <w:pPr>
        <w:pStyle w:val="ListParagraph"/>
        <w:numPr>
          <w:ilvl w:val="0"/>
          <w:numId w:val="2"/>
        </w:numPr>
        <w:spacing w:after="60"/>
      </w:pPr>
      <w:r>
        <w:rPr>
          <w:b/>
          <w:bCs/>
        </w:rPr>
        <w:t xml:space="preserve">Theory: </w:t>
      </w:r>
      <w:r>
        <w:t xml:space="preserve">tests a quantity–novelty trade-off and homogenization using real-world innovation data, separating expression from invention.</w:t>
      </w:r>
    </w:p>
    <w:p>
      <w:pPr>
        <w:pStyle w:val="ListParagraph"/>
        <w:numPr>
          <w:ilvl w:val="0"/>
          <w:numId w:val="2"/>
        </w:numPr>
        <w:spacing w:after="60"/>
      </w:pPr>
      <w:r>
        <w:rPr>
          <w:b/>
          <w:bCs/>
        </w:rPr>
        <w:t xml:space="preserve">Method: </w:t>
      </w:r>
      <w:r>
        <w:t xml:space="preserve">a validated, multi-generator, translation-aware procedure for detecting LLM-assisted writing in patents, with explicit treatment of its limits.</w:t>
      </w:r>
    </w:p>
    <w:p>
      <w:pPr>
        <w:pStyle w:val="ListParagraph"/>
        <w:numPr>
          <w:ilvl w:val="0"/>
          <w:numId w:val="2"/>
        </w:numPr>
        <w:spacing w:after="60"/>
      </w:pPr>
      <w:r>
        <w:rPr>
          <w:b/>
          <w:bCs/>
        </w:rPr>
        <w:t xml:space="preserve">Policy: </w:t>
      </w:r>
      <w:r>
        <w:t xml:space="preserve">evidence for patent offices on the scale of AI-assisted filings and implications for examination and patent quality.</w:t>
      </w:r>
    </w:p>
    <w:p>
      <w:pPr>
        <w:pStyle w:val="Heading1"/>
      </w:pPr>
      <w:r>
        <w:t xml:space="preserve">12. Limitations and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BBBBB" w:sz="4"/>
              <w:left w:val="single" w:color="BBBBBB" w:sz="4"/>
              <w:bottom w:val="single" w:color="BBBBBB" w:sz="4"/>
              <w:right w:val="single" w:color="BBBBBB" w:sz="4"/>
            </w:tcBorders>
            <w:shd w:fill="E8EDF3" w:color="auto" w:val="clear"/>
            <w:tcMar>
              <w:top w:type="dxa" w:w="60"/>
              <w:left w:type="dxa" w:w="100"/>
              <w:bottom w:type="dxa" w:w="60"/>
              <w:right w:type="dxa" w:w="100"/>
            </w:tcMar>
          </w:tcPr>
          <w:p>
            <w:r>
              <w:rPr>
                <w:b/>
                <w:bCs/>
                <w:sz w:val="19"/>
                <w:szCs w:val="19"/>
              </w:rPr>
              <w:t xml:space="preserve">Limitation</w:t>
            </w:r>
          </w:p>
        </w:tc>
        <w:tc>
          <w:tcPr>
            <w:tcW w:type="dxa" w:w="5360"/>
            <w:tcBorders>
              <w:top w:val="single" w:color="BBBBBB" w:sz="4"/>
              <w:left w:val="single" w:color="BBBBBB" w:sz="4"/>
              <w:bottom w:val="single" w:color="BBBBBB" w:sz="4"/>
              <w:right w:val="single" w:color="BBBBBB" w:sz="4"/>
            </w:tcBorders>
            <w:shd w:fill="E8EDF3" w:color="auto" w:val="clear"/>
            <w:tcMar>
              <w:top w:type="dxa" w:w="60"/>
              <w:left w:type="dxa" w:w="100"/>
              <w:bottom w:type="dxa" w:w="60"/>
              <w:right w:type="dxa" w:w="100"/>
            </w:tcMar>
          </w:tcPr>
          <w:p>
            <w:r>
              <w:rPr>
                <w:b/>
                <w:bCs/>
                <w:sz w:val="19"/>
                <w:szCs w:val="19"/>
              </w:rPr>
              <w:t xml:space="preserve">Response</w:t>
            </w:r>
          </w:p>
        </w:tc>
      </w:tr>
      <w:tr>
        <w:trPr>
          <w:tblHeader w:val="false"/>
        </w:trP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Detection captures AI-assisted drafting, not AI-assisted invention</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Contrast CPC-based and text-based novelty; law-firm effects; conclusions framed accordingly</w:t>
            </w:r>
          </w:p>
        </w:tc>
      </w:tr>
      <w:tr>
        <w:trPr>
          <w:tblHeader w:val="false"/>
        </w:trP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Attorneys, not inventors, often draft specifications</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Primary analysis at assignee × law-firm level; inventor results interpreted as exposure</w:t>
            </w:r>
          </w:p>
        </w:tc>
      </w:tr>
      <w:tr>
        <w:trPr>
          <w:tblHeader w:val="false"/>
        </w:trP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Document-level detection is noisy</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Group-level estimates primary; continuous intensity; sample splitting; misclassification bounds</w:t>
            </w:r>
          </w:p>
        </w:tc>
      </w:tr>
      <w:tr>
        <w:trPr>
          <w:tblHeader w:val="false"/>
        </w:trP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Treatment and outcome from the same text</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Split-sample adoption; text novelty secondary; CPC primary</w:t>
            </w:r>
          </w:p>
        </w:tc>
      </w:tr>
      <w:tr>
        <w:trPr>
          <w:tblHeader w:val="false"/>
        </w:trP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Adopters self-select; control group shrinks over time</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Staggered/continuous DID with matching; not-yet-treated comparisons; pre-trend tests; sensitivity bounds</w:t>
            </w:r>
          </w:p>
        </w:tc>
      </w:tr>
      <w:tr>
        <w:trPr>
          <w:tblHeader w:val="false"/>
        </w:trP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Temporal drift, machine translation, detector aging</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Placebo cohorts, MT corpus, repeated reference-corpus updates</w:t>
            </w:r>
          </w:p>
        </w:tc>
      </w:tr>
      <w:tr>
        <w:trPr>
          <w:tblHeader w:val="false"/>
        </w:trP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Short post-period and publication lag</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Short-run framing; re-estimation as releases arrive</w:t>
            </w:r>
          </w:p>
        </w:tc>
      </w:tr>
      <w:tr>
        <w:trPr>
          <w:tblHeader w:val="false"/>
        </w:trP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CPC codes partly assigned by examiners</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Report applicant-assigned classes where available; robustness with alternative classifications</w:t>
            </w:r>
          </w:p>
        </w:tc>
      </w:tr>
      <w:tr>
        <w:trPr>
          <w:tblHeader w:val="false"/>
        </w:trP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Possible null effect on quantity</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Measurement and novelty results are informative regardless of H1</w:t>
            </w:r>
          </w:p>
        </w:tc>
      </w:tr>
    </w:tbl>
    <w:p>
      <w:pPr>
        <w:pStyle w:val="Heading1"/>
      </w:pPr>
      <w:r>
        <w:t xml:space="preserve">13. Budget and Timeline</w:t>
      </w:r>
    </w:p>
    <w:p>
      <w:pPr>
        <w:pStyle w:val="Heading2"/>
      </w:pPr>
      <w:r>
        <w:t xml:space="preserve">13.1 Budget (approximate)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BBBBBB" w:sz="4"/>
              <w:left w:val="single" w:color="BBBBBB" w:sz="4"/>
              <w:bottom w:val="single" w:color="BBBBBB" w:sz="4"/>
              <w:right w:val="single" w:color="BBBBBB" w:sz="4"/>
            </w:tcBorders>
            <w:shd w:fill="E8EDF3" w:color="auto" w:val="clear"/>
            <w:tcMar>
              <w:top w:type="dxa" w:w="60"/>
              <w:left w:type="dxa" w:w="100"/>
              <w:bottom w:type="dxa" w:w="60"/>
              <w:right w:type="dxa" w:w="100"/>
            </w:tcMar>
          </w:tcPr>
          <w:p>
            <w:r>
              <w:rPr>
                <w:b/>
                <w:bCs/>
                <w:sz w:val="19"/>
                <w:szCs w:val="19"/>
              </w:rPr>
              <w:t xml:space="preserve">Item</w:t>
            </w:r>
          </w:p>
        </w:tc>
        <w:tc>
          <w:tcPr>
            <w:tcW w:type="dxa" w:w="3360"/>
            <w:tcBorders>
              <w:top w:val="single" w:color="BBBBBB" w:sz="4"/>
              <w:left w:val="single" w:color="BBBBBB" w:sz="4"/>
              <w:bottom w:val="single" w:color="BBBBBB" w:sz="4"/>
              <w:right w:val="single" w:color="BBBBBB" w:sz="4"/>
            </w:tcBorders>
            <w:shd w:fill="E8EDF3" w:color="auto" w:val="clear"/>
            <w:tcMar>
              <w:top w:type="dxa" w:w="60"/>
              <w:left w:type="dxa" w:w="100"/>
              <w:bottom w:type="dxa" w:w="60"/>
              <w:right w:type="dxa" w:w="100"/>
            </w:tcMar>
          </w:tcPr>
          <w:p>
            <w:r>
              <w:rPr>
                <w:b/>
                <w:bCs/>
                <w:sz w:val="19"/>
                <w:szCs w:val="19"/>
              </w:rPr>
              <w:t xml:space="preserve">Estimated cost</w:t>
            </w:r>
          </w:p>
        </w:tc>
      </w:tr>
      <w:tr>
        <w:trPr>
          <w:tblHeader w:val="false"/>
        </w:trPr>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PatentsView, USPTO, EDGAR data</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Free</w:t>
            </w:r>
          </w:p>
        </w:tc>
      </w:tr>
      <w:tr>
        <w:trPr>
          <w:tblHeader w:val="false"/>
        </w:trPr>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Cloud GPU or university cluster (open-source LLMs, embeddings, classifier training)</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~KRW 300,000–600,000</w:t>
            </w:r>
          </w:p>
        </w:tc>
      </w:tr>
      <w:tr>
        <w:trPr>
          <w:tblHeader w:val="false"/>
        </w:trPr>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Commercial LLM APIs for reference corpora (token cost to be computed in the pilot from typical specification length and corpus size)</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~KRW 400,000–1,000,000</w:t>
            </w:r>
          </w:p>
        </w:tc>
      </w:tr>
      <w:tr>
        <w:trPr>
          <w:tblHeader w:val="false"/>
        </w:trPr>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Storage for long-text tables</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Free to low</w:t>
            </w:r>
          </w:p>
        </w:tc>
      </w:tr>
      <w:tr>
        <w:trPr>
          <w:tblHeader w:val="false"/>
        </w:trPr>
        <w:tc>
          <w:tcPr>
            <w:tcW w:type="dxa" w:w="6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Total</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~KRW 700,000–1,600,000 (to be refined after the pilot)</w:t>
            </w:r>
          </w:p>
        </w:tc>
      </w:tr>
    </w:tbl>
    <w:p>
      <w:pPr>
        <w:pStyle w:val="Heading2"/>
      </w:pPr>
      <w:r>
        <w:t xml:space="preserve">13.2 Timeline (12–15 months)</w:t>
      </w:r>
    </w:p>
    <w:p>
      <w:pPr>
        <w:pStyle w:val="ListParagraph"/>
        <w:numPr>
          <w:ilvl w:val="0"/>
          <w:numId w:val="2"/>
        </w:numPr>
        <w:spacing w:after="60"/>
      </w:pPr>
      <w:r>
        <w:t xml:space="preserve">Months 1–2: Pilot and go/no-go gate (Section 10); verify agent fields; estimate prevalence in two fields.</w:t>
      </w:r>
    </w:p>
    <w:p>
      <w:pPr>
        <w:pStyle w:val="ListParagraph"/>
        <w:numPr>
          <w:ilvl w:val="0"/>
          <w:numId w:val="2"/>
        </w:numPr>
        <w:spacing w:after="60"/>
      </w:pPr>
      <w:r>
        <w:t xml:space="preserve">Months 3–5: Build reference corpora (LLM, drafting-tool, MT); train and validate detectors.</w:t>
      </w:r>
    </w:p>
    <w:p>
      <w:pPr>
        <w:pStyle w:val="ListParagraph"/>
        <w:numPr>
          <w:ilvl w:val="0"/>
          <w:numId w:val="2"/>
        </w:numPr>
        <w:spacing w:after="60"/>
      </w:pPr>
      <w:r>
        <w:t xml:space="preserve">Months 6–7: Construct drafting-unit and inventor panels, treatment variables, and outcome measures.</w:t>
      </w:r>
    </w:p>
    <w:p>
      <w:pPr>
        <w:pStyle w:val="ListParagraph"/>
        <w:numPr>
          <w:ilvl w:val="0"/>
          <w:numId w:val="2"/>
        </w:numPr>
        <w:spacing w:after="60"/>
      </w:pPr>
      <w:r>
        <w:t xml:space="preserve">Months 8–10: Main estimates, event studies, robustness checks.</w:t>
      </w:r>
    </w:p>
    <w:p>
      <w:pPr>
        <w:pStyle w:val="ListParagraph"/>
        <w:numPr>
          <w:ilvl w:val="0"/>
          <w:numId w:val="2"/>
        </w:numPr>
        <w:spacing w:after="60"/>
      </w:pPr>
      <w:r>
        <w:t xml:space="preserve">Months 11–12: Draft paper; present at ICIS, WISE, or an innovation workshop.</w:t>
      </w:r>
    </w:p>
    <w:p>
      <w:pPr>
        <w:pStyle w:val="ListParagraph"/>
        <w:numPr>
          <w:ilvl w:val="0"/>
          <w:numId w:val="2"/>
        </w:numPr>
        <w:spacing w:after="60"/>
      </w:pPr>
      <w:r>
        <w:t xml:space="preserve">Months 13–15: Revise and submit. RQ1 results may be released earlier as a short descriptive paper.</w:t>
      </w:r>
    </w:p>
    <w:p>
      <w:pPr>
        <w:pStyle w:val="Heading1"/>
      </w:pPr>
      <w:r>
        <w:t xml:space="preserve">14. Target Journals</w:t>
      </w:r>
    </w:p>
    <w:p>
      <w:pPr>
        <w:spacing w:after="120"/>
      </w:pPr>
      <w:r>
        <w:t xml:space="preserve">Information Systems Research or MIS Quarterly if the paper emphasizes observed generative AI use in knowledge work and the measurement method; Research Policy or Management Science if the innovation-economics framing dominates. The framing will be fixed after the pilot.</w:t>
      </w:r>
    </w:p>
    <w:p>
      <w:pPr>
        <w:pStyle w:val="Heading1"/>
      </w:pPr>
      <w:r>
        <w:t xml:space="preserve">15. Ethics, Disclosure, and AI Use in the Research Process</w:t>
      </w:r>
    </w:p>
    <w:p>
      <w:pPr>
        <w:spacing w:after="120"/>
      </w:pPr>
      <w:r>
        <w:t xml:space="preserve">Results about AI use are reported at aggregate levels (field, firm-size, country, and drafting-unit groups with minimum cell sizes); individual inventors and named law firms are not identified or labeled as AI users. Detector outputs are not presented as proof of AI use for any specific application. LLMs are used to generate reference corpora, assist with code, and support writing; all model names, versions, prompts, and settings will be recorded and disclosed per journal policies. A pre-registered analysis plan will be filed before the main estimation.</w:t>
      </w:r>
    </w:p>
    <w:p>
      <w:pPr>
        <w:pStyle w:val="Heading1"/>
      </w:pPr>
      <w:r>
        <w:t xml:space="preserve">References</w:t>
      </w:r>
    </w:p>
    <w:p>
      <w:pPr>
        <w:spacing w:after="120"/>
      </w:pPr>
      <w:r>
        <w:rPr>
          <w:i/>
          <w:iCs/>
        </w:rPr>
        <w:t xml:space="preserve">All entries, especially volume, page, and year details, must be verified before submission. Entries marked [verify] were not confirmed in the review.</w:t>
      </w:r>
    </w:p>
    <w:p>
      <w:pPr>
        <w:spacing w:after="60"/>
      </w:pPr>
      <w:r>
        <w:t xml:space="preserve">Acharya, V. V., Shao, X., &amp; Xu, Z. (2026). AI and productivity: The role of innovation. Working paper (SSRN, March 2026).</w:t>
      </w:r>
    </w:p>
    <w:p>
      <w:pPr>
        <w:spacing w:after="60"/>
      </w:pPr>
      <w:r>
        <w:t xml:space="preserve">Callaway, B., &amp; Sant’Anna, P. H. C. (2021). Difference-in-differences with multiple time periods. Journal of Econometrics, 225(2), 200–230.</w:t>
      </w:r>
    </w:p>
    <w:p>
      <w:pPr>
        <w:spacing w:after="60"/>
      </w:pPr>
      <w:r>
        <w:t xml:space="preserve">Callaway, B., Goodman-Bacon, A., &amp; Sant’Anna, P. H. C. (2024). Difference-in-differences with a continuous treatment. Working paper. [verify]</w:t>
      </w:r>
    </w:p>
    <w:p>
      <w:pPr>
        <w:spacing w:after="60"/>
      </w:pPr>
      <w:r>
        <w:t xml:space="preserve">Correia, S., Guimarães, P., &amp; Zylkin, T. (2020). Fast Poisson estimation with high-dimensional fixed effects. The Stata Journal, 20(1), 95–115.</w:t>
      </w:r>
    </w:p>
    <w:p>
      <w:pPr>
        <w:spacing w:after="60"/>
      </w:pPr>
      <w:r>
        <w:t xml:space="preserve">Doshi, A. R., &amp; Hauser, O. P. (2024). Generative AI enhances individual creativity but reduces the collective diversity of novel content. Science Advances, 10(28).</w:t>
      </w:r>
    </w:p>
    <w:p>
      <w:pPr>
        <w:spacing w:after="60"/>
      </w:pPr>
      <w:r>
        <w:t xml:space="preserve">Eloundou, T., Manning, S., Mishkin, P., &amp; Rock, D. (2024). GPTs are GPTs: Labor market impact potential of LLMs. Science, 384(6702), 1306–1308.</w:t>
      </w:r>
    </w:p>
    <w:p>
      <w:pPr>
        <w:spacing w:after="60"/>
      </w:pPr>
      <w:r>
        <w:t xml:space="preserve">Felten, E., Raj, M., &amp; Seamans, R. (2021). Occupational, industry, and geographic exposure to artificial intelligence. Strategic Management Journal, 42(12), 2195–2217.</w:t>
      </w:r>
    </w:p>
    <w:p>
      <w:pPr>
        <w:spacing w:after="60"/>
      </w:pPr>
      <w:r>
        <w:t xml:space="preserve">Griliches, Z. (1979). Issues in assessing the contribution of research and development to productivity growth. Bell Journal of Economics, 10(1), 92–116.</w:t>
      </w:r>
    </w:p>
    <w:p>
      <w:pPr>
        <w:spacing w:after="60"/>
      </w:pPr>
      <w:r>
        <w:t xml:space="preserve">Hans, A., Schwarzschild, A., Cherepanova, V., et al. (2024). Spotting LLMs with Binoculars: Zero-shot detection of machine-generated text. Proceedings of ICML 2024.</w:t>
      </w:r>
    </w:p>
    <w:p>
      <w:pPr>
        <w:spacing w:after="60"/>
      </w:pPr>
      <w:r>
        <w:t xml:space="preserve">Liang, W., et al. (2024). Monitoring AI-modified content at scale: A case study on the impact of ChatGPT on AI conference peer reviews. Proceedings of ICML 2024.</w:t>
      </w:r>
    </w:p>
    <w:p>
      <w:pPr>
        <w:spacing w:after="60"/>
      </w:pPr>
      <w:r>
        <w:t xml:space="preserve">Liang, W., et al. (2025). The widespread adoption of large language model-assisted writing across society. Patterns. [verify, including the patent-related claims]</w:t>
      </w:r>
    </w:p>
    <w:p>
      <w:pPr>
        <w:spacing w:after="60"/>
      </w:pPr>
      <w:r>
        <w:t xml:space="preserve">Large language models in the patent lifecycle: A systematic review. (2026). World Patent Information. [verify]</w:t>
      </w:r>
    </w:p>
    <w:p>
      <w:pPr>
        <w:spacing w:after="60"/>
      </w:pPr>
      <w:r>
        <w:t xml:space="preserve">O efeito do ChatGPT nas solicitações de patentes: para o caso brasileiro. (2025). Master’s dissertation, Universidade Católica de Brasília. [verify]</w:t>
      </w:r>
    </w:p>
    <w:p>
      <w:pPr>
        <w:spacing w:after="60"/>
      </w:pPr>
      <w:r>
        <w:t xml:space="preserve">March, J. G. (1991). Exploration and exploitation in organizational learning. Organization Science, 2(1), 71–87.</w:t>
      </w:r>
    </w:p>
    <w:p>
      <w:pPr>
        <w:spacing w:after="60"/>
      </w:pPr>
      <w:r>
        <w:t xml:space="preserve">Santos Silva, J. M. C., &amp; Tenreyro, S. (2006). The log of gravity. Review of Economics and Statistics, 88(4), 641–658.</w:t>
      </w:r>
    </w:p>
    <w:p>
      <w:pPr>
        <w:spacing w:after="60"/>
      </w:pPr>
      <w:r>
        <w:t xml:space="preserve">Weitzman, M. L. (1998). Recombinant growth. Quarterly Journal of Economics, 113(2), 331–360.</w:t>
      </w:r>
    </w:p>
    <w:p>
      <w:pPr>
        <w:spacing w:after="60"/>
      </w:pPr>
      <w:r>
        <w:t xml:space="preserve">Wooldridge, J. M. (1999). Distribution-free estimation of some nonlinear panel data models. Journal of Econometrics, 90(1), 77–97.</w:t>
      </w:r>
    </w:p>
    <w:p>
      <w:pPr>
        <w:spacing w:after="60"/>
      </w:pPr>
      <w:r>
        <w:t xml:space="preserve">Wooldridge, J. M. (2023). Simple approaches to nonlinear difference-in-differences with panel data. The Econometrics Journal, 26(3), C31–C66. [verify]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2026-10-18T08:28:11.207Z</dcterms:created>
  <dcterms:modified xsi:type="dcterms:W3CDTF">2026-10-18T08:28:11.218Z</dcterms:modified>
</cp:coreProperties>
</file>

<file path=docProps/custom.xml><?xml version="1.0" encoding="utf-8"?>
<Properties xmlns="http://schemas.openxmlformats.org/officeDocument/2006/custom-properties" xmlns:vt="http://schemas.openxmlformats.org/officeDocument/2006/docPropsVTypes"/>
</file>