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76"/>
      </w:pPr>
      <w:r>
        <w:rPr>
          <w:rFonts w:ascii="Times New Roman" w:cs="Times New Roman" w:eastAsia="Times New Roman" w:hAnsi="Times New Roman"/>
          <w:sz w:val="24"/>
          <w:szCs w:val="24"/>
        </w:rPr>
        <w:t xml:space="preserve">Dear Editor,</w:t>
      </w:r>
    </w:p>
    <w:p>
      <w:pPr>
        <w:spacing w:after="160" w:before="0" w:line="276"/>
      </w:pPr>
      <w:r>
        <w:rPr>
          <w:rFonts w:ascii="Times New Roman" w:cs="Times New Roman" w:eastAsia="Times New Roman" w:hAnsi="Times New Roman"/>
          <w:sz w:val="24"/>
          <w:szCs w:val="24"/>
        </w:rPr>
        <w:t xml:space="preserve">We submit the enclosed manuscript, "Loss Chasing in Large Language Model Maintenance Decisions: A Human-Subject-Free Behavioral Evaluation," for consideration in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The manuscript file is prepared for double-anonymous review: it contains no author information, and the link to the code repository is withheld. This letter contains the contribution statement required by the journal and is kept separate from the anonymized manuscript.</w:t>
      </w:r>
    </w:p>
    <w:p>
      <w:pPr>
        <w:keepNext/>
        <w:spacing w:after="120" w:before="120"/>
      </w:pPr>
      <w:r>
        <w:rPr>
          <w:rFonts w:ascii="Times New Roman" w:cs="Times New Roman" w:eastAsia="Times New Roman" w:hAnsi="Times New Roman"/>
          <w:b/>
          <w:bCs/>
          <w:sz w:val="24"/>
          <w:szCs w:val="24"/>
        </w:rPr>
        <w:t xml:space="preserve">Contribution statement</w:t>
      </w:r>
    </w:p>
    <w:p>
      <w:pPr>
        <w:spacing w:after="160" w:before="0" w:line="276"/>
      </w:pPr>
      <w:r>
        <w:rPr>
          <w:rFonts w:ascii="Times New Roman" w:cs="Times New Roman" w:eastAsia="Times New Roman" w:hAnsi="Times New Roman"/>
          <w:sz w:val="24"/>
          <w:szCs w:val="24"/>
        </w:rPr>
        <w:t xml:space="preserve">Organizations are beginning to consider large language models (LLMs) as operators of other AI systems: deciding when to patch, redeploy, roll back, or skip regression tests. Whether such an operator is sensitive to how a failure is described is unknown. The behavioral-economics prediction, loss chasing after a realized loss, has been tested in one-shot economic tasks and in text generation, not in a repeated operational loop.</w:t>
      </w:r>
    </w:p>
    <w:p>
      <w:pPr>
        <w:spacing w:after="160" w:before="0" w:line="276"/>
      </w:pPr>
      <w:r>
        <w:rPr>
          <w:rFonts w:ascii="Times New Roman" w:cs="Times New Roman" w:eastAsia="Times New Roman" w:hAnsi="Times New Roman"/>
          <w:sz w:val="24"/>
          <w:szCs w:val="24"/>
        </w:rPr>
        <w:t xml:space="preserve">The paper contributes in four ways. First, it formalizes LLM maintenance as a repeated prospect-theoretic choice and defines loss chasing through three jointly necessary conditions, one of which requires the chosen action to be inferior in expected value; we build a six-action environment in which skipping tests is dominated by its verified counterpart. Second, it identifies a measurement problem in any such evaluation: when a rollback option recovers a realized loss at positive expected value, a rational operator lowers its risk after failures, so the natural "risk rises after failures" test is invalid; we propose excess risk over an expected-value benchmark combined with test-skipping. Third, it shows that one wording per frame cannot support a framing claim: in a commercial model, equivalent sentences for the same frame produced anywhere from 0% to 97% test-skipping, and we provide a paraphrase design for estimating frame effects. Fourth, it provides an open, human-subject-free audit that an organization can run before delegating maintenance decisions to a model.</w:t>
      </w:r>
    </w:p>
    <w:p>
      <w:pPr>
        <w:spacing w:after="160" w:before="0" w:line="276"/>
      </w:pPr>
      <w:r>
        <w:rPr>
          <w:rFonts w:ascii="Times New Roman" w:cs="Times New Roman" w:eastAsia="Times New Roman" w:hAnsi="Times New Roman"/>
          <w:sz w:val="24"/>
          <w:szCs w:val="24"/>
        </w:rPr>
        <w:t xml:space="preserve">Empirically, a preliminary, partial execution of a registered protocol on three models does not support the registered framing hypothesis. Exploratory follow-ups show that sensitivity to the sentence can exceed sensitivity to loss-versus-gain accounting in the commercial model, that one open model showed loss above gain under all four wordings, and that another did not respond. The contribution is therefore not a claim that LLM operators chase losses; it is evidence that framing sensitivity is model- and wording-specific, together with a design and a measurement argument for how it should be tested.</w:t>
      </w:r>
    </w:p>
    <w:p>
      <w:pPr>
        <w:spacing w:after="160" w:before="0" w:line="276"/>
      </w:pPr>
      <w:r>
        <w:rPr>
          <w:rFonts w:ascii="Times New Roman" w:cs="Times New Roman" w:eastAsia="Times New Roman" w:hAnsi="Times New Roman"/>
          <w:sz w:val="24"/>
          <w:szCs w:val="24"/>
        </w:rPr>
        <w:t xml:space="preserve">For practice and policy, the results support auditing a specific model on the organization's own payoff structure, with several paraphrases of each message, and treating dashboard text and prompt templates as controlled configuration, rather than adopting a general rule about wording. We state the limits plainly: three small models of different families, a subset of the registered grid, and exploratory analyses labeled as such.</w:t>
      </w:r>
    </w:p>
    <w:p>
      <w:pPr>
        <w:keepNext/>
        <w:spacing w:after="120" w:before="120"/>
      </w:pPr>
      <w:r>
        <w:rPr>
          <w:rFonts w:ascii="Times New Roman" w:cs="Times New Roman" w:eastAsia="Times New Roman" w:hAnsi="Times New Roman"/>
          <w:b/>
          <w:bCs/>
          <w:sz w:val="24"/>
          <w:szCs w:val="24"/>
        </w:rPr>
        <w:t xml:space="preserve">Relation to prior work</w:t>
      </w:r>
    </w:p>
    <w:p>
      <w:pPr>
        <w:spacing w:after="160" w:before="0" w:line="276"/>
      </w:pPr>
      <w:r>
        <w:rPr>
          <w:rFonts w:ascii="Times New Roman" w:cs="Times New Roman" w:eastAsia="Times New Roman" w:hAnsi="Times New Roman"/>
          <w:sz w:val="24"/>
          <w:szCs w:val="24"/>
        </w:rPr>
        <w:t xml:space="preserve">The study implements a pre-specified evaluation protocol. The manuscript adds the executed runs on three models, the measurement argument about excess risk and floor effects, and the discussion for information systems practice.</w:t>
      </w:r>
    </w:p>
    <w:p>
      <w:pPr>
        <w:spacing w:after="160" w:before="0" w:line="276"/>
      </w:pPr>
      <w:r>
        <w:rPr>
          <w:rFonts w:ascii="Times New Roman" w:cs="Times New Roman" w:eastAsia="Times New Roman" w:hAnsi="Times New Roman"/>
          <w:sz w:val="24"/>
          <w:szCs w:val="24"/>
        </w:rPr>
        <w:t xml:space="preserve">Sincerely,</w:t>
      </w:r>
    </w:p>
    <w:p>
      <w:pPr>
        <w:spacing w:after="160" w:before="0" w:line="276"/>
      </w:pPr>
      <w:r>
        <w:rPr>
          <w:rFonts w:ascii="Times New Roman" w:cs="Times New Roman" w:eastAsia="Times New Roman" w:hAnsi="Times New Roman"/>
          <w:sz w:val="24"/>
          <w:szCs w:val="24"/>
        </w:rPr>
        <w:t xml:space="preserve">The authors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cp:lastModifiedBy>Un-named</cp:lastModifiedBy>
  <cp:revision>1</cp:revision>
  <dcterms:created xsi:type="dcterms:W3CDTF">2026-10-01T00:31:04.113Z</dcterms:created>
  <dcterms:modified xsi:type="dcterms:W3CDTF">2026-10-01T00:31:04.115Z</dcterms:modified>
</cp:coreProperties>
</file>

<file path=docProps/custom.xml><?xml version="1.0" encoding="utf-8"?>
<Properties xmlns="http://schemas.openxmlformats.org/officeDocument/2006/custom-properties" xmlns:vt="http://schemas.openxmlformats.org/officeDocument/2006/docPropsVTypes"/>
</file>