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Loss Chasing in Large Language Model Maintenance Decisions: A Human-Subject-Free Behavioral Evaluation</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act as on-call operators for other AI systems, choosing among patching, redeploying, rolling back, and skipping regression tests. Behavioral economics predicts that decision makers who code an outcome as a loss take more risk to recover it. We ask whether an LLM in a maintenance role does the same: after a failed update, does it skip verification more often, and does the accounting sentence alone move that choice? We develop a human-subject-free evaluation in which quality, remaining budget, and failure history are held fixed while only the headline (loss, gain-to-goal, neutral) and the number of injected failures vary. Verified patches strictly dominate test-skipping in expected value. A design contribution: because rollback has positive expected value after a failure, an expected-value-maximizing operator lowers its risk after failures, so the natural risk index is an invalid test of escalation; we measure excess risk and test-skipping instead. In a preliminary, partial execution on three models, the registered framing hypothesis was not supported: the loss frame raised skipping by 7.7 percentage points in one open model (below the 10-point threshold), lowered it by 5.0 points in another, and a commercial model never skipped tests. In exploratory follow-ups with each frame written in four equivalent sentences, the commercial model's skipping for the same frame ranged from 0% to 97% with no consistent ordering of frames, one open model showed loss above gain under all four sentences, and the other did not respond. Sensitivity to the sentence can therefore exceed sensitivity to loss-versus-gain accounting, so framing effects must be estimated over several wordings and audited per model before maintenance decisions are delegated.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loss chasing; AI governance; behavioral evaluation; registered report</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then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two things: the headline sentence that describes the situation (loss, gain-to-goal, or neutral, all carrying identical facts) and the number of consecutive failures injected into the history (zero, one, or three). Quality, the remaining turn budget, and the options are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We report the registered protocol together with a preliminary, partial execution of it on three models, and two exploratory follow-ups: a time-pressure control and a wording-robustness check. The registered hypothesis is not supported: no model shows a loss-frame increase in test-skipping that reaches the registered threshold, and the effect of failure history differs in sign across models. The follow-ups change how this should be read. For the commercial model, the same frame produced between 0% and 97% test-skipping depending on which of four equivalent sentences was used, with no consistent ordering of frames. For one open model the loss frame exceeded the gain-to-goal frame under all four wordings, and the other open model did not respond. We make four contributions. First, we formalize LLM maintenance as a repeated prospect-theoretic choice and define loss chasing operationally through three jointly necessary conditions. Second, we identify a measurement problem that applies to any such environment: when a rollback option recovers a realized loss at positive expected value, a rational operator reduces its risk after failures, so the natural "risk index rises after failures" test mislabels rational retreat as a failure to chase, and non-retreat as chasing. We propose measuring excess risk over an expected-value-maximizing benchmark together with test-skipping, and we document a floor effect that makes a framing test uninformative for a model that never skips. Third, we show that a single wording per frame cannot support a framing claim, and we provide a paraphrase design for estimating frame effects over wordings. Fourth, we provide an open, human-subject-free audit that an organization can run on a candidate operator model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The remainder of the paper proceeds as follows. Section 2 develops the theory and hypotheses. Section 3 describes the environment and procedure. Section 4 reports results. Section 5 discusses contributions and implications, Section 6 states limitations, and Section 7 concludes.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We pre-specified four hypotheses.</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is recorded in advance: if status quo bias dominates, holding and rollback increase under the loss frame, in which case the design yields a negative result, namely that gambling-like patterns observed in generation do not reproduce in an operational role.</w:t>
      </w:r>
    </w:p>
    <w:p>
      <w:pPr>
        <w:pStyle w:val="Heading1"/>
        <w:keepNext/>
        <w:spacing w:after="0" w:before="0" w:line="480"/>
      </w:pPr>
      <w:r>
        <w:rPr>
          <w:rFonts w:ascii="Times New Roman" w:cs="Times New Roman" w:eastAsia="Times New Roman" w:hAnsi="Times New Roman"/>
          <w:b/>
          <w:bCs/>
          <w:sz w:val="24"/>
          <w:szCs w:val="24"/>
        </w:rPr>
        <w:t xml:space="preserve">3. Method</w:t>
      </w:r>
    </w:p>
    <w:p>
      <w:pPr>
        <w:pStyle w:val="Heading2"/>
        <w:keepNext/>
        <w:spacing w:after="0" w:before="0" w:line="480"/>
      </w:pPr>
      <w:r>
        <w:rPr>
          <w:rFonts w:ascii="Times New Roman" w:cs="Times New Roman" w:eastAsia="Times New Roman" w:hAnsi="Times New Roman"/>
          <w:b/>
          <w:bCs/>
          <w:i/>
          <w:iCs/>
          <w:sz w:val="24"/>
          <w:szCs w:val="24"/>
        </w:rPr>
        <w:t xml:space="preserve">3.1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1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3.2 History injection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the last outcome to fail, and the clock to zero, so the treatment is independent of remaining budget. All three frames present the same fact vector (quality, target, remaining turns, last action and outcome, failure streak, deviation from baseline, and gap to target). Only one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3.3 Procedure and models</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We ran three models: two small open models executed locally on CPU (Qwen2.5-1.5B-Instruct and SmolLM2-1.7B-Instruct) and one commercial model through its application programming interface (Claude Haiku 4.5). The open models were run at temperature 0.7 and the commercial model at temperatures 0.0 and 0.7. The grid is three frames by injected failures {0, 1, 3}, with 100 seeded episodes per cell. For the open models the opening characters of the JSON response were pre-filled in the assistant turn, because a 0.5-billion-parameter pilot replied with a bare action name and every response failed to parse. This forces the output format and could itself influence the choice; it is a departure from the registered protocol.</w:t>
      </w:r>
    </w:p>
    <w:p>
      <w:pPr>
        <w:spacing w:after="0" w:before="0" w:line="480"/>
        <w:ind w:firstLine="720"/>
        <w:jc w:val="left"/>
      </w:pPr>
      <w:r>
        <w:rPr>
          <w:rFonts w:ascii="Times New Roman" w:cs="Times New Roman" w:eastAsia="Times New Roman" w:hAnsi="Times New Roman"/>
          <w:i/>
          <w:iCs/>
          <w:sz w:val="24"/>
          <w:szCs w:val="24"/>
        </w:rPr>
        <w:t xml:space="preserve">Time-pressure control.</w:t>
      </w:r>
      <w:r>
        <w:rPr>
          <w:rFonts w:ascii="Times New Roman" w:cs="Times New Roman" w:eastAsia="Times New Roman" w:hAnsi="Times New Roman"/>
          <w:sz w:val="24"/>
          <w:szCs w:val="24"/>
        </w:rPr>
        <w:t xml:space="preserve"> The protocol names time pressure as an alternative explanation: if skipping merely saves turns, it should rise when turns are scarce. To address this we added a small pilot, outside the registered grid, in which nine of the twelve turns were already spent at the first free choice, so that three remained. It used the two open models and the commercial model at temperature 0.7, injected failures of zero and three, three frames, and 50 episodes per cell. The comparison cells are the main-grid cells with zero and three failures and twelve turns remaining. The registered check is the interaction between frame and turn scarcity, which we test with a likelihood-ratio test (two degrees of freedom) in a logistic model that controls for the failure level. This pilot is exploratory.</w:t>
      </w:r>
    </w:p>
    <w:p>
      <w:pPr>
        <w:spacing w:after="0" w:before="0" w:line="480"/>
        <w:ind w:firstLine="720"/>
        <w:jc w:val="left"/>
      </w:pPr>
      <w:r>
        <w:rPr>
          <w:rFonts w:ascii="Times New Roman" w:cs="Times New Roman" w:eastAsia="Times New Roman" w:hAnsi="Times New Roman"/>
          <w:i/>
          <w:iCs/>
          <w:sz w:val="24"/>
          <w:szCs w:val="24"/>
        </w:rPr>
        <w:t xml:space="preserve">Wording robustness.</w:t>
      </w:r>
      <w:r>
        <w:rPr>
          <w:rFonts w:ascii="Times New Roman" w:cs="Times New Roman" w:eastAsia="Times New Roman" w:hAnsi="Times New Roman"/>
          <w:sz w:val="24"/>
          <w:szCs w:val="24"/>
        </w:rPr>
        <w:t xml:space="preserve"> After the time-pressure pilot suggested that one commercial-model frame effect might depend on a single sentence, we added a check in which each frame is expressed in four headlines: the registered one (wording 0) and three paraphrases that we wrote to carry the same facts (Appendix E). The check used the three-turn condition with no injected failures, 30 episodes per cell, temperature 0.7, and all three models. We estimate the frame effect in a logistic model with wording fixed effects, test the frame-by-wording interaction with a likelihood-ratio test (six degrees of freedom), test whether the twelve cells share one skip rate, and count the wordings in which the loss frame exceeds the gain-to-goal frame. The paraphrases were written by us after seeing pilot output and are not a random sample of possible wordings; the check is exploratory.</w:t>
      </w:r>
    </w:p>
    <w:p>
      <w:pPr>
        <w:pStyle w:val="Heading2"/>
        <w:keepNext/>
        <w:spacing w:after="0" w:before="0" w:line="480"/>
      </w:pPr>
      <w:r>
        <w:rPr>
          <w:rFonts w:ascii="Times New Roman" w:cs="Times New Roman" w:eastAsia="Times New Roman" w:hAnsi="Times New Roman"/>
          <w:b/>
          <w:bCs/>
          <w:i/>
          <w:iCs/>
          <w:sz w:val="24"/>
          <w:szCs w:val="24"/>
        </w:rPr>
        <w:t xml:space="preserve">3.4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that is, the turn immediately after injection, because later turns are path dependent. The primary outcome is an indicator for skipping tests (narrow_skip or wide_skip).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w:t>
      </w:r>
    </w:p>
    <w:p>
      <w:pPr>
        <w:spacing w:after="0" w:before="0" w:line="480"/>
        <w:ind w:firstLine="720"/>
        <w:jc w:val="left"/>
      </w:pPr>
      <w:r>
        <w:rPr>
          <w:rFonts w:ascii="Times New Roman" w:cs="Times New Roman" w:eastAsia="Times New Roman" w:hAnsi="Times New Roman"/>
          <w:sz w:val="24"/>
          <w:szCs w:val="24"/>
        </w:rPr>
        <w:t xml:space="preserve">We also compute a risk index (Table 1) and an excess risk, defined as the risk index of the chosen action minus the risk index of the expected-value-maximizing action in the same state. The registered H2 test is that the mean risk index is higher after three injected failures than after none. As Section 4.3 explains, this test cannot separate chasing from rational retreat in this environment, so we also report an exploratory, post hoc criterion: excess risk rises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the skip rate rises. Deviations from the registered analysis made after execution are labeled exploratory.</w:t>
      </w:r>
    </w:p>
    <w:p>
      <w:pPr>
        <w:pStyle w:val="Heading1"/>
        <w:keepNext/>
        <w:spacing w:after="0" w:before="0" w:line="480"/>
      </w:pPr>
      <w:r>
        <w:rPr>
          <w:rFonts w:ascii="Times New Roman" w:cs="Times New Roman" w:eastAsia="Times New Roman" w:hAnsi="Times New Roman"/>
          <w:b/>
          <w:bCs/>
          <w:sz w:val="24"/>
          <w:szCs w:val="24"/>
        </w:rPr>
        <w:t xml:space="preserve">4. Results</w:t>
      </w:r>
    </w:p>
    <w:p>
      <w:pPr>
        <w:pStyle w:val="Heading2"/>
        <w:keepNext/>
        <w:spacing w:after="0" w:before="0" w:line="480"/>
      </w:pPr>
      <w:r>
        <w:rPr>
          <w:rFonts w:ascii="Times New Roman" w:cs="Times New Roman" w:eastAsia="Times New Roman" w:hAnsi="Times New Roman"/>
          <w:b/>
          <w:bCs/>
          <w:i/>
          <w:iCs/>
          <w:sz w:val="24"/>
          <w:szCs w:val="24"/>
        </w:rPr>
        <w:t xml:space="preserve">4.1 Scope of the execution</w:t>
      </w:r>
    </w:p>
    <w:p>
      <w:pPr>
        <w:spacing w:after="0" w:before="0" w:line="480"/>
        <w:ind w:firstLine="720"/>
        <w:jc w:val="left"/>
      </w:pPr>
      <w:r>
        <w:rPr>
          <w:rFonts w:ascii="Times New Roman" w:cs="Times New Roman" w:eastAsia="Times New Roman" w:hAnsi="Times New Roman"/>
          <w:sz w:val="24"/>
          <w:szCs w:val="24"/>
        </w:rPr>
        <w:t xml:space="preserve">The results are a preliminary and partial execution of the registered grid. Three models from three developers were run, each a small model of its family: the two open models have 1.5 and 1.7 billion parameters, and for the commercial family only its small, fast tier (Claude Haiku) was run, with no larger tier such as Sonnet or Opus. The registered design asks for a small and a large model in each family, so the size contrast is not tested. Temperature 0.7 only was used for the open models. Later turns were not analyzed, so H4 and the chase-streak, rollback-latency, and terminal-quality outcomes are not reported. H3 is addressed by the design: the fact vector is identical across frames, so any difference in the first choice is attributable to the headline.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 A small time-pressure control (Section 4.4) and a wording-robustness check (Section 4.5), both on all three models, were added outside the registered grid.</w:t>
      </w:r>
    </w:p>
    <w:p>
      <w:pPr>
        <w:pStyle w:val="Heading2"/>
        <w:keepNext/>
        <w:spacing w:after="0" w:before="0" w:line="480"/>
      </w:pPr>
      <w:r>
        <w:rPr>
          <w:rFonts w:ascii="Times New Roman" w:cs="Times New Roman" w:eastAsia="Times New Roman" w:hAnsi="Times New Roman"/>
          <w:b/>
          <w:bCs/>
          <w:i/>
          <w:iCs/>
          <w:sz w:val="24"/>
          <w:szCs w:val="24"/>
        </w:rPr>
        <w:t xml:space="preserve">4.2 H1: loss frame versus gain-to-goal frame</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and is therefore reported as a small effect in the operational role. SmolLM2's difference has the opposite sign. For Claude the test is uninformative: nobody skips in any condition, so there is no variation to compare. Equal rates of zero are not evidence that framing is irrelevant for the model in general, only that this task elicits no skipping from it.</w:t>
      </w:r>
    </w:p>
    <w:p>
      <w:pPr>
        <w:spacing w:after="0" w:before="0" w:line="480"/>
        <w:ind w:firstLine="720"/>
        <w:jc w:val="left"/>
      </w:pPr>
      <w:r>
        <w:rPr>
          <w:rFonts w:ascii="Times New Roman" w:cs="Times New Roman" w:eastAsia="Times New Roman" w:hAnsi="Times New Roman"/>
          <w:sz w:val="24"/>
          <w:szCs w:val="24"/>
        </w:rPr>
        <w:t xml:space="preserve">Qwen's loss-frame excess is concentrated where there is no failure history (31% with zero injected failures, where the headline reads "unrealized cumulative loss is 0"). With failures present the gap is one to eight points. The zero-failure cell may therefore reflect the wording of the prompt rather than loss accounting.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4.3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3 reports the registered rule and the exploratory criterion side by side.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Exploratory H2</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supported</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Exploratory criterion: excess risk rises by at least 0.10 (Welch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.05) and the skip rate rises (post hoc).</w:t>
      </w:r>
    </w:p>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(gain 5% to 14%, loss 0% to 8%, neutral 3% to 13%). This is a failure-history effect independent of framing. After three failures its excess risk is about zero (-0.016), so it is not riskier than a rational agent at that point; the rise starts from a very conservative baseline, and 11.7% is a modest level of skipping. The exploratory criterion is met, but we do not read this as loss chasing without replication. Claude behaves like the benchmark: its expected-value gap is 0.000 in the loss frame and -0.003 in the neutral frame (-0.527 in the gain-to-goal frame, where it chooses some lower-value action that is not riskier; excess risk +0.006), and after failures it retreats as the benchmark does. An early version of the automatic analysis flagged Claude's H2 as supported solely because all three-failure values were identical, so that their variance was zero; this is an artifact, not an effect.</w:t>
      </w:r>
    </w:p>
    <w:p>
      <w:pPr>
        <w:pStyle w:val="Heading2"/>
        <w:keepNext/>
        <w:spacing w:after="0" w:before="0" w:line="480"/>
      </w:pPr>
      <w:r>
        <w:rPr>
          <w:rFonts w:ascii="Times New Roman" w:cs="Times New Roman" w:eastAsia="Times New Roman" w:hAnsi="Times New Roman"/>
          <w:b/>
          <w:bCs/>
          <w:i/>
          <w:iCs/>
          <w:sz w:val="24"/>
          <w:szCs w:val="24"/>
        </w:rPr>
        <w:t xml:space="preserve">4.4 Time-pressure control (exploratory pilot)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First-choice test-skip rate with twelve versus three turns remaining (temperature 0.7 for the three-turn cells; zero and three injected failures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200"/>
        <w:gridCol w:w="1300"/>
        <w:gridCol w:w="900"/>
        <w:gridCol w:w="1000"/>
        <w:gridCol w:w="2160"/>
      </w:tblGrid>
      <w:tr>
        <w:trPr>
          <w:cantSplit/>
          <w:tblHeader/>
        </w:trPr>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overall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21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(95% CI)</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23.5%</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+11.0 pp (+3.5, +18.5)</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18.3%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 pp (-2.6, +18.6)</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-5.5 pp (-10.4, -0.6)</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 pp (-15.9, -0.1)</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pp</w:t>
            </w:r>
          </w:p>
        </w:tc>
      </w:tr>
      <w:tr>
        <w:trPr>
          <w:cantSplit/>
          <w:tblHeader w:val="off"/>
        </w:trPr>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pp (interval not defined)</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Restricted to zero and three injected failures so that the twelve-turn and three-turn cells are comparable; N = 200 per frame with twelve turns left and 100 per frame with three. Intervals are normal approximations and are not adjusted for multiplicity; for Claude the gain-to-goal rate has no variance, so no interval is given. The twelve-turn Claude row is the main grid (both temperatures, 400 first choices per frame); the three-turn row is 100 per frame at temperature 0.7. The registered analysis pools zero, one, and three failures and gives +7.7 pp (Qwen) and -5.0 pp (SmolLM2) with twelve turns left.</w:t>
      </w:r>
    </w:p>
    <w:p>
      <w:pPr>
        <w:spacing w:after="0" w:before="0" w:line="480"/>
        <w:ind w:firstLine="720"/>
        <w:jc w:val="left"/>
      </w:pPr>
      <w:r>
        <w:rPr>
          <w:rFonts w:ascii="Times New Roman" w:cs="Times New Roman" w:eastAsia="Times New Roman" w:hAnsi="Times New Roman"/>
          <w:sz w:val="24"/>
          <w:szCs w:val="24"/>
        </w:rPr>
        <w:t xml:space="preserve">Turn scarcity did not change test-skipping in either model. The overall skip rate was 18.0% with twelve turns left and 18.3% with three for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.90), and 7.2% versus 7.7% for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.79); the expected-value gap was also nearly unchanged (-3.24 versus -3.25, and -2.20 versus -2.31). The frame difference kept its sign in both models, and the interaction between frame and turn scarcity was not significant (Qwen: likelihood ratio 0.25,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SmolLM2: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.38). With three turns left, SmolLM2 almost never chose the three-turn wide patch (1 of 300 first choices) and held or rolled back in 272 of 300, which suggests that it uses the turn count, but in a direction that lowers rather than raises skipping. The intervals are wide: Qwen's loss-minus-gain difference under scarcity includes zero. For the open models we therefore read the pilot as giving no support to the turn-saving account of the frame differences reported above, not as establishing that turn scarcity is irrelevant; for the commercial model the stated reasons do invoke turn allocation. The commercial model behaved differently (Table 4 and the next paragraph).</w:t>
      </w:r>
    </w:p>
    <w:p>
      <w:pPr>
        <w:spacing w:after="0" w:before="0" w:line="480"/>
        <w:ind w:firstLine="720"/>
        <w:jc w:val="left"/>
      </w:pPr>
      <w:r>
        <w:rPr>
          <w:rFonts w:ascii="Times New Roman" w:cs="Times New Roman" w:eastAsia="Times New Roman" w:hAnsi="Times New Roman"/>
          <w:sz w:val="24"/>
          <w:szCs w:val="24"/>
        </w:rPr>
        <w:t xml:space="preserve">With three turns left, the commercial model skipped tests, which it never did with twelve. All of the skipping came from one frame at zero failures: 40 of 50 neutral-frame first choices were narrow_skip, against 0 of 50 in the gain-to-goal frame and 3 of 50 in the loss frame. After three injected failures all 150 first choices were rollback, as for the expected-value-maximizing policy. The loss-minus-gain difference is therefore only +3 points, and H1 remains unsupported: the large contrast is between the neutral frame and the other two. We inspected nine of the one-line reasons the model gave (six neutral, three gain-to-goal). They reason about allocating the three remaining turns (for example, taking one turn for a small gain and leaving two for adjustments) and about the eight-point gap to the target; none of the nine refers to a loss or to recovering one. They also overstate the gain of a narrow patch (about four points against one point on success). These are post hoc statements and do not establish the cause of the difference between frames. Two cautions follow. First, a first choice depends only on the prompt and on sampling, so the 50 episodes in a cell are repeated draws on one wording; each frame here is a single headline, and what we observe is the effect of those three sentences. Second, the operator sees only qualitative option descriptions, and the expected-value dominance of verification is visible to the designer but not to the operator. With few turns left, one turn at medium-high risk versus two turns at low risk is a defensible trade-off from the operator's information, so this skipping is not clearly the expected-value-inferior choice that condition (2) of the definition of loss chasing requires.</w:t>
      </w:r>
    </w:p>
    <w:p>
      <w:pPr>
        <w:pStyle w:val="Heading2"/>
        <w:keepNext/>
        <w:spacing w:after="0" w:before="0" w:line="480"/>
      </w:pPr>
      <w:r>
        <w:rPr>
          <w:rFonts w:ascii="Times New Roman" w:cs="Times New Roman" w:eastAsia="Times New Roman" w:hAnsi="Times New Roman"/>
          <w:b/>
          <w:bCs/>
          <w:i/>
          <w:iCs/>
          <w:sz w:val="24"/>
          <w:szCs w:val="24"/>
        </w:rPr>
        <w:t xml:space="preserve">4.5 Wording robustness (exploratory)</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First-choice test-skip rate by wording (three turns left, no injected failures, temperature 0.7, 30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500"/>
        <w:gridCol w:w="1300"/>
        <w:gridCol w:w="1500"/>
        <w:gridCol w:w="16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Wording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80.0%</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83.3%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26.7%</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+86.7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-6.7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6.7%</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20.0%</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+43.3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26.7%</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+6.7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+16.7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6.7%</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pp</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pp</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Wording 0 is the registered headline; wordings 1 to 3 are paraphrases carrying the same facts (Appendix E). The Claude Haiku 4.5 log for this check is not in the repository.</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Tests of frame and wording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000"/>
        <w:gridCol w:w="2060"/>
        <w:gridCol w:w="1900"/>
      </w:tblGrid>
      <w:tr>
        <w:trPr>
          <w:cantSplit/>
          <w:tblHeader/>
        </w:trPr>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gain in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Frame x wording (LR, df = 6)</w:t>
            </w:r>
          </w:p>
        </w:tc>
        <w:tc>
          <w:tcPr>
            <w:tcW w:type="dxa" w:w="2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Twelve cells equal (chi-square, df = 11)</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vs gain, wording fixed effects</w:t>
            </w:r>
          </w:p>
        </w:tc>
      </w:tr>
      <w:tr>
        <w:trPr>
          <w:cantSplit/>
          <w:tblHeader w:val="off"/>
        </w:trPr>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of 4</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177.8 (p &lt; .001)</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231 (p &lt; .001)</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+1.22 (p &lt; .001)</w:t>
            </w:r>
          </w:p>
        </w:tc>
      </w:tr>
      <w:tr>
        <w:trPr>
          <w:cantSplit/>
          <w:tblHeader w:val="off"/>
        </w:trPr>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of 4</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9.2 (p = .16)</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29.9 (p = .002)</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 = .002)</w:t>
            </w:r>
          </w:p>
        </w:tc>
      </w:tr>
      <w:tr>
        <w:trPr>
          <w:cantSplit/>
          <w:tblHeader w:val="off"/>
        </w:trPr>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of 4 (two ties)</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4.6 (p = .60)</w:t>
            </w:r>
          </w:p>
        </w:tc>
        <w:tc>
          <w:tcPr>
            <w:tcW w:type="dxa" w:w="2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 = .53)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-1.65 (p = .14)</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Coefficients are log-odds from a logistic model with wording fixed effects. The Claude Haiku 4.5 coefficient comes almost entirely from wording 2 and is not an estimate of a loss-frame effect (see text).</w:t>
      </w:r>
    </w:p>
    <w:p>
      <w:pPr>
        <w:spacing w:after="0" w:before="0" w:line="480"/>
        <w:ind w:firstLine="720"/>
        <w:jc w:val="left"/>
      </w:pPr>
      <w:r>
        <w:rPr>
          <w:rFonts w:ascii="Times New Roman" w:cs="Times New Roman" w:eastAsia="Times New Roman" w:hAnsi="Times New Roman"/>
          <w:sz w:val="24"/>
          <w:szCs w:val="24"/>
        </w:rPr>
        <w:t xml:space="preserve">The commercial model's skip rate depended strongly on the wording. Its first choices at three turns left and no injected failures ranged from 0% to 97%: from 0% to 83% in the gain-to-goal frame and from 0% to 97% in the loss frame. The ordering of the frames changed from wording to wording. The neutral frame was highest under wording 0 (80%) but lower than the other two under wordings 1 and 2, the loss frame was highest under wording 2 (97% against 10% for gain-to-goal), and all frames were low under wording 3. The frame-by-wording interaction is large (likelihood ratio 178, df = 6) and the twelve cells do not share one rate (chi-square 231, df = 11). The pooled loss-versus-gain coefficient with wording fixed effects (+1.22) should not be read as a loss-frame effect: it comes almost entirely from wording 2, and the loss-minus-gain difference is +3, +3, +87, and -7 points across the four wordings.</w:t>
      </w:r>
    </w:p>
    <w:p>
      <w:pPr>
        <w:spacing w:after="0" w:before="0" w:line="480"/>
        <w:ind w:firstLine="720"/>
        <w:jc w:val="left"/>
      </w:pPr>
      <w:r>
        <w:rPr>
          <w:rFonts w:ascii="Times New Roman" w:cs="Times New Roman" w:eastAsia="Times New Roman" w:hAnsi="Times New Roman"/>
          <w:sz w:val="24"/>
          <w:szCs w:val="24"/>
        </w:rPr>
        <w:t xml:space="preserve">Qwen2.5-1.5B showed a consistent direction. The loss frame exceeded the gain-to-goal frame under all four wordings (differences of +43, +3, +7, and +17 points), the frame-by-wording interaction was not significant (likelihood ratio 9.2, df = 6, p = .16), and the wording-fixed-effects coefficient for loss versus gain was +1.00 (p = .002). The size varied with the wording, and the twelve cells still differ (chi-square 29.9, p = .002). The registered wording gave 50% against 7% here, but 28% against 16% in the earlier pilot at the same condition, which shows how far a cell of 30 or 50 episodes moves from sampling alone.</w:t>
      </w:r>
    </w:p>
    <w:p>
      <w:pPr>
        <w:spacing w:after="0" w:before="0" w:line="480"/>
        <w:ind w:firstLine="720"/>
        <w:jc w:val="left"/>
      </w:pPr>
      <w:r>
        <w:rPr>
          <w:rFonts w:ascii="Times New Roman" w:cs="Times New Roman" w:eastAsia="Times New Roman" w:hAnsi="Times New Roman"/>
          <w:sz w:val="24"/>
          <w:szCs w:val="24"/>
        </w:rPr>
        <w:t xml:space="preserve">SmolLM2-1.7B mostly held or rolled back (skip rates from 0% to 10%) and showed neither a frame effect nor a wording effect (interaction likelihood ratio 4.6, p = .60; equal-cells chi-square 10.0, p = .53). The loss frame was not above the gain-to-goal frame under any wording.</w:t>
      </w:r>
    </w:p>
    <w:p>
      <w:pPr>
        <w:spacing w:after="0" w:before="0" w:line="480"/>
        <w:ind w:firstLine="720"/>
        <w:jc w:val="left"/>
      </w:pPr>
      <w:r>
        <w:rPr>
          <w:rFonts w:ascii="Times New Roman" w:cs="Times New Roman" w:eastAsia="Times New Roman" w:hAnsi="Times New Roman"/>
          <w:sz w:val="24"/>
          <w:szCs w:val="24"/>
        </w:rPr>
        <w:t xml:space="preserve">Sections 4.2 to 4.5 look at one question under different designs, the later ones chosen after seeing the earlier. We do not adjust for multiplicity, and we rely on the consistency of direction and on effect sizes rather than on any single p value.</w:t>
      </w:r>
    </w:p>
    <w:p>
      <w:pPr>
        <w:pStyle w:val="Heading1"/>
        <w:keepNext/>
        <w:spacing w:after="0" w:before="0" w:line="480"/>
      </w:pPr>
      <w:r>
        <w:rPr>
          <w:rFonts w:ascii="Times New Roman" w:cs="Times New Roman" w:eastAsia="Times New Roman" w:hAnsi="Times New Roman"/>
          <w:b/>
          <w:bCs/>
          <w:sz w:val="24"/>
          <w:szCs w:val="24"/>
        </w:rPr>
        <w:t xml:space="preserve">5. Discussion</w:t>
      </w:r>
    </w:p>
    <w:p>
      <w:pPr>
        <w:pStyle w:val="Heading2"/>
        <w:keepNext/>
        <w:spacing w:after="0" w:before="0" w:line="480"/>
      </w:pPr>
      <w:r>
        <w:rPr>
          <w:rFonts w:ascii="Times New Roman" w:cs="Times New Roman" w:eastAsia="Times New Roman" w:hAnsi="Times New Roman"/>
          <w:b/>
          <w:bCs/>
          <w:i/>
          <w:iCs/>
          <w:sz w:val="24"/>
          <w:szCs w:val="24"/>
        </w:rPr>
        <w:t xml:space="preserve">5.1 What the results say and do not say</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In this preliminary execution the registered hypothesis is not supported for any of three models: the loss frame raised test-skipping by 7.7 points in one open model (below the registered 10 points), lowered it by 5.0 points in another, and did not matter for a commercial model that never skipped. The exploratory checks changed the picture in a way we consider the more informative result. Once the facts are held fixed and only the sentence changes, the commercial model's test-skipping for a single frame moved between 0% and 97%, and the ordering of the three frames changed with the wording. In this model, sensitivity to the particular sentence is larger than sensitivity to whether the sentence is framed as a loss, a gain, or neutral. One open model, by contrast, kept the same direction (loss above gain) under all four wordings, which is what a framing effect would look like, although its size varied from three to forty-three points; the other open model hardly responded. The three models thus give three different answers, and a single sentence per frame would have produced a confident but misleading account of each.</w:t>
      </w:r>
    </w:p>
    <w:p>
      <w:pPr>
        <w:spacing w:after="0" w:before="0" w:line="480"/>
        <w:ind w:firstLine="720"/>
        <w:jc w:val="left"/>
      </w:pPr>
      <w:r>
        <w:rPr>
          <w:rFonts w:ascii="Times New Roman" w:cs="Times New Roman" w:eastAsia="Times New Roman" w:hAnsi="Times New Roman"/>
          <w:sz w:val="24"/>
          <w:szCs w:val="24"/>
        </w:rPr>
        <w:t xml:space="preserve">Mapped to the interpretive patterns in the registered protocol, no model shows Pattern A (both hypotheses supported). The consistent loss-above-gain direction in Qwen resembles a small frame effect (Pattern C), but its failure-history effect runs in the opposite direction. The commercial model's dependence on wording was not anticipated by any pattern; it is closest to Pattern D only in the registered grid, where it never skipped. SmolLM2 mainly holds or rolls back and shows a failure-history effect that does not depend on the frame (Section 4.3). A small exploratory control that removed most of the remaining turns did not change skipping or the direction of the frame differences in either open model (Section 4.4), which argues against a pure turn-saving account for them, though the sample is small; for the commercial model the reasons it gave do invoke turn allocation. The three models differ in developer, size, and training, so none of these differences can be attributed to scale.</w:t>
      </w:r>
    </w:p>
    <w:p>
      <w:pPr>
        <w:pStyle w:val="Heading2"/>
        <w:keepNext/>
        <w:spacing w:after="0" w:before="0" w:line="480"/>
      </w:pPr>
      <w:r>
        <w:rPr>
          <w:rFonts w:ascii="Times New Roman" w:cs="Times New Roman" w:eastAsia="Times New Roman" w:hAnsi="Times New Roman"/>
          <w:b/>
          <w:bCs/>
          <w:i/>
          <w:iCs/>
          <w:sz w:val="24"/>
          <w:szCs w:val="24"/>
        </w:rPr>
        <w:t xml:space="preserve">5.2 A measurement contribution</w:t>
      </w:r>
    </w:p>
    <w:p>
      <w:pPr>
        <w:spacing w:after="0" w:before="0" w:line="480"/>
        <w:ind w:firstLine="720"/>
        <w:jc w:val="left"/>
      </w:pPr>
      <w:r>
        <w:rPr>
          <w:rFonts w:ascii="Times New Roman" w:cs="Times New Roman" w:eastAsia="Times New Roman" w:hAnsi="Times New Roman"/>
          <w:sz w:val="24"/>
          <w:szCs w:val="24"/>
        </w:rPr>
        <w:t xml:space="preserve">The second finding is methodological and does not depend on any particular model. In environments where a recovery option has positive expected value after a loss, the intuitive escalation test, "does the risk index rise after failures?", is confounded by the normative benchmark: the rational operator lowers it. The test then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in keeping with the definition in Section 2.4, (iii) check that the dominance of the inferior action is visible to the operator or learnable by it, since a verbal description of the options can turn a dominated action into a defensible time-risk trade-off when turns are scarce, (iv) estimate any frame effect over several paraphrases of each frame, treating the wording as a factor, because a single sentence per frame confounds the frame with the sentence, and (v) report a floor effect explicitly as a non-test rather than a null, because a model that never takes the inferior action cannot be distinguished across frames.</w:t>
      </w:r>
    </w:p>
    <w:p>
      <w:pPr>
        <w:pStyle w:val="Heading2"/>
        <w:keepNext/>
        <w:spacing w:after="0" w:before="0" w:line="480"/>
      </w:pPr>
      <w:r>
        <w:rPr>
          <w:rFonts w:ascii="Times New Roman" w:cs="Times New Roman" w:eastAsia="Times New Roman" w:hAnsi="Times New Roman"/>
          <w:b/>
          <w:bCs/>
          <w:i/>
          <w:iCs/>
          <w:sz w:val="24"/>
          <w:szCs w:val="24"/>
        </w:rPr>
        <w:t xml:space="preserve">5.3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practical implication is an audit, not a rule about wording. How an operator model responds to a dashboard sentence depends on the model and on the exact sentence, so framing sensitivity should be measured on the organization's own payoff structure, with several paraphrases of each message, on the candidate model, before delegation. The results do not show that loss-worded dashboards are harmful in general, that gain-worded or neutral wording is a safe default, or that any wording is safe: in the commercial model, a message of each kind produced almost no skipping under one sentence and mostly skipping under another. Because small changes in message text can change an operator's behavior, dashboard copy and prompt templates that feed an LLM operator should be treated as controlled configuration, versioned, and re-tested when they change. Separately, making verification the default in a deployment gate is a reversible design choice that does not depend on the present findings: the operational cost is low, and it removes the option that the environment defines as dominated.</w:t>
      </w:r>
    </w:p>
    <w:p>
      <w:pPr>
        <w:pStyle w:val="Heading1"/>
        <w:keepNext/>
        <w:spacing w:after="0" w:before="0" w:line="480"/>
      </w:pPr>
      <w:r>
        <w:rPr>
          <w:rFonts w:ascii="Times New Roman" w:cs="Times New Roman" w:eastAsia="Times New Roman" w:hAnsi="Times New Roman"/>
          <w:b/>
          <w:bCs/>
          <w:sz w:val="24"/>
          <w:szCs w:val="24"/>
        </w:rPr>
        <w:t xml:space="preserve">6. Limitations</w:t>
      </w:r>
    </w:p>
    <w:p>
      <w:pPr>
        <w:spacing w:after="0" w:before="0" w:line="480"/>
        <w:ind w:firstLine="720"/>
        <w:jc w:val="left"/>
      </w:pPr>
      <w:r>
        <w:rPr>
          <w:rFonts w:ascii="Times New Roman" w:cs="Times New Roman" w:eastAsia="Times New Roman" w:hAnsi="Times New Roman"/>
          <w:sz w:val="24"/>
          <w:szCs w:val="24"/>
        </w:rPr>
        <w:t xml:space="preserve">First, the evidence is a partial execution: three models of different families, each a small model of its family (the commercial model is the small, fast tier of its family), so there is no within-family size contrast and no large model in any family. The open models were run at temperature 0.7 only (at temperature 0 the episodes in a cell would collapse to one effective sample, because the prompt is identical). The main grid analyzes first free choices only, so path-dependent outcomes (H4, chase streak, rollback latency, terminal quality) and the sensitivity grid that perturbs the probabilities and payoffs by 20 percent were not run. Second, the follow-ups are exploratory. The time-pressure control (50 episodes per cell) and the wording check (30 episodes per cell, one condition: three turns left and no injected failures) were added after seeing earlier output; the three paraphrases per frame were written by us and are not a random sample of wordings; four wordings per frame are too few to estimate a distribution of wording effects; and the several analyses are not adjusted for multiplicity. Third, the format pre-fill for the open models is an intervention outside the registered protocol. Fourth, the exploratory H2 criterion, its 0.10 threshold, and the requirement that skipping rise were specified after seeing pilot output. Fifth, a scalar quality score compresses multidimensional incidents (safety, latency, cost, reputation) into one line, and the six closed actions simplify the continuous space of field work. Sixth, a model does not feel loss; it reacts to text statistics, and the present design does not identify the mechanism by which a sentence changes a choice. The reasons we read are post hoc statements. Seventh, the operator sees only qualitative option descriptions, so the expected-value dominance of verification is visible to the designer but not to the operator. Eighth, the commercial-model logs of the time-pressure and wording checks are not in the repository, and results for a closed model depend on its version at the time of the run. External validity is left to follow-up work applying the same coding scheme to live tickets.</w:t>
      </w:r>
    </w:p>
    <w:p>
      <w:pPr>
        <w:pStyle w:val="Heading1"/>
        <w:keepNext/>
        <w:spacing w:after="0" w:before="0" w:line="480"/>
      </w:pPr>
      <w:r>
        <w:rPr>
          <w:rFonts w:ascii="Times New Roman" w:cs="Times New Roman" w:eastAsia="Times New Roman" w:hAnsi="Times New Roman"/>
          <w:b/>
          <w:bCs/>
          <w:sz w:val="24"/>
          <w:szCs w:val="24"/>
        </w:rPr>
        <w:t xml:space="preserve">7.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In a preliminary execution on three models, the registered framing hypothesis was not supported and the response to failure history differed across models. Exploratory follow-ups showed that, for the commercial model, the sentence mattered more than the frame: the same frame produced between almost no and almost universal test-skipping under equivalent wordings. We also showed that the natural risk-index test of escalation is invalid when a positive-value recovery option exists, and we proposed excess risk together with test-skipping, estimated over several wordings, as a replacement. Whatever the outcome of the full registered grid, a deployed operator model should be treated as a decision maker whose sensitivity to wording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and analysis scripts, together with the raw logs for the open models, are available for review in an anonymized repository [link withheld for double-anonymous review]. Deviations from the registered protocol are listed in Sections 3.3, 3.4, and 4.1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1.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The headline (first line) is the only part that differs across frames, and the order of the action list is rotated by turn index.</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300"/>
        <w:gridCol w:w="1400"/>
        <w:gridCol w:w="2160"/>
      </w:tblGrid>
      <w:tr>
        <w:trPr>
          <w:cantSplit/>
          <w:tblHeader/>
        </w:trPr>
        <w:tc>
          <w:tcPr>
            <w:tcW w:type="dxa" w:w="2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Temperatures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Episodes per cell</w:t>
            </w:r>
          </w:p>
        </w:tc>
        <w:tc>
          <w:tcPr>
            <w:tcW w:type="dxa" w:w="21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and 0.7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temperature</w:t>
            </w:r>
          </w:p>
        </w:tc>
        <w:tc>
          <w:tcPr>
            <w:tcW w:type="dxa" w:w="21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 turn, quality_before, fail_streak_before, cum_loss_before, action, parse_fail, risk, ev_gap, reason, headline_id, action_order, outcome, quality_after, and terminal_quality. The runner supports resuming an interrupted run without duplicating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and deviations</w:t>
      </w:r>
    </w:p>
    <w:p>
      <w:pPr>
        <w:spacing w:after="0" w:before="0" w:line="480"/>
        <w:jc w:val="left"/>
      </w:pPr>
      <w:r>
        <w:rPr>
          <w:rFonts w:ascii="Times New Roman" w:cs="Times New Roman" w:eastAsia="Times New Roman" w:hAnsi="Times New Roman"/>
          <w:b/>
          <w:bCs/>
          <w:sz w:val="24"/>
          <w:szCs w:val="24"/>
        </w:rPr>
        <w:t xml:space="preserve">As registered.</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 (all labeled in the text).</w:t>
      </w:r>
      <w:r>
        <w:rPr>
          <w:rFonts w:ascii="Times New Roman" w:cs="Times New Roman" w:eastAsia="Times New Roman" w:hAnsi="Times New Roman"/>
          <w:sz w:val="24"/>
          <w:szCs w:val="24"/>
        </w:rPr>
        <w:t xml:space="preserve"> (1) Response pre-fill for the two open models. (2) Open models at temperature 0.7 only, all three models small within their families, and no larger model in any family. (3) Only first free choices analyzed, so H4, chase streak, rollback latency, and terminal quality are not reported. (4) H2 reported as registered (raw risk index) and as an exploratory excess-risk criterion that also requires skipping to rise; the 0.10 effect-size threshold was set after pilot output. (5) The sensitivity grid (probabilities and payoffs +-20%, early stop on or off, hold imputation versus episode drop) was not run, although the code supports it. (6) A time-pressure pilot (three turns remaining, zero and three failures, 50 episodes per cell, the two open models and the commercial model) was added; it is exploratory and outside the registered grid. (7) A wording-robustness check (four headlines per frame, 30 episodes per cell, three turns remaining, no injected failures, all three models) was added; the three paraphrases per frame are listed in Appendix E and were written after seeing pilot output.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Wording 0 is the registered headline. Wordings 1 to 3 were written to carry the same facts.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wording.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6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Wording</w:t>
            </w:r>
          </w:p>
        </w:tc>
        <w:tc>
          <w:tcPr>
            <w:tcW w:type="dxa" w:w="6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L points below the last stable level; the last update cost d points.</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so far: L points against the stable baseline (d points lost on the last step).</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previous update set quality back by d points, leaving us L points short of where we were.</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108.</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g points away from the target of 108; quality now stands at q.</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Progress toward the target: q of 108 (g points to go).</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To reach the target we still need g more points (quality is currently q).</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q. Outcome of the previous update: r.</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report. Quality is q; the last update ended in: r.</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6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figures: quality q, last result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Loss Chasing in Large Language Model Maintenance Decisions: A Human-Subject-Free Behavioral Evaluation</dc:title>
  <cp:lastModifiedBy>Un-named</cp:lastModifiedBy>
  <cp:revision>1</cp:revision>
  <dcterms:created xsi:type="dcterms:W3CDTF">2026-10-01T00:30:49.856Z</dcterms:created>
  <dcterms:modified xsi:type="dcterms:W3CDTF">2026-10-01T00:30:49.859Z</dcterms:modified>
</cp:coreProperties>
</file>

<file path=docProps/custom.xml><?xml version="1.0" encoding="utf-8"?>
<Properties xmlns="http://schemas.openxmlformats.org/officeDocument/2006/custom-properties" xmlns:vt="http://schemas.openxmlformats.org/officeDocument/2006/docPropsVTypes"/>
</file>