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constraints and a calibration mechanism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generative AI, synthetic customers, organizational accountability</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a system that organizations design, deploy, and use to support decisions (Orlikowski and Iacono 2001). Such an artifact should be evaluated against the decisions it serves, and its value lies in the fit between what the system delivers and what the task demands (Goodhue and Thompson 1995). For promotion planning the task demands a plausible share of non-buyers, a plausible weight of heavy buyers, and a plausible absolute size of an effect. The elicitation design, meaning how the model is asked, how its answers become numbers, and where the variation among customers comes from, is therefore the artifact’s central design variable.</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output invites reliance beyond what a system warrants (Lee and See 2004).</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with customer-specific rates, so that overdispersion measures how much customers differ (Ehrenberg 1959, Schmittlein et al. 1987, Fader et al. 2005). Heterogeneity is a demanding test for three reasons: it is invisible in the averages that users inspect, it drives decisions about heavy buyers, non-buyers, and uncertainty, and studies of silicon samples find it compressed (Li et al. 2025, Tigre and Souto 2026, Jang et al. 2026). Purchase counts, concentration, and promotion lifts are thus the supporting evidence in this paper, not its subject.</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We compare four elicitation designs in eight language models and two prompt variants against public transaction data sets whose mean counts differ by a factor of ten or more, and against a randomized email experiment.</w:t>
      </w:r>
    </w:p>
    <w:p>
      <w:pPr>
        <w:pStyle w:val="BodyText"/>
      </w:pPr>
      <w:r>
        <w:t xml:space="preserve">The study makes four contributions. First, we give design constraints for the artifact: a design constraint, a calibration mechanism, and a result that links the constraint to customer concentration (Propositions 1 to 3; RQ1), and we explain why this is a managerial problem and not merely a statistical one: when behavior is generated rather than estimated, quality is bounded by the firm’s data assets, cannot be seen from inside the system, and depends on components that the firm does not control. Second, we show across designs, models, and settings that direct and day-by-day designs collapse, that taking only the level from the model and calibrating the spread externally restores concentration, and that calibrating the level adds little beyond the historical mean (RQ2). Third, we show that the cues a user can see do not reliably reveal the errors that matter, and we derive five design principles and an acceptance-test protocol (RQ3). Fourth, we identify the organizational arrangements that follow, and we show with a randomized email experiment that overstated promotion lifts would reverse a go/no-go decision (RQ4).</w:t>
      </w:r>
    </w:p>
    <w:p>
      <w:pPr>
        <w:pStyle w:val="BodyText"/>
      </w:pPr>
      <w:r>
        <w:t xml:space="preserve">The remainder of the paper is organized as follows. Section 2 reviews the literature and states the gap. Section 3 develops the design constraints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and LLM-generated data can track the direction of treatment effects while overstating their magnitudes (Hewitt et al. 2024).</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Listing several candidate answers with probabilities partly restores diversity (Zhang et al. 2025a), and mapping free-text answers to rating scales improves purchase-intent ratings (Maier et al. 2025). In operations management, LLMs often reproduce the outcome of a hypothesis test while diverging from human data in the full response distribution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Overdispersion relative to the Poisson is therefore the empirical signature of customer heterogeneity (Cameron and Trivedi 1990), and a simulator that compresses heterogeneity should show up first as underdispersion. These distributions also feed customer lifetime value, repeat-purchase forecasts, and budget allocation.</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(Orlikowski and Iacono 2001). We separate the design of the artifact, here the elicitation procedure, the persona schema, and the calibration step of a simulator, from its evaluation, here the comparison with observed behavior. Task–technology fit supplies the criterion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locates the topic at the interface of information systems and marketing analytics (Wedel and Kannan 2016), and the hybrid design is an instance of arrangements in which a model supplies part of a judgment and a statistical procedure another (Dellermann et al. 2019).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constraints-and-hypotheses"/>
    <w:p>
      <w:pPr>
        <w:pStyle w:val="Heading1"/>
      </w:pPr>
      <w:r>
        <w:t xml:space="preserve">3. Design Constraints and Hypotheses</w:t>
      </w:r>
    </w:p>
    <w:p>
      <w:pPr>
        <w:pStyle w:val="FirstParagraph"/>
      </w:pPr>
      <w:r>
        <w:t xml:space="preserve">This section develops design constraints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the remaining statements follow by substitution (Online Appendix D).</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cannot carry heterogeneity that the persona does not describe (the term</w:t>
      </w:r>
      <w:r>
        <w:t xml:space="preserve"> </w:t>
      </w:r>
      <m:oMath>
        <m:r>
          <m:t>R</m:t>
        </m:r>
      </m:oMath>
      <w:r>
        <w:t xml:space="preserve">). Because real customers differ in ways that a short persona cannot capture,</w:t>
      </w:r>
      <w:r>
        <w:t xml:space="preserve"> </w:t>
      </w:r>
      <m:oMath>
        <m:r>
          <m:t>R</m:t>
        </m:r>
      </m:oMath>
      <w:r>
        <w:t xml:space="preserve"> </w:t>
      </w:r>
      <w:r>
        <w:t xml:space="preserve">is rarely small, and collapse toward a single answer is the expected outcome.</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oMath>
      <w:r>
        <w:t xml:space="preserve"> </w:t>
      </w:r>
      <w:r>
        <w:t xml:space="preserve">(Online Appendix D).</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samples a count externally. Because the top bin must be closed, this design cannot produce the extreme tail of the real distribution. The variance-to-mean ratio attainable by a perfect description, with each bin’s mass spread uniformly within the bin,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so comparisons for this design are made against the ceiling as well as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Five supplementary analyses are not hypotheses and are labeled S1 to S5 in Section 5.11: (S1) the concentration of purchases among heavy buyers (Proposition 3), (S2) calibration of the level, (S3) the robustness of collapse to the mean level, to richer personas, and to model scale, (S4) whether the cues a user can see reveal decision errors, and (S5) a backtest of the acceptance test.</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another component. Proposition 2 is a calibration mechanism. It allocates a variance budget between the model’s persona-conditioned rates and an external noise generator so that their combination matches the dispersion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is explicit, because the allocation is computed rather than tuned; auditable, because the target comes from a named historical data set; and modular, because the model can be replaced without changing the calibration step, although the step must then be recomputed. Together the propositions separate the responsibilities of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it establishes about the design space that an organization faces. First, Proposition 1 is an impossibility result for the levers that organizations control: the prompt, the persona, the choice of model, and the decoding settings. Each acts on the deterministic map from persona to answer, and none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so a team that tunes prompts to</w:t>
      </w:r>
      <w:r>
        <w:t xml:space="preserve"> </w:t>
      </w:r>
      <w:r>
        <w:t xml:space="preserve">“</w:t>
      </w:r>
      <w:r>
        <w:t xml:space="preserve">add diversity</w:t>
      </w:r>
      <w:r>
        <w:t xml:space="preserve">”</w:t>
      </w:r>
      <w:r>
        <w:t xml:space="preserve"> </w:t>
      </w:r>
      <w:r>
        <w:t xml:space="preserve">is working on the wrong lever, which can be known before any experiment. Second, Proposition 2 turns the remedy into a rule that can be computed, audited, and handed to a governance process, a form that organizations can use. Third, both propositions are independent of which model is used, so they hold when models and providers change. Fourth, they generate predictions that we test in Section 5.</w:t>
      </w:r>
    </w:p>
    <w:bookmarkEnd w:id="33"/>
    <w:bookmarkStart w:id="34" w:name="X407dae61d11665e7490932e0ac85ab0ce53a5fe"/>
    <w:p>
      <w:pPr>
        <w:pStyle w:val="Heading2"/>
      </w:pPr>
      <w:r>
        <w:t xml:space="preserve">3.8 Why a familiar statistic becomes a managerial problem</w:t>
      </w:r>
    </w:p>
    <w:p>
      <w:pPr>
        <w:pStyle w:val="FirstParagraph"/>
      </w:pPr>
      <w:r>
        <w:t xml:space="preserve">The model behind the propositions is not new. What is new is the setting in which their implication becomes a problem for organizations, in four ways.</w:t>
      </w:r>
    </w:p>
    <w:p>
      <w:pPr>
        <w:pStyle w:val="BodyText"/>
      </w:pPr>
      <w:r>
        <w:rPr>
          <w:iCs/>
          <w:i/>
        </w:rPr>
        <w:t xml:space="preserve">From estimated to generated heterogeneity.</w:t>
      </w:r>
      <w:r>
        <w:t xml:space="preserve"> </w:t>
      </w:r>
      <w:r>
        <w:t xml:space="preserve">In the customer-base models of marketing science, heterogeneity is a latent quantity inferred from the firm’s own data, so its magnitude is disciplined by that data. In a synthetic-customer system it is generated by a pretrained model, and nothing in the generation process ties it to the firm’s customers. By Proposition 1 the tie cannot be restored through the prompt, so the spread must be supplied by a component that is connected to data.</w:t>
      </w:r>
    </w:p>
    <w:p>
      <w:pPr>
        <w:pStyle w:val="BodyText"/>
      </w:pPr>
      <w:r>
        <w:rPr>
          <w:iCs/>
          <w:i/>
        </w:rPr>
        <w:t xml:space="preserve">A bound set by the organization’s data assets.</w:t>
      </w:r>
      <w:r>
        <w:t xml:space="preserve"> </w:t>
      </w:r>
      <w:r>
        <w:t xml:space="preserve">The heterogeneity that a simulator can carry is the share explained by the persona, and the persona contains only what the organization knows about its customers (about 1% in our demographic experiment). This is a complementarity between a generative model and the firm’s data assets, familiar from research on IT business value (Melville et al. 2004), with a sharp form: more capable models cannot compensate for uninformative customer data.</w:t>
      </w:r>
    </w:p>
    <w:p>
      <w:pPr>
        <w:pStyle w:val="BodyText"/>
      </w:pPr>
      <w:r>
        <w:rPr>
          <w:iCs/>
          <w:i/>
        </w:rPr>
        <w:t xml:space="preserve">The validation paradox.</w:t>
      </w:r>
      <w:r>
        <w:t xml:space="preserve"> </w:t>
      </w:r>
      <w:r>
        <w:t xml:space="preserve">Synthetic customers are adopted where real data are scarce or costly, yet the heterogeneity that Proposition 1 shows to be lost is invisible inside the system and can be detected only against real data on the same properties. The evidence that would reveal the error is the evidence that the system was meant to economize. Only partial validation resolves this, in which a small amount of real data calibrates and audits a large amount of synthetic data, and Proposition 2 supplies the calibration step.</w:t>
      </w:r>
    </w:p>
    <w:p>
      <w:pPr>
        <w:pStyle w:val="BodyText"/>
      </w:pPr>
      <w:r>
        <w:rPr>
          <w:iCs/>
          <w:i/>
        </w:rPr>
        <w:t xml:space="preserve">Silent failure and shifting components.</w:t>
      </w:r>
      <w:r>
        <w:t xml:space="preserve"> </w:t>
      </w:r>
      <w:r>
        <w:t xml:space="preserve">Fluent output with the right sign gives no signal of failure, and a wrong decision becomes visible only after several campaign cycles, if at all. The generating component is also outside the firm’s control: in our runs eight models produced very different levels and spreads for the same prompt, and a rented model has to be re-validated whenever it changes, which makes validation a continuing governance task.</w:t>
      </w:r>
    </w:p>
    <w:p>
      <w:pPr>
        <w:pStyle w:val="BodyText"/>
      </w:pPr>
      <w:r>
        <w:t xml:space="preserve">A lost spread also affects decisions that depend on concentration, as the following result shows.</w:t>
      </w:r>
    </w:p>
    <w:p>
      <w:pPr>
        <w:pStyle w:val="BodyText"/>
      </w:pPr>
      <w:r>
        <w:rPr>
          <w:bCs/>
          <w:b/>
        </w:rPr>
        <w:t xml:space="preserve">Proposition 3 (concentration).</w:t>
      </w:r>
      <w:r>
        <w:t xml:space="preserve"> </w:t>
      </w:r>
      <w:r>
        <w:t xml:space="preserve">Let</w:t>
      </w:r>
      <w:r>
        <w:t xml:space="preserve"> </w:t>
      </w:r>
      <m:oMath>
        <m:r>
          <m:t>Λ</m:t>
        </m:r>
        <m:r>
          <m:rPr>
            <m:sty m:val="p"/>
          </m:rPr>
          <m:t>≥</m:t>
        </m:r>
        <m:r>
          <m:t>0</m:t>
        </m:r>
      </m:oMath>
      <w:r>
        <w:t xml:space="preserve"> </w:t>
      </w:r>
      <w:r>
        <w:t xml:space="preserve">be a customer rate with mean</w:t>
      </w:r>
      <w:r>
        <w:t xml:space="preserve"> </w:t>
      </w:r>
      <m:oMath>
        <m:r>
          <m:t>μ</m:t>
        </m:r>
      </m:oMath>
      <w:r>
        <w:t xml:space="preserve"> </w:t>
      </w:r>
      <w:r>
        <w:t xml:space="preserve">and squared coefficient of variation</w:t>
      </w:r>
      <w:r>
        <w:t xml:space="preserve"> </w:t>
      </w:r>
      <m:oMath>
        <m:r>
          <m:t>α</m:t>
        </m:r>
        <m:r>
          <m:rPr>
            <m:sty m:val="p"/>
          </m:rPr>
          <m:t>&gt;</m:t>
        </m:r>
        <m:r>
          <m:t>0</m:t>
        </m:r>
      </m:oMath>
      <w:r>
        <w:t xml:space="preserve">. For</w:t>
      </w:r>
      <w:r>
        <w:t xml:space="preserve"> </w:t>
      </w:r>
      <m:oMath>
        <m:r>
          <m:t>0</m:t>
        </m:r>
        <m:r>
          <m:rPr>
            <m:sty m:val="p"/>
          </m:rPr>
          <m:t>&lt;</m:t>
        </m:r>
        <m:r>
          <m:t>q</m:t>
        </m:r>
        <m:r>
          <m:rPr>
            <m:sty m:val="p"/>
          </m:rPr>
          <m:t>&lt;</m:t>
        </m:r>
        <m:r>
          <m:t>1</m:t>
        </m:r>
      </m:oMath>
      <w:r>
        <w:t xml:space="preserve"> </w:t>
      </w:r>
      <w:r>
        <w:t xml:space="preserve">let</w:t>
      </w:r>
      <w:r>
        <w:t xml:space="preserve"> </w:t>
      </w:r>
      <m:oMath>
        <m:sSub>
          <m:e>
            <m:r>
              <m:t>S</m:t>
            </m:r>
          </m:e>
          <m:sub>
            <m:r>
              <m:t>q</m:t>
            </m:r>
          </m:sub>
        </m:sSub>
      </m:oMath>
      <w:r>
        <w:t xml:space="preserve"> </w:t>
      </w:r>
      <w:r>
        <w:t xml:space="preserve">be the share of all expected purchases that comes from the fraction</w:t>
      </w:r>
      <w:r>
        <w:t xml:space="preserve"> </w:t>
      </w:r>
      <m:oMath>
        <m:r>
          <m:t>q</m:t>
        </m:r>
      </m:oMath>
      <w:r>
        <w:t xml:space="preserve"> </w:t>
      </w:r>
      <w:r>
        <w:t xml:space="preserve">of customers with the highest rates,</w:t>
      </w:r>
      <w:r>
        <w:t xml:space="preserve"> </w:t>
      </w:r>
      <m:oMath>
        <m:sSub>
          <m:e>
            <m:r>
              <m:t>S</m:t>
            </m:r>
          </m:e>
          <m:sub>
            <m:r>
              <m:t>q</m:t>
            </m:r>
          </m:sub>
        </m:sSub>
        <m:r>
          <m:rPr>
            <m:sty m:val="p"/>
          </m:rPr>
          <m:t>=</m:t>
        </m:r>
        <m:sSub>
          <m:e>
            <m:r>
              <m:rPr>
                <m:sty m:val="p"/>
              </m:rPr>
              <m:t>max</m:t>
            </m:r>
          </m:e>
          <m:sub>
            <m:r>
              <m:t>P</m:t>
            </m:r>
            <m:d>
              <m:dPr>
                <m:begChr m:val="("/>
                <m:endChr m:val=")"/>
                <m:sepChr m:val=""/>
                <m:grow/>
              </m:dPr>
              <m:e>
                <m:r>
                  <m:t>A</m:t>
                </m:r>
              </m:e>
            </m:d>
            <m:r>
              <m:rPr>
                <m:sty m:val="p"/>
              </m:rPr>
              <m:t>=</m:t>
            </m:r>
            <m:r>
              <m:t>q</m:t>
            </m:r>
          </m:sub>
        </m:sSub>
        <m:r>
          <m:t>E</m:t>
        </m:r>
        <m:d>
          <m:dPr>
            <m:begChr m:val="["/>
            <m:endChr m:val="]"/>
            <m:sepChr m:val=""/>
            <m:grow/>
          </m:dPr>
          <m:e>
            <m:r>
              <m:t>Λ</m:t>
            </m:r>
            <m:sSub>
              <m:e>
                <m:r>
                  <m:rPr>
                    <m:sty m:val="b"/>
                  </m:rPr>
                  <m:t>1</m:t>
                </m:r>
              </m:e>
              <m:sub>
                <m:r>
                  <m:t>A</m:t>
                </m:r>
              </m:sub>
            </m:sSub>
          </m:e>
        </m:d>
        <m:r>
          <m:rPr>
            <m:sty m:val="p"/>
          </m:rPr>
          <m:t>/</m:t>
        </m:r>
        <m:r>
          <m:t>μ</m:t>
        </m:r>
      </m:oMath>
      <w:r>
        <w:t xml:space="preserve">, where the maximum is over events</w:t>
      </w:r>
      <w:r>
        <w:t xml:space="preserve"> </w:t>
      </w:r>
      <m:oMath>
        <m:r>
          <m:t>A</m:t>
        </m:r>
      </m:oMath>
      <w:r>
        <w:t xml:space="preserve"> </w:t>
      </w:r>
      <w:r>
        <w:t xml:space="preserve">of probability</w:t>
      </w:r>
      <w:r>
        <w:t xml:space="preserve"> </w:t>
      </w:r>
      <m:oMath>
        <m:r>
          <m:t>q</m:t>
        </m:r>
      </m:oMath>
      <w:r>
        <w:t xml:space="preserve">.</w:t>
      </w:r>
    </w:p>
    <w:p>
      <w:pPr>
        <w:numPr>
          <w:ilvl w:val="0"/>
          <w:numId w:val="1002"/>
        </w:numPr>
      </w:pPr>
      <w:r>
        <w:t xml:space="preserve">For every rate distribution,</w:t>
      </w:r>
      <w:r>
        <w:t xml:space="preserve"> </w:t>
      </w:r>
      <m:oMath>
        <m:r>
          <m:t>q</m:t>
        </m:r>
        <m:r>
          <m:rPr>
            <m:sty m:val="p"/>
          </m:rPr>
          <m:t>≤</m:t>
        </m:r>
        <m:sSub>
          <m:e>
            <m:r>
              <m:t>S</m:t>
            </m:r>
          </m:e>
          <m:sub>
            <m:r>
              <m:t>q</m:t>
            </m:r>
          </m:sub>
        </m:sSub>
        <m:r>
          <m:rPr>
            <m:sty m:val="p"/>
          </m:rPr>
          <m:t>≤</m:t>
        </m:r>
        <m:r>
          <m:t>q</m:t>
        </m:r>
        <m:r>
          <m:rPr>
            <m:sty m:val="p"/>
          </m:rPr>
          <m:t>+</m:t>
        </m:r>
        <m:rad>
          <m:radPr>
            <m:degHide m:val="on"/>
          </m:radPr>
          <m:deg/>
          <m:e>
            <m:r>
              <m:t>α</m:t>
            </m:r>
            <m:r>
              <m:t> </m:t>
            </m:r>
            <m:r>
              <m:t>q</m:t>
            </m:r>
            <m:d>
              <m:dPr>
                <m:begChr m:val="("/>
                <m:endChr m:val=")"/>
                <m:sepChr m:val=""/>
                <m:grow/>
              </m:dPr>
              <m:e>
                <m:r>
                  <m:t>1</m:t>
                </m:r>
                <m:r>
                  <m:rPr>
                    <m:sty m:val="p"/>
                  </m:rPr>
                  <m:t>−</m:t>
                </m:r>
                <m:r>
                  <m:t>q</m:t>
                </m:r>
              </m:e>
            </m:d>
          </m:e>
        </m:rad>
      </m:oMath>
      <w:r>
        <w:t xml:space="preserve">.</w:t>
      </w:r>
    </w:p>
    <w:p>
      <w:pPr>
        <w:numPr>
          <w:ilvl w:val="0"/>
          <w:numId w:val="1002"/>
        </w:numPr>
      </w:pPr>
      <w:r>
        <w:t xml:space="preserve">If</w:t>
      </w:r>
      <w:r>
        <w:t xml:space="preserve"> </w:t>
      </w:r>
      <m:oMath>
        <m:r>
          <m:t>Λ</m:t>
        </m:r>
      </m:oMath>
      <w:r>
        <w:t xml:space="preserve"> </w:t>
      </w:r>
      <w:r>
        <w:t xml:space="preserve">is gamma distributed with shape</w:t>
      </w:r>
      <w:r>
        <w:t xml:space="preserve"> </w:t>
      </w:r>
      <m:oMath>
        <m:r>
          <m:t>k</m:t>
        </m:r>
        <m:r>
          <m:rPr>
            <m:sty m:val="p"/>
          </m:rPr>
          <m:t>=</m:t>
        </m:r>
        <m:r>
          <m:t>1</m:t>
        </m:r>
        <m:r>
          <m:rPr>
            <m:sty m:val="p"/>
          </m:rPr>
          <m:t>/</m:t>
        </m:r>
        <m:r>
          <m:t>α</m:t>
        </m:r>
      </m:oMath>
      <w:r>
        <w:t xml:space="preserve">, then</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r>
          <m:t>​</m:t>
        </m:r>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distribution function of a gamma variable with shape</w:t>
      </w:r>
      <w:r>
        <w:t xml:space="preserve"> </w:t>
      </w:r>
      <m:oMath>
        <m:r>
          <m:t>k</m:t>
        </m:r>
      </m:oMath>
      <w:r>
        <w:t xml:space="preserve"> </w:t>
      </w:r>
      <w:r>
        <w:t xml:space="preserve">and unit scale.</w:t>
      </w:r>
    </w:p>
    <w:p>
      <w:pPr>
        <w:numPr>
          <w:ilvl w:val="0"/>
          <w:numId w:val="1002"/>
        </w:numPr>
      </w:pPr>
      <w:r>
        <w:t xml:space="preserve">Among gamma distributions,</w:t>
      </w:r>
      <w:r>
        <w:t xml:space="preserve"> </w:t>
      </w:r>
      <m:oMath>
        <m:sSub>
          <m:e>
            <m:r>
              <m:t>S</m:t>
            </m:r>
          </m:e>
          <m:sub>
            <m:r>
              <m:t>q</m:t>
            </m:r>
          </m:sub>
        </m:sSub>
        <m:d>
          <m:dPr>
            <m:begChr m:val="("/>
            <m:endChr m:val=")"/>
            <m:sepChr m:val=""/>
            <m:grow/>
          </m:dPr>
          <m:e>
            <m:r>
              <m:t>α</m:t>
            </m:r>
          </m:e>
        </m:d>
      </m:oMath>
      <w:r>
        <w:t xml:space="preserve"> </w:t>
      </w:r>
      <w:r>
        <w:t xml:space="preserve">is strictly increasing in</w:t>
      </w:r>
      <w:r>
        <w:t xml:space="preserve"> </w:t>
      </w:r>
      <m:oMath>
        <m:r>
          <m:t>α</m:t>
        </m:r>
      </m:oMath>
      <w:r>
        <w:t xml:space="preserve">, and</w:t>
      </w:r>
      <w:r>
        <w:t xml:space="preserve"> </w:t>
      </w:r>
      <m:oMath>
        <m:sSub>
          <m:e>
            <m:r>
              <m:t>S</m:t>
            </m:r>
          </m:e>
          <m:sub>
            <m:r>
              <m:t>q</m:t>
            </m:r>
          </m:sub>
        </m:sSub>
        <m:d>
          <m:dPr>
            <m:begChr m:val="("/>
            <m:endChr m:val=")"/>
            <m:sepChr m:val=""/>
            <m:grow/>
          </m:dPr>
          <m:e>
            <m:r>
              <m:t>α</m:t>
            </m:r>
          </m:e>
        </m:d>
        <m:r>
          <m:rPr>
            <m:sty m:val="p"/>
          </m:rPr>
          <m:t>→</m:t>
        </m:r>
        <m:r>
          <m:t>q</m:t>
        </m:r>
      </m:oMath>
      <w:r>
        <w:t xml:space="preserve"> </w:t>
      </w:r>
      <w:r>
        <w:t xml:space="preserve">as</w:t>
      </w:r>
      <w:r>
        <w:t xml:space="preserve"> </w:t>
      </w:r>
      <m:oMath>
        <m:r>
          <m:t>α</m:t>
        </m:r>
        <m:r>
          <m:rPr>
            <m:sty m:val="p"/>
          </m:rPr>
          <m:t>→</m:t>
        </m:r>
        <m:r>
          <m:t>0</m:t>
        </m:r>
      </m:oMath>
      <w:r>
        <w:t xml:space="preserve">.</w:t>
      </w:r>
    </w:p>
    <w:p>
      <w:pPr>
        <w:numPr>
          <w:ilvl w:val="0"/>
          <w:numId w:val="1002"/>
        </w:numPr>
      </w:pPr>
      <w:r>
        <w:t xml:space="preserve">The simulated count</w:t>
      </w:r>
      <w:r>
        <w:t xml:space="preserve"> </w:t>
      </w:r>
      <m:oMath>
        <m:sSup>
          <m:e>
            <m:r>
              <m:t>N</m:t>
            </m:r>
          </m:e>
          <m:sup>
            <m:r>
              <m:rPr>
                <m:sty m:val="p"/>
              </m:rPr>
              <m:t>*</m:t>
            </m:r>
          </m:sup>
        </m:sSup>
      </m:oMath>
      <w:r>
        <w:t xml:space="preserve"> </w:t>
      </w:r>
      <w:r>
        <w:t xml:space="preserve">of a deterministic persona-conditioned simulator (Proposition 1) has squared coefficient of variation</w:t>
      </w:r>
      <w:r>
        <w:t xml:space="preserve"> </w:t>
      </w:r>
      <m:oMath>
        <m:sSup>
          <m:e>
            <m:r>
              <m:t>c</m:t>
            </m:r>
          </m:e>
          <m:sup>
            <m:r>
              <m:t>2</m:t>
            </m:r>
          </m:sup>
        </m:sSup>
      </m:oMath>
      <w:r>
        <w:t xml:space="preserve">. The share of simulated purchases made by the fraction</w:t>
      </w:r>
      <w:r>
        <w:t xml:space="preserve"> </w:t>
      </w:r>
      <m:oMath>
        <m:r>
          <m:t>q</m:t>
        </m:r>
      </m:oMath>
      <w:r>
        <w:t xml:space="preserve"> </w:t>
      </w:r>
      <w:r>
        <w:t xml:space="preserve">of customers with the highest counts is therefore at most</w:t>
      </w:r>
      <w:r>
        <w:t xml:space="preserve"> </w:t>
      </w:r>
      <m:oMath>
        <m:r>
          <m:t>q</m:t>
        </m:r>
        <m:r>
          <m:rPr>
            <m:sty m:val="p"/>
          </m:rPr>
          <m:t>+</m:t>
        </m:r>
        <m:rad>
          <m:radPr>
            <m:degHide m:val="on"/>
          </m:radPr>
          <m:deg/>
          <m:e>
            <m:sSup>
              <m:e>
                <m:r>
                  <m:t>c</m:t>
                </m:r>
              </m:e>
              <m:sup>
                <m:r>
                  <m:t>2</m:t>
                </m:r>
              </m:sup>
            </m:sSup>
            <m:r>
              <m:t>q</m:t>
            </m:r>
            <m:d>
              <m:dPr>
                <m:begChr m:val="("/>
                <m:endChr m:val=")"/>
                <m:sepChr m:val=""/>
                <m:grow/>
              </m:dPr>
              <m:e>
                <m:r>
                  <m:t>1</m:t>
                </m:r>
                <m:r>
                  <m:rPr>
                    <m:sty m:val="p"/>
                  </m:rPr>
                  <m:t>−</m:t>
                </m:r>
                <m:r>
                  <m:t>q</m:t>
                </m:r>
              </m:e>
            </m:d>
          </m:e>
        </m:rad>
      </m:oMath>
      <w:r>
        <w:t xml:space="preserve">.</w:t>
      </w:r>
    </w:p>
    <w:p>
      <w:pPr>
        <w:pStyle w:val="FirstParagraph"/>
      </w:pPr>
      <w:r>
        <w:rPr>
          <w:iCs/>
          <w:i/>
        </w:rPr>
        <w:t xml:space="preserve">Proof sketch.</w:t>
      </w:r>
      <w:r>
        <w:t xml:space="preserve"> </w:t>
      </w:r>
      <w:r>
        <w:t xml:space="preserve">Part (a) follows from the Cauchy–Schwarz inequality applied to</w:t>
      </w:r>
      <w:r>
        <w:t xml:space="preserve"> </w:t>
      </w:r>
      <m:oMath>
        <m:r>
          <m:rPr>
            <m:nor/>
            <m:sty m:val="p"/>
          </m:rPr>
          <m:t>Cov</m:t>
        </m:r>
        <m:d>
          <m:dPr>
            <m:begChr m:val="("/>
            <m:endChr m:val=")"/>
            <m:sepChr m:val=""/>
            <m:grow/>
          </m:dPr>
          <m:e>
            <m:r>
              <m:t>Λ</m:t>
            </m:r>
            <m:r>
              <m:rPr>
                <m:sty m:val="p"/>
              </m:rPr>
              <m:t>,</m:t>
            </m:r>
            <m:sSub>
              <m:e>
                <m:r>
                  <m:rPr>
                    <m:sty m:val="b"/>
                  </m:rPr>
                  <m:t>1</m:t>
                </m:r>
              </m:e>
              <m:sub>
                <m:r>
                  <m:t>A</m:t>
                </m:r>
              </m:sub>
            </m:sSub>
          </m:e>
        </m:d>
      </m:oMath>
      <w:r>
        <w:t xml:space="preserve">, with an independent event of probability</w:t>
      </w:r>
      <w:r>
        <w:t xml:space="preserve"> </w:t>
      </w:r>
      <m:oMath>
        <m:r>
          <m:t>q</m:t>
        </m:r>
      </m:oMath>
      <w:r>
        <w:t xml:space="preserve"> </w:t>
      </w:r>
      <w:r>
        <w:t xml:space="preserve">for the lower bound. Part (b) follows from the identity</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which makes the size-biased gamma a gamma with shape</w:t>
      </w:r>
      <w:r>
        <w:t xml:space="preserve"> </w:t>
      </w:r>
      <m:oMath>
        <m:r>
          <m:t>k</m:t>
        </m:r>
        <m:r>
          <m:rPr>
            <m:sty m:val="p"/>
          </m:rPr>
          <m:t>+</m:t>
        </m:r>
        <m:r>
          <m:t>1</m:t>
        </m:r>
      </m:oMath>
      <w:r>
        <w:t xml:space="preserve">. Part (c) uses the beta–gamma algebra to write a gamma variable with smaller shape as an independent mean-one multiple of one with larger shape. Part (d) applies (a) to the simulated counts. The full proof is in Online Appendix D.</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part (b) gives shares of expected purchases of 52% for the top tenth of customers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The shares of observed counts are somewhat higher in the low-mean setting (65%, 39%, and 30%) because counts are discrete and zeros are common. A simulator that carries only the persona-described heterogeneity of the demographic experiment (</w:t>
      </w:r>
      <m:oMath>
        <m:sSup>
          <m:e>
            <m:r>
              <m:t>c</m:t>
            </m:r>
          </m:e>
          <m:sup>
            <m:r>
              <m:t>2</m:t>
            </m:r>
          </m:sup>
        </m:sSup>
        <m:r>
          <m:rPr>
            <m:sty m:val="p"/>
          </m:rPr>
          <m:t>=</m:t>
        </m:r>
        <m:r>
          <m:t>0.006</m:t>
        </m:r>
      </m:oMath>
      <w:r>
        <w:t xml:space="preserve">) can represent a share of at most 12% by part (d), and 11% if its rates were gamma distributed. Decisions that depend on concentration, such as how deeply to target a promotion, how to set loyalty tiers, or how to size a budget ceiling for heavy buyers, are therefore biased in a known direction when the spread is lost. The direction of the bias, and an upper bound on what a given simulator can represent, are known in advance,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In the second, the reference is the empirical distribution of 4-week basket counts, pooled over 13 windows, for the 2,469 loyalty-card households of the dunnhumby Complete Journey data in 2017 (32,097 household-windows), for which negative binomial was the best-fitting model by AIC in every window.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added to test whether larger and more recent models behave differently. All eight models were run on three random seeds, that is, on three independent samples of customers (or household-windows) with new model calls. In the low-mean setting GPT-4o-mini and Llama were run at temperatures 0.3, 0.7, and 1.0 in the first seed and at 0.7 in the two further seeds (1,000 customers per cell), and the other six models contribute 600 (three seeds of 200); in the two high-mean settings the temperature was 0.7 (600 per cell); and in the email experiment each seed uses 300 customers (900 per model). Haiku 5.5, Sonnet 5, and GPT-5.6-terra do not accept a temperature setting and contribute one run per prompt variant and seed. Hidden reasoning was switched off where possible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daily simulation, high-mean setting, about 10%), which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8"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Figure 1 shows the variance-to-mean ratio of every cell, and the Online Appendix gives all cells and ranges by design (Tables B1 to B6).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p>
      <w:pPr>
        <w:pStyle w:val="CaptionedFigure"/>
      </w:pPr>
      <w:r>
        <w:drawing>
          <wp:inline>
            <wp:extent cx="5120640" cy="578854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120640" cy="578854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(Online Appendix Table B1, Figure 1a). The exceptions are DeepSeek-V4-Pro without the anchor for direct answers (ratio 14.7, interval 5.6 to 22.3, from a few very large counts alongside many zeros) and Sonnet 5 without the anchor for daily simulation (2.95, interval 2.73 to 3.17). Elsewhere direct answers are the most compressed, with ratios of at most 0.87 in 11 of 16 cells; with the anchor, five cells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Describing a distribution reaches ratios of 0.97 to 1.61, below its ceiling of 2.10 in all 16 cells, with a zero share that is too low in every cell (0.32 to 0.71 against 0.74). The hybrid matches the reference ratio in 10 of 16 cells, the mean in 6, the zero share in 10, and</w:t>
      </w:r>
      <w:r>
        <w:t xml:space="preserve"> </w:t>
      </w:r>
      <m:oMath>
        <m:r>
          <m:t>α</m:t>
        </m:r>
      </m:oMath>
      <w:r>
        <w:t xml:space="preserve"> </w:t>
      </w:r>
      <w:r>
        <w:t xml:space="preserve">in 13, and all four in 5 (Sonnet 5, DeepSeek-V4-Pro, and GPT-5.6-terra without the anchor, and Mistral Large 4 and GPT-5.6-terra with it).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(Online Appendix Table B2, Figure 1b). In 13 of 16 cells the variance-to-mean ratio of design A lies between 0.00 and 0.36, against a reference of 7.85; the three cells with more spread are DeepSeek-V4-Pro (1.10 and 1.57) and Mistral Large 4 without the anchor (2.45). Without the anchor GPT-4o-mini and Llama answered</w:t>
      </w:r>
      <w:r>
        <w:t xml:space="preserve"> </w:t>
      </w:r>
      <w:r>
        <w:t xml:space="preserve">“</w:t>
      </w:r>
      <w:r>
        <w:t xml:space="preserve">8</w:t>
      </w:r>
      <w:r>
        <w:t xml:space="preserve">”</w:t>
      </w:r>
      <w:r>
        <w:t xml:space="preserve"> </w:t>
      </w:r>
      <w:r>
        <w:t xml:space="preserve">for practically every customer, and with the anchor all eight models returned numbers close to the stated base rate of 5 (means of 3.73 to 5.22). Daily simulation again misses the mean (4.35 to 16.65 trips against 4.84) and has almost no dispersion (ratios of 0.04 to 0.38). In all 48 cells of designs A, B, and C the variance-to-mean interval lies entirely below the reference. Describing a distribution reaches ratios of 3.65 to 6.44, with intervals that contain the ceiling of 6.61 in only 3 of 16 cells, and its zero share is below the real 0.19 in every cell (0.01 to 0.15). The hybrid matches the reference ratio in 12 of 16 cells but the mean in 4, the zero share in 8, and all four statistics in 2 (Haiku 5.5 without the anchor and GPT-4o-mini with it), mostly because the model’s mean is wrong, for example 3.63 for Mistral Large 4 with the anchor.</w:t>
      </w:r>
    </w:p>
    <w:bookmarkEnd w:id="46"/>
    <w:bookmarkStart w:id="47" w:name="X55b7e78110247fa838620de0aa094d71db99230"/>
    <w:p>
      <w:pPr>
        <w:pStyle w:val="Heading2"/>
      </w:pPr>
      <w:r>
        <w:t xml:space="preserve">5.4 Is collapse specific to low means or to one prompt wording?</w:t>
      </w:r>
    </w:p>
    <w:p>
      <w:pPr>
        <w:pStyle w:val="FirstParagraph"/>
      </w:pPr>
      <w:r>
        <w:t xml:space="preserve">If direct answers were underdispersed only because small expected counts are rounded to 0, 1, or 2, the problem should shrink at higher means. It does not: the variance-to-mean ratio of direct answers is at most 0.87 in 11 of 16 cells at a mean of 0.5, at most 0.36 in 13 of 16 at a mean of 4.8, and at most 0.53 in 14 of 16 at a mean of 7.8, and larger or more recent models do not escape it. We also reran four models (both prompt variants) with two rewordings, one in the third person and one in the style of a survey, in the low-mean and high-mean settings and in the email experiment (Online Appendix F). The variance-to-mean ratio of designs A and B was below the reference in 58 of 60 cells with a defined ratio, the hybrid design matched it in 20 of 32, and describe-then-sample gave too few zeros in 28 of 32. Wording changed effect sizes: the purchase lift of the probability design was above twice the real lift in 7 of 8 configurations under the third-person wording (median 6 times) and in all 8 under the survey wording (median 18 times), and the sign was missing in 3 of 16 under the third-person wording.</w:t>
      </w:r>
    </w:p>
    <w:bookmarkEnd w:id="47"/>
    <w:bookmarkStart w:id="48" w:name="Xe23f2af77092521160ea0caefb57b398689219a"/>
    <w:p>
      <w:pPr>
        <w:pStyle w:val="Heading2"/>
      </w:pPr>
      <w:r>
        <w:t xml:space="preserve">5.5 Richer personas from real household demographics</w:t>
      </w:r>
    </w:p>
    <w:p>
      <w:pPr>
        <w:pStyle w:val="FirstParagraph"/>
      </w:pPr>
      <w:r>
        <w:t xml:space="preserve">To test whether richer personas change the picture, we drew 200 household-windows at random in each of three seeds from the 801 Complete Journey households with demographic records and described each household by its real age group, household type and size, children, marital status, income, and home ownership. This also lets us compare each simulated count with the household’s real count in the same window. The reference is the real distribution of these households (mean 7.83, variance-to-mean ratio 6.52, zero share 0.03,</w:t>
      </w:r>
      <w:r>
        <w:t xml:space="preserve"> </w:t>
      </w:r>
      <m:oMath>
        <m:r>
          <m:t>α</m:t>
        </m:r>
        <m:r>
          <m:rPr>
            <m:sty m:val="p"/>
          </m:rPr>
          <m:t>=</m:t>
        </m:r>
        <m:r>
          <m:t>0.71</m:t>
        </m:r>
      </m:oMath>
      <w:r>
        <w:t xml:space="preserve">; ceiling of design C 5.01).</w:t>
      </w:r>
    </w:p>
    <w:p>
      <w:pPr>
        <w:pStyle w:val="BodyText"/>
      </w:pPr>
      <w:r>
        <w:t xml:space="preserve">Out of sample,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and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w:t>
      </w:r>
      <w:r>
        <w:t xml:space="preserve">against a real</w:t>
      </w:r>
      <w:r>
        <w:t xml:space="preserve"> </w:t>
      </w:r>
      <m:oMath>
        <m:r>
          <m:t>α</m:t>
        </m:r>
      </m:oMath>
      <w:r>
        <w:t xml:space="preserve"> </w:t>
      </w:r>
      <w:r>
        <w:t xml:space="preserve">of 0.71.</w:t>
      </w:r>
    </w:p>
    <w:p>
      <w:pPr>
        <w:pStyle w:val="BodyText"/>
      </w:pPr>
      <w:r>
        <w:t xml:space="preserve">The simulations behave as Proposition 1 predicts (Online Appendix Tables B3 and B6). Direct answers are collapsed again (variance-to-mean ratio 0.00 to 1.73,</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Describing a distribution reaches ratios of 3.44 to 6.11, with intervals that contain the ceiling of 5.01 in 10 of 16 cells and a zero share that matches the real 0.03 in 8 of 16. The hybrid matches the reference ratio in 10 of 16 cells but the mean in only 3, because the model’s</w:t>
      </w:r>
      <w:r>
        <w:t xml:space="preserve"> </w:t>
      </w:r>
      <m:oMath>
        <m:r>
          <m:t>λ</m:t>
        </m:r>
      </m:oMath>
      <w:r>
        <w:t xml:space="preserve"> </w:t>
      </w:r>
      <w:r>
        <w:t xml:space="preserve">is usually too low (4.28 to 7.17 in the cells that miss, against 7.83). It matches the zero share in none (0.07 to 0.15), because Poisson counts with a gamma multiplier produce more zeros than these households, and so it matches all four statistics in none.</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Figure 2 shows the absolute lift for the men’s email in the elicited-probability design (the most stable of the three formats we tried), and Online Appendix Table B4 gives all lifts, gaps, and risk ratios; models are pooled over three samples of 300 customers each. The real effect of the men’s email is a risk ratio of 1.72 for visits and 2.19 for purchases, with absolute lifts of 7.7 and 0.7 percentage points, and the real gap between the men’s and the women’s email is +0.031 for visits (interval +0.024 to +0.038).</w:t>
      </w:r>
    </w:p>
    <w:p>
      <w:pPr>
        <w:pStyle w:val="CaptionedFigure"/>
      </w:pPr>
      <w:r>
        <w:drawing>
          <wp:inline>
            <wp:extent cx="5120640" cy="3562184"/>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120640" cy="3562184"/>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averaged over seeds, exceeds one in all 32 probability-elicitation cells (smallest 1.03), although individual seeds touch one in a few cells, and Llama with the anchor gave a risk ratio below one in the yes/no format for visits (0.60 to 0.69). Second, the size of the visit effect depends on the model and the prompt: 4 of 16 configurations are statistically consistent with the real +0.077 (Llama-3.3-70B, Haiku 5.5, and Mistral Large 4 without the anchor, and GPT-5.6-terra with it), eight are significantly smaller (three less than half as large, for example Sonnet 5 with the anchor, +0.027), and four are more than 1.5 times as large (for example GPT-4o-mini without the anchor, +0.190). The anchor brings GPT-5.6-terra to the real value but moves DeepSeek-V4-Pro from 0.5 to 2.6 times the real lift.</w:t>
      </w:r>
    </w:p>
    <w:p>
      <w:pPr>
        <w:pStyle w:val="BodyText"/>
      </w:pPr>
      <w:r>
        <w:t xml:space="preserve">Third, the absolute lift in purchase probability exceeds the real +0.0068 in 15 of 16 configurations, by a median factor of about 9 and by up to 25 (+0.169 for GPT-4o-mini without the anchor). The exception is Sonnet 5 with the anchor (+0.002, 0.4 times the real lift), which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By</w:t>
      </w:r>
      <w:r>
        <w:t xml:space="preserve"> </w:t>
      </w:r>
      <m:oMath>
        <m:r>
          <m:t>R</m:t>
        </m:r>
        <m:r>
          <m:t>R</m:t>
        </m:r>
        <m:r>
          <m:rPr>
            <m:sty m:val="p"/>
          </m:rPr>
          <m:t>=</m:t>
        </m:r>
        <m:r>
          <m:t>1</m:t>
        </m:r>
        <m:r>
          <m:rPr>
            <m:sty m:val="p"/>
          </m:rPr>
          <m:t>+</m:t>
        </m:r>
        <m:r>
          <m:t>d</m:t>
        </m:r>
        <m:r>
          <m:rPr>
            <m:sty m:val="p"/>
          </m:rPr>
          <m:t>/</m:t>
        </m:r>
        <m:sSub>
          <m:e>
            <m:r>
              <m:t>p</m:t>
            </m:r>
          </m:e>
          <m:sub>
            <m:r>
              <m:t>0</m:t>
            </m:r>
          </m:sub>
        </m:sSub>
      </m:oMath>
      <w:r>
        <w:t xml:space="preserve">, Llama without the anchor has a visit lift close to the real value (+0.071) but a no-email probability of 0.30 instead of 0.106, and therefore a risk ratio of only 1.24 against 1.72.</w:t>
      </w:r>
    </w:p>
    <w:p>
      <w:pPr>
        <w:pStyle w:val="BodyText"/>
      </w:pPr>
      <w:r>
        <w:t xml:space="preserve">Fourth, the models do not tell the two emails apart. The point estimate of the gap is positive in only 9 of 32 cells, and the largest simulated visit gap is +0.015. Seven gap intervals exclude zero: in six the women’s email is rated significantly higher, and in one (DeepSeek-V4-Pro with the anchor for visits) the men’s email is rated higher, by half the real gap.</w:t>
      </w:r>
    </w:p>
    <w:p>
      <w:pPr>
        <w:pStyle w:val="BodyText"/>
      </w:pPr>
      <w:r>
        <w:t xml:space="preserve">Direct yes/no answers are not usable for rare events. In 15 of 32 yes/no cells of the first seed (and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and the lifts range from -0.31 to +0.55 for visits and from +0.008 to +0.55 for purchases,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In the reference the top tenth account for 65% of purchases in the low-mean setting, 39% in the high-mean setting, and 30% for the demographic households, against 10% or slightly more in a population without heterogeneity.</w:t>
      </w:r>
    </w:p>
    <w:p>
      <w:pPr>
        <w:pStyle w:val="BodyText"/>
      </w:pPr>
      <w:r>
        <w:t xml:space="preserve">The prediction is borne out. In the 91 cells of direct answers and daily simulation in which a meaningful share can be computed, the top-decile share is below the reference and its interval excludes the reference in every one: 0.10 to 0.49 in the low-mean setting (the highest value is the overdispersed DeepSeek-V4-Pro cell), 0.10 to 0.18 in the high-mean setting, and 0.10 to 0.16 for the demographic households, practically the 10% of a homogeneous population. Five low-mean cells in which almost every simulated customer made no purchase are excluded, because the share is 1.00 or undefined only for lack of purchases to distribute. Describing a distribution recovers part of the concentration (0.30 to 0.52 against 0.65 in the low-mean setting and 0.27 to 0.36 against 0.39 in the high-mean setting) and lies within the interval of the reference in 11 of 16 cells for the demographic households. The hybrid design reproduces concentration in 39 of 48 cells (11, 13,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customer file, keeping the external gamma multiplier of Proposition 2. We tested this offline on the stored expected counts of design D in every cell, with a fresh simulation of the counts (so the figures differ slightly from those in Sections 5.2 to 5.5), and added a baseline that uses no information from the model: every customer receives the reference mean, and the same gamma multiplier supplies the entire dispersion. This baseline is the reference distribution itself, up to sampling, and shows what the model adds.</w:t>
      </w:r>
    </w:p>
    <w:p>
      <w:pPr>
        <w:pStyle w:val="BodyText"/>
      </w:pPr>
      <w:r>
        <w:t xml:space="preserve">Calibration repairs the mean: it matches the reference in 44 of 48 cells after calibration against 19 of 48 before (13 of 48 in the original simulation of Sections 5.2 to 5.5). It does not make the design match on all four statistics at once. The number of cells that match on mean, variance-to-mean ratio, zero share, and</w:t>
      </w:r>
      <w:r>
        <w:t xml:space="preserve"> </w:t>
      </w:r>
      <m:oMath>
        <m:r>
          <m:t>α</m:t>
        </m:r>
      </m:oMath>
      <w:r>
        <w:t xml:space="preserve"> </w:t>
      </w:r>
      <w:r>
        <w:t xml:space="preserve">together is 14 of 48 after calibration and 10 before, and 19 for the baseline with no model information (low-mean setting: 12, 7, and 15 of 16; high-mean setting: 2, 3, and 4; demographic households: 0 in all three). The remaining mismatches are mostly in the zero share and do not come from the model. A Poisson–gamma distribution with the reference mean and dispersion implies a zero share of 0.23 in the high-mean setting (real 0.19) and 0.07 for the demographic households (real 0.03), and the baseline shows the same misses. The squared coefficient of variation of the model’s expected counts was small relative to</w:t>
      </w:r>
      <w:r>
        <w:t xml:space="preserve"> </w:t>
      </w:r>
      <m:oMath>
        <m:r>
          <m:t>α</m:t>
        </m:r>
      </m:oMath>
      <w:r>
        <w:t xml:space="preserve"> </w:t>
      </w:r>
      <w:r>
        <w:t xml:space="preserve">(0.00 to 0.75 against 3.05 at the low mean, and 0.00 to 0.07 against 0.71 for the demographic households), and with rank correlations to real counts near zero (Section 5.5) it does not identify which customers buy more. In this task the model supplies a level, and a model-free level from the organization’s data does as well or better. Whether a model contributes more when personas carry informative histories is untested.</w:t>
      </w:r>
    </w:p>
    <w:bookmarkEnd w:id="54"/>
    <w:bookmarkStart w:id="55" w:name="X88cf7aa32bf19b55e3a062077a58560147befe8"/>
    <w:p>
      <w:pPr>
        <w:pStyle w:val="Heading2"/>
      </w:pPr>
      <w:r>
        <w:t xml:space="preserve">5.9 Do the cues a user can see reveal the errors that matter?</w:t>
      </w:r>
    </w:p>
    <w:p>
      <w:pPr>
        <w:pStyle w:val="FirstParagraph"/>
      </w:pPr>
      <w:r>
        <w:t xml:space="preserve">A user who inspects a synthetic population sees its mean, the sign of a promotion effect, the width of its intervals, and whether the answers parsed. We asked whether such cues reveal the errors that matter for a decision, defined for the transaction settings as an error in</w:t>
      </w:r>
      <w:r>
        <w:t xml:space="preserve"> </w:t>
      </w:r>
      <m:oMath>
        <m:r>
          <m:t>1</m:t>
        </m:r>
        <m:r>
          <m:rPr>
            <m:sty m:val="p"/>
          </m:rPr>
          <m:t>+</m:t>
        </m:r>
        <m:r>
          <m:t>α</m:t>
        </m:r>
      </m:oMath>
      <w:r>
        <w:t xml:space="preserve"> </w:t>
      </w:r>
      <w:r>
        <w:t xml:space="preserve">of more than a factor of 1.65 or an error of more than 0.15 in the top-decile share, and for the email experiment as a lift ratio outside 0.5 to 2. A cell passes a face-validity check if its mean is within 50% of the reference and fewer than 5% of answers failed to parse (in the email experiment, if both lifts have the right sign). Of the 191 transaction cells, 135 pass, and 60 of those (44%) have a large decision error, against 51 of the 56 cells that fail. The check works as a screen for gross failure, mainly because the hybrid design passes it with no large errors in 45 cells. It does not work for the designs that collapse: of the 48 direct and daily cells that pass, 47 have a large decision error, and in the email experiment all 32 configurations have the right sign while 15 of 16 purchase lifts and 5 of 16 visit lifts are outside the 0.5 to 2 range. The interval is not a reliable cue either. Across all cells the relative width of the interval of the mean correlates negatively with the decision errors (rank correlation -0.32 with the</w:t>
      </w:r>
      <w:r>
        <w:t xml:space="preserve"> </w:t>
      </w:r>
      <m:oMath>
        <m:r>
          <m:t>α</m:t>
        </m:r>
      </m:oMath>
      <w:r>
        <w:t xml:space="preserve"> </w:t>
      </w:r>
      <w:r>
        <w:t xml:space="preserve">error and -0.43 with the top-decile error), because collapsed answers have very narrow intervals, but within each design the sign reverses (+0.22 to +0.57), so the width tells a user little. The error of the mean is more informative within the direct and daily designs (+0.42 to +0.78), yet nearly all cells that pass the check still carry large errors. Model-level permutation tests are not significant (p between 0.13 and 0.50).</w:t>
      </w:r>
    </w:p>
    <w:bookmarkEnd w:id="55"/>
    <w:bookmarkStart w:id="56" w:name="backtest-of-the-acceptance-test"/>
    <w:p>
      <w:pPr>
        <w:pStyle w:val="Heading2"/>
      </w:pPr>
      <w:r>
        <w:t xml:space="preserve">5.10 Backtest of the acceptance test</w:t>
      </w:r>
    </w:p>
    <w:p>
      <w:pPr>
        <w:pStyle w:val="FirstParagraph"/>
      </w:pPr>
      <w:r>
        <w:t xml:space="preserve">Details are in Online Appendix E. Section 6.2 proposes that a system be accepted only if it reproduces the organization’s own history. We tested this rule on the existing results, without new model calls (Online Appendix E). In the email experiment one email served as the past randomized test and the other as the new campaign (and the reverse), and the simulator was accepted only if its lift for the past campaign was within a factor of 2 of the measured one. A firm launches when the lift exceeds a break-even value, which we varied from one tenth to ten times the measured lift of the new campaign; a decision is wrong when simulated and measured lifts fall on different sides of it. Trusting the simulator gave wrong decisions at 29% of break-even values across the 64 cases, with a lift off by more than a factor of 2 in 69%, although the sign check passed in all of them. The gate admitted 20 cases, all for visits and none for purchases. Among the 32 visit cases, trusting the simulator gave 14% wrong decisions and a lift off by more than a factor of 2 in 12; among the 20 admitted cases the shares were 9% and 4. Rescaling the new lift by the past ratio lowered wrong decisions to 17% overall, but the lift stayed off by more than a factor of 2 in 59% of cases, so for purchases the errors are too large to correct by one factor.</w:t>
      </w:r>
    </w:p>
    <w:p>
      <w:pPr>
        <w:pStyle w:val="BodyText"/>
      </w:pPr>
      <w:r>
        <w:t xml:space="preserve">In the transaction settings we gated on the reference mean and zero share and checked the top-decile share implied by the simulated</w:t>
      </w:r>
      <w:r>
        <w:t xml:space="preserve"> </w:t>
      </w:r>
      <m:oMath>
        <m:r>
          <m:t>α</m:t>
        </m:r>
      </m:oMath>
      <w:r>
        <w:t xml:space="preserve"> </w:t>
      </w:r>
      <w:r>
        <w:t xml:space="preserve">(Proposition 3(b)). Of 187 cells, 133 passed the face-validity check, and 50% of them had a top-decile share off by more than 0.10. The gate admitted 18 cells (14 hybrid, 4 describe-then-sample, none of direct or daily simulation), of which one was wrong. Because the hybrid design takes its dispersion from the reference, this shows that the gate removes failing designs, not that the hybrid is validated.</w:t>
      </w:r>
    </w:p>
    <w:bookmarkEnd w:id="56"/>
    <w:bookmarkStart w:id="57" w:name="X294e70b192cec9543bd143ac9499730f79fa7d7"/>
    <w:p>
      <w:pPr>
        <w:pStyle w:val="Heading2"/>
      </w:pPr>
      <w:r>
        <w:t xml:space="preserve">5.11 Summary of hypotheses and supplementary analyses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and B is below the reference in 93 of 95 cells (29 of 31 at the low mean, where the exceptions are a DeepSeek-V4-Pro cell for direct answers and a Sonnet 5 cell for daily simulation; 32 of 32 at the high mean; 32 of 32 for the demographic personas). The zero share of designs A and B is at most 0.02 in the two high-mean settings and below the real value in 26 of 32 low-mean cells.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It stays below its ceiling in all 16 low-mean cells, reaches it in 3 of 16 high-mean cells and 10 of 16 cells with demographic personas, and its zero share is too low where the real share is large (0.74, 0.19) but close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for the demographic households, the zero share is too high in every cell.</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(smallest 1.03), though individual seeds touch one in a few.</w:t>
            </w:r>
          </w:p>
        </w:tc>
      </w:tr>
      <w:tr>
        <w:tc>
          <w:tcPr/>
          <w:p>
            <w:pPr>
              <w:pStyle w:val="Compact"/>
              <w:spacing w:before="20" w:after="20" w:line="240" w:lineRule="auto"/>
              <w:ind w:firstLine="0"/>
              <w:jc w:val="left"/>
            </w:pPr>
            <w:r>
              <w:rPr>
                <w:rFonts w:ascii="Times New Roman" w:hAnsi="Times New Roman"/>
                <w:sz w:val="17"/>
              </w:rPr>
              <w:t xml:space="preserve">H4b. Absolute lift is overstated.</w:t>
            </w:r>
          </w:p>
        </w:tc>
        <w:tc>
          <w:tcPr/>
          <w:p>
            <w:pPr>
              <w:pStyle w:val="Compact"/>
              <w:spacing w:before="20" w:after="20" w:line="240" w:lineRule="auto"/>
              <w:ind w:firstLine="0"/>
              <w:jc w:val="left"/>
            </w:pPr>
            <w:r>
              <w:rPr>
                <w:rFonts w:ascii="Times New Roman" w:hAnsi="Times New Roman"/>
                <w:sz w:val="17"/>
              </w:rPr>
              <w:t xml:space="preserve">Supported for purchases: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gap between the two emails excludes zero in 7 of 32 cells; in six the sign is opposite to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S1. Purchases remain concentrated among heavy buyers (Proposition 3).</w:t>
            </w:r>
          </w:p>
        </w:tc>
        <w:tc>
          <w:tcPr/>
          <w:p>
            <w:pPr>
              <w:pStyle w:val="Compact"/>
              <w:spacing w:before="20" w:after="20" w:line="240" w:lineRule="auto"/>
              <w:ind w:firstLine="0"/>
              <w:jc w:val="left"/>
            </w:pPr>
            <w:r>
              <w:rPr>
                <w:rFonts w:ascii="Times New Roman" w:hAnsi="Times New Roman"/>
                <w:sz w:val="17"/>
              </w:rPr>
              <w:t xml:space="preserve">Direct and daily designs lose concentration (below the reference in all 91 interpretable cells); describing a distribution recovers part; the hybrid design matches in 39 of 48 cells.</w:t>
            </w:r>
          </w:p>
        </w:tc>
      </w:tr>
      <w:tr>
        <w:tc>
          <w:tcPr/>
          <w:p>
            <w:pPr>
              <w:pStyle w:val="Compact"/>
              <w:spacing w:before="20" w:after="20" w:line="240" w:lineRule="auto"/>
              <w:ind w:firstLine="0"/>
              <w:jc w:val="left"/>
            </w:pPr>
            <w:r>
              <w:rPr>
                <w:rFonts w:ascii="Times New Roman" w:hAnsi="Times New Roman"/>
                <w:sz w:val="17"/>
              </w:rPr>
              <w:t xml:space="preserve">S2. Calibrating the model’s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in the same simulation), but cells matching on all four statistics rise only from 10 to 14 of 48, and a baseline that uses no model information matches in 19.</w:t>
            </w:r>
          </w:p>
        </w:tc>
      </w:tr>
      <w:tr>
        <w:tc>
          <w:tcPr/>
          <w:p>
            <w:pPr>
              <w:pStyle w:val="Compact"/>
              <w:spacing w:before="20" w:after="20" w:line="240" w:lineRule="auto"/>
              <w:ind w:firstLine="0"/>
              <w:jc w:val="left"/>
            </w:pPr>
            <w:r>
              <w:rPr>
                <w:rFonts w:ascii="Times New Roman" w:hAnsi="Times New Roman"/>
                <w:sz w:val="17"/>
              </w:rPr>
              <w:t xml:space="preserve">S3. Collapse is robust to the mean level, richer personas, and model scale.</w:t>
            </w:r>
          </w:p>
        </w:tc>
        <w:tc>
          <w:tcPr/>
          <w:p>
            <w:pPr>
              <w:pStyle w:val="Compact"/>
              <w:spacing w:before="20" w:after="20" w:line="240" w:lineRule="auto"/>
              <w:ind w:firstLine="0"/>
              <w:jc w:val="left"/>
            </w:pPr>
            <w:r>
              <w:rPr>
                <w:rFonts w:ascii="Times New Roman" w:hAnsi="Times New Roman"/>
                <w:sz w:val="17"/>
              </w:rPr>
              <w:t xml:space="preserve">Collapse is not specific to low means. Richer personas do not repair it (rank correlations -0.11 to +0.08). Larger and more recent models do not escape it (ratios of at most 1.00 in 42 of 48 direct cells).</w:t>
            </w:r>
          </w:p>
        </w:tc>
      </w:tr>
      <w:tr>
        <w:tc>
          <w:tcPr/>
          <w:p>
            <w:pPr>
              <w:pStyle w:val="Compact"/>
              <w:spacing w:before="20" w:after="20" w:line="240" w:lineRule="auto"/>
              <w:ind w:firstLine="0"/>
              <w:jc w:val="left"/>
            </w:pPr>
            <w:r>
              <w:rPr>
                <w:rFonts w:ascii="Times New Roman" w:hAnsi="Times New Roman"/>
                <w:sz w:val="17"/>
              </w:rPr>
              <w:t xml:space="preserve">S4. Visible cues reveal decision errors.</w:t>
            </w:r>
          </w:p>
        </w:tc>
        <w:tc>
          <w:tcPr/>
          <w:p>
            <w:pPr>
              <w:pStyle w:val="Compact"/>
              <w:spacing w:before="20" w:after="20" w:line="240" w:lineRule="auto"/>
              <w:ind w:firstLine="0"/>
              <w:jc w:val="left"/>
            </w:pPr>
            <w:r>
              <w:rPr>
                <w:rFonts w:ascii="Times New Roman" w:hAnsi="Times New Roman"/>
                <w:sz w:val="17"/>
              </w:rPr>
              <w:t xml:space="preserve">Partly. A face-validity check separates gross failures, but 47 of the 48 direct and daily cells that pass it have large decision errors, and interval width is not a reliable cue (Section 5.9).</w:t>
            </w:r>
          </w:p>
        </w:tc>
      </w:tr>
      <w:tr>
        <w:tc>
          <w:tcPr/>
          <w:p>
            <w:pPr>
              <w:pStyle w:val="Compact"/>
              <w:spacing w:before="20" w:after="20" w:line="240" w:lineRule="auto"/>
              <w:ind w:firstLine="0"/>
              <w:jc w:val="left"/>
            </w:pPr>
            <w:r>
              <w:rPr>
                <w:rFonts w:ascii="Times New Roman" w:hAnsi="Times New Roman"/>
                <w:sz w:val="17"/>
              </w:rPr>
              <w:t xml:space="preserve">S5. An acceptance test based on history screens out bad simulators.</w:t>
            </w:r>
          </w:p>
        </w:tc>
        <w:tc>
          <w:tcPr/>
          <w:p>
            <w:pPr>
              <w:pStyle w:val="Compact"/>
              <w:spacing w:before="20" w:after="20" w:line="240" w:lineRule="auto"/>
              <w:ind w:firstLine="0"/>
              <w:jc w:val="left"/>
            </w:pPr>
            <w:r>
              <w:rPr>
                <w:rFonts w:ascii="Times New Roman" w:hAnsi="Times New Roman"/>
                <w:sz w:val="17"/>
              </w:rPr>
              <w:t xml:space="preserve">Partly. In the email backtest among visit cases the gate cut wrong launch decisions from 14% to 9% and rejected every purchase case; in the transaction settings it rejected every direct and daily cell (Section 5.10).</w:t>
            </w:r>
          </w:p>
        </w:tc>
      </w:tr>
    </w:tbl>
    <w:p>
      <w:pPr>
        <w:pStyle w:val="BodyText"/>
        <w:spacing w:line="240" w:lineRule="auto"/>
        <w:ind w:firstLine="0"/>
      </w:pPr>
      <w:r>
        <w:rPr>
          <w:iCs/>
          <w:i/>
        </w:rPr>
        <w:t xml:space="preserve">Table 2. Hypotheses (H) and supplementary analyses (S), with evidence.</w:t>
      </w:r>
    </w:p>
    <w:bookmarkEnd w:id="57"/>
    <w:bookmarkEnd w:id="58"/>
    <w:bookmarkStart w:id="64" w:name="discussion"/>
    <w:p>
      <w:pPr>
        <w:pStyle w:val="Heading1"/>
      </w:pPr>
      <w:r>
        <w:t xml:space="preserve">6. Discussion</w:t>
      </w:r>
    </w:p>
    <w:p>
      <w:pPr>
        <w:pStyle w:val="FirstParagraph"/>
      </w:pPr>
      <w:r>
        <w:t xml:space="preserve">We lead with the contributions to information systems research (Section 6.1) and the design principles and acceptance test that follow from them (Section 6.2), then turn to the decision consequences and the cost of uncritical trust (Section 6.3) and the organizational arrangements that follow (Section 6.4). The marketing results of Section 5 serve as evidence for these contributions. Limitations are in Section 6.5.</w:t>
      </w:r>
    </w:p>
    <w:bookmarkStart w:id="59" w:name="X8b5d7cb2dd9a2ce0d7f424e3d7c91bdc66a3387"/>
    <w:p>
      <w:pPr>
        <w:pStyle w:val="Heading2"/>
      </w:pPr>
      <w:r>
        <w:t xml:space="preserve">6.1 Contributions to information systems research</w:t>
      </w:r>
    </w:p>
    <w:p>
      <w:pPr>
        <w:pStyle w:val="FirstParagraph"/>
      </w:pPr>
      <w:r>
        <w:rPr>
          <w:iCs/>
          <w:i/>
        </w:rPr>
        <w:t xml:space="preserve">Design constraints for a class of artifacts that organizations are adopting without them.</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And the design that follows Proposition 2 restores the concentration of purchases among heavy buyers in 39 of 48 cells where direct and daily designs lose it entirely (Section 5.7).</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level repaired the mean in 44 of 48 cells, but a baseline that gave every customer the historical mean did as well or better on the joint fit (Section 5.8). The value of the generative component therefore has to be shown against the firm’s own data, which is the data the system was meant to economize.</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customer level the demographic personas carried almost no information about real counts, so a replica is not supported. At the population level, counts and effect sizes are reproduced only when the dispersion is supplied from outside the model and the level is checked against data. A claim that a simulated population is a twin is therefore a claim about specific properties, to be tested one by one: the share of zeros, the spread, the concentration among heavy buyers, and the absolute size of an effect.</w:t>
      </w:r>
    </w:p>
    <w:p>
      <w:pPr>
        <w:pStyle w:val="BodyText"/>
      </w:pPr>
      <w:r>
        <w:rPr>
          <w:iCs/>
          <w:i/>
        </w:rPr>
        <w:t xml:space="preserve">Supporting evidence for marketing analytics.</w:t>
      </w:r>
      <w:r>
        <w:t xml:space="preserve"> </w:t>
      </w:r>
      <w:r>
        <w:t xml:space="preserve">Describing a distribution (Jang et al. 2026, Zhang et al. 2025a) helps more at a high mean and under-produces zeros where they are common, which matters because the zero share decides how many customers a campaign does not reach. Evaluating a promotion simulator on relative effects alone is hazardous, because</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confounds errors in the simulated base rate and the simulated lift.</w:t>
      </w:r>
    </w:p>
    <w:bookmarkEnd w:id="59"/>
    <w:bookmarkStart w:id="60" w:name="design-principles-and-an-acceptance-test"/>
    <w:p>
      <w:pPr>
        <w:pStyle w:val="Heading2"/>
      </w:pPr>
      <w:r>
        <w:t xml:space="preserve">6.2 Design principles and an acceptance test</w:t>
      </w:r>
    </w:p>
    <w:p>
      <w:pPr>
        <w:pStyle w:val="FirstParagraph"/>
      </w:pPr>
      <w:r>
        <w:t xml:space="preserve">The evidence supports five design principles. They are derived from our experiments and analytical results. The acceptance test was backtested on our own data (Section 5.10), but no principle has been tested as an intervention in an organization, so they remain hypotheses for design.</w:t>
      </w:r>
    </w:p>
    <w:p>
      <w:pPr>
        <w:pStyle w:val="BodyText"/>
      </w:pPr>
      <w:r>
        <w:rPr>
          <w:iCs/>
          <w:i/>
        </w:rPr>
        <w:t xml:space="preserve">Principle 1: Separate the level from the spread.</w:t>
      </w:r>
      <w:r>
        <w:t xml:space="preserve"> </w:t>
      </w:r>
      <w:r>
        <w:t xml:space="preserve">Take the expected rate of a customer from the model and the dispersion across customers from an external, calibrated source (Proposition 2), which places a statistical calibration layer behind the language model with the variance budget of Section 3.7 as its rule. Designs that let the model produce the spread itself collapsed, while the hybrid design matched the reference dispersion in 32 of 48 cells and restored concentration (Section 5.7).</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w:t>
      </w:r>
    </w:p>
    <w:p>
      <w:pPr>
        <w:pStyle w:val="BodyText"/>
      </w:pPr>
      <w:r>
        <w:rPr>
          <w:iCs/>
          <w:i/>
        </w:rPr>
        <w:t xml:space="preserve">Principle 3: Calibrate the level, and invest in customer data before model capability.</w:t>
      </w:r>
      <w:r>
        <w:t xml:space="preserve"> </w:t>
      </w:r>
      <w:r>
        <w:t xml:space="preserve">Because the persona bounds what the model can carry (Section 3.8), persona data matter more than the choice of model. Rescaling the model’s rates to the historical mean repaired the mean in 44 of 48 cells (19 before in the same simulation; Section 5.8), but a baseline that gives every customer the historical mean did as well or better on the joint fit, so calibration should be tested against that baseline.</w:t>
      </w:r>
    </w:p>
    <w:p>
      <w:pPr>
        <w:pStyle w:val="BodyText"/>
      </w:pPr>
      <w:r>
        <w:rPr>
          <w:iCs/>
          <w:i/>
        </w:rPr>
        <w:t xml:space="preserve">Principle 4: Treat context and wording as design parameters that must be validated.</w:t>
      </w:r>
      <w:r>
        <w:t xml:space="preserve"> </w:t>
      </w:r>
      <w:r>
        <w:t xml:space="preserve">A stated base rate or a rewording of the prompt changed some outputs by an order of magnitude (Section 5.4), and in several cells the model repeated the stated number for every customer.</w:t>
      </w:r>
    </w:p>
    <w:p>
      <w:pPr>
        <w:pStyle w:val="BodyText"/>
      </w:pPr>
      <w:r>
        <w:rPr>
          <w:iCs/>
          <w:i/>
        </w:rPr>
        <w:t xml:space="preserve">Principle 5: Evaluate absolute effects against a randomized benchmark.</w:t>
      </w:r>
      <w:r>
        <w:t xml:space="preserve"> </w:t>
      </w:r>
      <w:r>
        <w:t xml:space="preserve">Risk ratios hid base-rate errors (Section 5.6).</w:t>
      </w:r>
    </w:p>
    <w:p>
      <w:pPr>
        <w:pStyle w:val="BodyText"/>
      </w:pPr>
      <w:r>
        <w:t xml:space="preserve">The principles imply an acceptance test that a system should pass before it enters a planning process. The test compares the synthetic output with the organization’s own history on the variance-to-mean ratio,</w:t>
      </w:r>
      <w:r>
        <w:t xml:space="preserve"> </w:t>
      </w:r>
      <m:oMath>
        <m:r>
          <m:t>α</m:t>
        </m:r>
      </m:oMath>
      <w:r>
        <w:t xml:space="preserve">, the zero share, and the share of purchases made by the top decile of customers, with intervals; compares the hybrid design with a baseline that uses no model information; checks sensitivity to the prompt context; and compares the simulated base rate and absolute lift, not only the risk ratio, with a past randomized test. These errors cannot be seen in the output: the sign was right in nearly all cells and the answers were fluent.</w:t>
      </w:r>
    </w:p>
    <w:bookmarkEnd w:id="60"/>
    <w:bookmarkStart w:id="61" w:name="X055b4e56704b177d348b257ab69ce21480d0ba8"/>
    <w:p>
      <w:pPr>
        <w:pStyle w:val="Heading2"/>
      </w:pPr>
      <w:r>
        <w:t xml:space="preserve">6.3 Decision consequences and the cost of uncritical trust</w:t>
      </w:r>
    </w:p>
    <w:p>
      <w:pPr>
        <w:pStyle w:val="FirstParagraph"/>
      </w:pPr>
      <w:r>
        <w:t xml:space="preserve">The central managerial risk is not that synthetic customers are useless but that they are trusted without being tested. A stylized example shows the consequence for a decision. A firm launches a promotion if the lift in purchase probability exceeds the ratio of cost to margin. Suppose a promotion costs 1 monetary unit per targeted customer and each purchase earns a margin of 50, so the ratio is 0.02. The real lift from the men’s email was 0.0068, so the randomized test says not to launch: a campaign to 100,000 customers has an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simulated lift exceeded 0.02 in 13 of 16 configurations, and the median simulated lift of 0.063 predicts about</w:t>
      </w:r>
      <w:r>
        <w:t xml:space="preserve"> </w:t>
      </w:r>
      <m:oMath>
        <m:r>
          <m:rPr>
            <m:sty m:val="p"/>
          </m:rPr>
          <m:t>+</m:t>
        </m:r>
        <m:r>
          <m:t>2.1</m:t>
        </m:r>
      </m:oMath>
      <w:r>
        <w:t xml:space="preserve"> </w:t>
      </w:r>
      <w:r>
        <w:t xml:space="preserve">per customer, a profit of about 213,000. The gap of about 280,000 for one campaign favors launching, and because the error is systematic it does not average out. The numbers are ours, not the retailer’s, but the example shows how an overstated lift turns directly into a wrong go decision.</w:t>
      </w:r>
    </w:p>
    <w:p>
      <w:pPr>
        <w:pStyle w:val="BodyText"/>
      </w:pPr>
      <w:r>
        <w:t xml:space="preserve">Three further risks follow from our evidence.</w:t>
      </w:r>
      <w:r>
        <w:t xml:space="preserve"> </w:t>
      </w:r>
      <w:r>
        <w:rPr>
          <w:iCs/>
          <w:i/>
        </w:rPr>
        <w:t xml:space="preserve">False precision:</w:t>
      </w:r>
      <w:r>
        <w:t xml:space="preserve"> </w:t>
      </w:r>
      <w:r>
        <w:t xml:space="preserve">simulated lifts often came with narrow intervals that excluded the real value, and interval width is not a reliable cue to decision error (Section 5.9), so cheap statistical precision must not be mistaken for validity.</w:t>
      </w:r>
      <w:r>
        <w:t xml:space="preserve"> </w:t>
      </w: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and the failure becomes self-concealing.</w:t>
      </w:r>
      <w:r>
        <w:t xml:space="preserve"> </w:t>
      </w:r>
      <w:r>
        <w:rPr>
          <w:iCs/>
          <w:i/>
        </w:rPr>
        <w:t xml:space="preserve">Propagation:</w:t>
      </w:r>
      <w:r>
        <w:t xml:space="preserve"> </w:t>
      </w:r>
      <w:r>
        <w:t xml:space="preserve">synthetic customers used as inputs to forecasts or other learned systems carry their compressed spread with them, so concentration is lost (Proposition 3) and the share of non-buyers is distorted, and the result enters downstream decisions as if it were observed data. These risks argue against using the technology as a replacement for evidence rather than as a complement to it, and against purchasing decisions based on demonstrations of fluency and plausible averages.</w:t>
      </w:r>
    </w:p>
    <w:bookmarkEnd w:id="61"/>
    <w:bookmarkStart w:id="62" w:name="X09d14e7ca6d203994f1ab3b488c22ba41949633"/>
    <w:p>
      <w:pPr>
        <w:pStyle w:val="Heading2"/>
      </w:pPr>
      <w:r>
        <w:t xml:space="preserve">6.4 Organizational accountability: validating and governing synthetic data in analytics systems</w:t>
      </w:r>
    </w:p>
    <w:p>
      <w:pPr>
        <w:pStyle w:val="FirstParagraph"/>
      </w:pPr>
      <w:r>
        <w:t xml:space="preserve">These arrangements follow from our evidence; we did not test them in an organization.</w:t>
      </w:r>
    </w:p>
    <w:p>
      <w:pPr>
        <w:pStyle w:val="BodyText"/>
      </w:pPr>
      <w:r>
        <w:rPr>
          <w:iCs/>
          <w:i/>
        </w:rPr>
        <w:t xml:space="preserve">Treat validation as an acceptance gate with named owners.</w:t>
      </w:r>
      <w:r>
        <w:t xml:space="preserve"> </w:t>
      </w:r>
      <w:r>
        <w:t xml:space="preserve">Before synthetic customers enter a planning process, the system should pass the acceptance test of Section 6.2 against the organization’s own history. Marketing owns the reference data and the decision requirements, and information systems owns the pipeline, the model versions, and the calibration step. A decision that rests on a vendor’s model, an analyst’s prompt, and a calibration step maintained by another team has no owner for its errors unless accountability is assigned before use.</w:t>
      </w:r>
    </w:p>
    <w:p>
      <w:pPr>
        <w:pStyle w:val="BodyText"/>
      </w:pPr>
      <w:r>
        <w:rPr>
          <w:iCs/>
          <w:i/>
        </w:rPr>
        <w:t xml:space="preserve">Re-validate when a component changes.</w:t>
      </w:r>
      <w:r>
        <w:t xml:space="preserve"> </w:t>
      </w:r>
      <w:r>
        <w:t xml:space="preserve">The models differed widely in the same design, and the same model reacted differently to different prompts. A vendor update, a switch of model or provider, or a change of prompt template should trigger the acceptance test again.</w:t>
      </w:r>
    </w:p>
    <w:p>
      <w:pPr>
        <w:pStyle w:val="BodyText"/>
      </w:pPr>
      <w:r>
        <w:rPr>
          <w:iCs/>
          <w:i/>
        </w:rPr>
        <w:t xml:space="preserve">Use synthetic data where its errors do the least harm, and keep it separate from real data.</w:t>
      </w:r>
      <w:r>
        <w:t xml:space="preserve"> </w:t>
      </w:r>
      <w:r>
        <w:t xml:space="preserve">The designs reproduced the sign of a promotion effect but not its size, so synthetic customers suit screening, ranking, and hypothesis generation better than sizing a campaign, for which a randomized holdout remains the standard. Provenance labels and a rule against pooling synthetic and real records keep their compressed spread out of downstream models.</w:t>
      </w:r>
    </w:p>
    <w:p>
      <w:pPr>
        <w:pStyle w:val="BodyText"/>
      </w:pPr>
      <w:r>
        <w:rPr>
          <w:iCs/>
          <w:i/>
        </w:rPr>
        <w:t xml:space="preserve">Weigh the savings against the cost of a wrong decision, and build the correcting loop.</w:t>
      </w:r>
      <w:r>
        <w:t xml:space="preserve"> </w:t>
      </w:r>
      <w:r>
        <w:t xml:space="preserve">The runs are cheap (under about eleven US dollars for 25,600 calls with the models we priced); the relevant cost is the decision made on the output. Storing the simulated and realized lift of each past campaign lets the system track its own bias.</w:t>
      </w:r>
    </w:p>
    <w:bookmarkEnd w:id="62"/>
    <w:bookmarkStart w:id="63" w:name="limitations-and-future-research"/>
    <w:p>
      <w:pPr>
        <w:pStyle w:val="Heading2"/>
      </w:pPr>
      <w:r>
        <w:t xml:space="preserve">6.5 Limitations and future research</w:t>
      </w:r>
    </w:p>
    <w:p>
      <w:pPr>
        <w:pStyle w:val="FirstParagraph"/>
      </w:pPr>
      <w:r>
        <w:t xml:space="preserve">The evidence is preliminary. Our intervals capture the sampling of customers but not variation across prompts, which we examined only for four models and two rewordings (Section 5.4). All eight models were run on three seeds. Per-seed variance-to-mean ratios were stable for the direct and daily designs but varied more for the describe and hybrid designs (median ranges 0.9 and 1.2), so counts of cells that match the reference are approximate. The low-mean reference is a calibrated parametric distribution, the Complete Journey households are loyalty-card shoppers, and campaigns there were targeted rather than randomized, so only the email experiment supports a causal comparison. The demographic personas contain almost no information about purchase frequency; personas that carry purchase histories would be a stronger test of Proposition 1 and of whether the model contributes more than a level. Whether reasoning-enabled models collapse less remains open, and public data may be part of the models’ training data. The principles and organizational arrangements have not been tested in an organization, and the backtest (Section 5.10) uses one pair of campaigns. Future work should use a randomized promotion data set with purchase counts, for example from a partner firm.</w:t>
      </w:r>
    </w:p>
    <w:bookmarkEnd w:id="63"/>
    <w:bookmarkEnd w:id="64"/>
    <w:bookmarkStart w:id="65"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must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Evidence from eight language models, three transaction settings, and a randomized email experiment is consistent with this account. Direct and day-by-day designs lose the concentration of purchases among heavy buyers; taking the level from the model and the spread from an external calibrated source restores it; calibrating the level repairs the mean, but a baseline that uses the historical mean alone does about as well; and purchase lifts are overstated in 15 of 16 configurations, enough to turn a no-go decision into a go. For organizations the implication is a short list of duties: validate against the firm’s own data before use, revalidate when the model, provider, or prompt changes, keep synthetic data apart from real data, keep running randomized tests, and assign accountability before the artifact is used. Future research should study these arrangements in organizations and test whether personas with informative purchase histories give the generative component more to contribute.</w:t>
      </w:r>
    </w:p>
    <w:bookmarkEnd w:id="65"/>
    <w:bookmarkStart w:id="66"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arXiv:2606.20708.</w:t>
      </w:r>
    </w:p>
    <w:p>
      <w:pPr>
        <w:pStyle w:val="BodyText"/>
      </w:pPr>
      <w:r>
        <w:t xml:space="preserve">Chu ML, Terhorst L, Reed K, et al. (2025) LLM-based multi-agent system for simulating and analyzing marketing and consumer behavior. Preprint, arXiv:2510.18155.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arXiv:2604.07513.</w:t>
      </w:r>
    </w:p>
    <w:p>
      <w:pPr>
        <w:pStyle w:val="BodyText"/>
      </w:pPr>
      <w:r>
        <w:t xml:space="preserve">Goli A, Singh A (2023) Can LLMs capture human preferences? Preprint, arXiv:2305.02531.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Gu J, Pang L, Shen H, Cheng X (2024) Do LLMs play dice? Exploring probability distribution sampling in large language models for behavioral simulation. Preprint, arXiv:2404.09043.</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arXiv:2301.07543.</w:t>
      </w:r>
    </w:p>
    <w:p>
      <w:pPr>
        <w:pStyle w:val="BodyText"/>
      </w:pPr>
      <w:r>
        <w:t xml:space="preserve">Huang C, Wang K (2026) LLM-powered virtual population for demand simulation and pricing. Preprint, arXiv:2606.16183.</w:t>
      </w:r>
    </w:p>
    <w:p>
      <w:pPr>
        <w:pStyle w:val="BodyText"/>
      </w:pPr>
      <w:r>
        <w:t xml:space="preserve">Jang C, Lee D, Kim J (2026) Instruction-tuned language models cannot sample from distributions they can describe. Preprint, arXiv:2607.25292.</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Li D, Li L, Qiu HS (2025) ChatGPT is not a man but Das Man: Representativeness and structural consistency of silicon samples generated by large language models. Preprint, arXiv:2507.02919.</w:t>
      </w:r>
    </w:p>
    <w:p>
      <w:pPr>
        <w:pStyle w:val="BodyText"/>
      </w:pPr>
      <w:r>
        <w:t xml:space="preserve">Maier BF, Aslak U, Fiaschi L, et al. (2025) LLMs reproduce human purchase intent via semantic similarity elicitation of Likert ratings. Preprint,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Tigre R, Souto HG (2026) When can you trust your synthetic users? Diagnostics and corrections for LLM consumer panels. Preprint,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arXiv:2510.01171.</w:t>
      </w:r>
    </w:p>
    <w:p>
      <w:pPr>
        <w:pStyle w:val="BodyText"/>
      </w:pPr>
      <w:r>
        <w:t xml:space="preserve">Zhang R, Zhang X, Zhao M (2025b) Predicting effects, missing distributions: Evaluating LLMs as human behavior simulators in operations management. Preprint, arXiv:2510.03310.</w:t>
      </w:r>
    </w:p>
    <w:p>
      <w:pPr>
        <w:pStyle w:val="BodyText"/>
      </w:pPr>
      <w:r>
        <w:rPr>
          <w:iCs/>
          <w:i/>
        </w:rPr>
        <w:t xml:space="preserve">An Online Appendix (Appendices A to F: prompts, full results, reproducibility, proofs, backtest, wording robustness) is provided as a separate file.</w:t>
      </w:r>
    </w:p>
    <w:bookmarkEnd w:id="66"/>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2026-10-17T14:03:07Z</dcterms:created>
  <dcterms:modified xsi:type="dcterms:W3CDTF">2026-10-17T14:03:07Z</dcterms:modified>
</cp:coreProperties>
</file>

<file path=docProps/custom.xml><?xml version="1.0" encoding="utf-8"?>
<Properties xmlns="http://schemas.openxmlformats.org/officeDocument/2006/custom-properties" xmlns:vt="http://schemas.openxmlformats.org/officeDocument/2006/docPropsVTypes"/>
</file>