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t>[Date]</w:t>
      </w:r>
    </w:p>
    <w:p>
      <w:pPr>
        <w:spacing w:after="200"/>
      </w:pPr>
      <w:r>
        <w:rPr>
          <w:b w:val="0"/>
          <w:i w:val="0"/>
        </w:rPr>
        <w:t>[Name], Editor-in-Chief</w:t>
        <w:br/>
        <w:t>Journal of Interactive Marketing</w:t>
        <w:br/>
        <w:t>[Address / submission system]</w:t>
        <w:br/>
      </w:r>
    </w:p>
    <w:p>
      <w:pPr>
        <w:spacing w:after="200"/>
      </w:pPr>
      <w:r>
        <w:rPr>
          <w:b/>
          <w:i w:val="0"/>
        </w:rPr>
        <w:t>Re: Submission of "When Can Marketers Trust Synthetic Consumers? Validity Regions and a Validation Protocol for LLM Digital Twins in Digital Experimentation"</w:t>
      </w:r>
    </w:p>
    <w:p>
      <w:pPr>
        <w:spacing w:after="120"/>
      </w:pPr>
      <w:r>
        <w:rPr>
          <w:b w:val="0"/>
          <w:i w:val="0"/>
        </w:rPr>
        <w:t>Dear Editor,</w:t>
      </w:r>
    </w:p>
    <w:p>
      <w:pPr>
        <w:spacing w:after="120"/>
      </w:pPr>
      <w:r>
        <w:rPr>
          <w:b w:val="0"/>
          <w:i w:val="0"/>
        </w:rPr>
        <w:t>We submit the enclosed manuscript for consideration as [article type, e.g., Research Article; confirm] in the Journal of Interactive Marketing.</w:t>
      </w:r>
    </w:p>
    <w:p>
      <w:pPr>
        <w:spacing w:after="120"/>
      </w:pPr>
      <w:r>
        <w:rPr>
          <w:b w:val="0"/>
          <w:i w:val="0"/>
        </w:rPr>
        <w:t>The question. Digital experimentation is core infrastructure for interactive marketing, and large language models now offer "synthetic consumers" that could pre-screen designs (defaults, choice sets, headlines) before customer traffic is spent and that are already used in market research. Whether and when such agents can be trusted is unresolved. Existing work asks whether twins reproduce effects on average. Our paper asks the managerial question: for which kind of treatment effect, in which model configuration, and for how long does a synthetic consumer give information about direction, magnitude, or neither?</w:t>
      </w:r>
    </w:p>
    <w:p>
      <w:pPr>
        <w:spacing w:after="120"/>
      </w:pPr>
      <w:r>
        <w:rPr>
          <w:b w:val="0"/>
          <w:i w:val="0"/>
        </w:rPr>
        <w:t>What we do. We propose a validity-region account in which a synthetic agent is informative about a treatment effect only if the effect operates through textual cues, does not depend on effort costs, lies outside memorized paradigms, and matches the human reasoning regime. We derive seven propositions and test them under two AsPredicted pre-registrations (#320110, #320124): a confirmatory twin study with new simulated respondents and a new prompt template (five model families, three persona architectures), a reasoning-effort by temperature grid (36 cells), and a field test on 999 public headline A/B tests. A separate exploratory study varies prompt templates and model generations (13 model versions).</w:t>
      </w:r>
    </w:p>
    <w:p>
      <w:pPr>
        <w:spacing w:after="40"/>
      </w:pPr>
      <w:r>
        <w:rPr>
          <w:b w:val="0"/>
          <w:i w:val="0"/>
        </w:rPr>
        <w:t>What we find.</w:t>
      </w:r>
    </w:p>
    <w:p>
      <w:pPr>
        <w:pStyle w:val="ListBullet"/>
      </w:pPr>
      <w:r>
        <w:t>Default effects reverse with paradigm familiarity in all five model families: twins overstate the canonical organ-donation default and understate a novel default that humans respond to strongly; naming the theory in the prompt inflates canonical effects.</w:t>
      </w:r>
    </w:p>
    <w:p>
      <w:pPr>
        <w:pStyle w:val="ListBullet"/>
      </w:pPr>
      <w:r>
        <w:t>More reasoning reduces factual errors but increases cue-based bias, and the two do not co-move; this contradicts our registered prediction.</w:t>
      </w:r>
    </w:p>
    <w:p>
      <w:pPr>
        <w:pStyle w:val="ListBullet"/>
      </w:pPr>
      <w:r>
        <w:t>In the field test, twin predictions beat chance by about nine percentage points only when no persona is supplied, and predicted effects are compressed (slope about 0.26), not inflated; the theory-derived moderator did not hold.</w:t>
      </w:r>
    </w:p>
    <w:p>
      <w:pPr>
        <w:pStyle w:val="ListBullet"/>
      </w:pPr>
      <w:r>
        <w:t>Prompt wording matters little across 13 model versions, but each model has its own error profile that changes between generations. The managerial implication is a version-specific validation protocol for synthetic evidence.</w:t>
      </w:r>
    </w:p>
    <w:p>
      <w:pPr>
        <w:spacing w:after="120"/>
      </w:pPr>
      <w:r>
        <w:rPr>
          <w:b w:val="0"/>
          <w:i w:val="0"/>
        </w:rPr>
        <w:t>Contribution and relation to prior work. The closest studies are Peng et al. (2026), who show that twins fail on individual prediction and behave hyper-rationally, Hullman et al. (2026), who argue for validating simulations against held-out human data, and Persson et al. (2026) and Maiorano (2026), who evaluate LLM prediction of headline tests. Closely related marketing work uses GPT for market research (Brand et al., 2024). We differ in testing a falsifiable account with pre-registered, out-of-sample propositions across effect types, persona architectures, reasoning regimes, and model generations, and in translating the results into a validation protocol for managers. We acknowledge that the theory built from exploratory data was only partly confirmed, and we report rejected predictions on equal footing.</w:t>
      </w:r>
    </w:p>
    <w:p>
      <w:pPr>
        <w:spacing w:after="120"/>
      </w:pPr>
      <w:r>
        <w:rPr>
          <w:b w:val="0"/>
          <w:i w:val="0"/>
        </w:rPr>
        <w:t>Transparency. All analysis code for the confirmatory studies was committed before the confirmatory outputs were analyzed; deviations from the registrations are listed in the appendix; an indexing error in our multiplicity correction was found and corrected without changing any verdict, and is documented. Code, prompts, summary results, and raw outputs are supplied.</w:t>
      </w:r>
    </w:p>
    <w:p>
      <w:pPr>
        <w:spacing w:after="120"/>
      </w:pPr>
      <w:r>
        <w:rPr>
          <w:b w:val="0"/>
          <w:i w:val="0"/>
        </w:rPr>
        <w:t>Limitations we state in the paper. Human benchmarks come from one US online panel and seven effects; results describe model versions available in October 2026; the hallucination measure showed almost no variation; and the stability study was not pre-registered.</w:t>
      </w:r>
    </w:p>
    <w:p>
      <w:pPr>
        <w:spacing w:after="120"/>
      </w:pPr>
      <w:r>
        <w:rPr>
          <w:b w:val="0"/>
          <w:i w:val="0"/>
        </w:rPr>
        <w:t>Required statements. [Authors to confirm each:] The manuscript is not published and not under review elsewhere. All authors approved the submission. We have no conflicts of interest to declare [or list them]. No new human-subject data were collected; all human data are public secondary data [institutional exemption statement]. An AI model assisted with code, analysis execution, and drafting, and the authors take responsibility for the content, as disclosed on the title page.</w:t>
      </w:r>
    </w:p>
    <w:p>
      <w:pPr>
        <w:spacing w:after="120"/>
      </w:pPr>
      <w:r>
        <w:rPr>
          <w:b w:val="0"/>
          <w:i w:val="0"/>
        </w:rPr>
        <w:t>Fit with the journal: the paper addresses a current managerial problem of digital marketing (using synthetic consumers in digital experimentation and market research) and speaks to theory (validity conditions grounded in behavioral decision research) and to practice (a validation protocol). Suggested editor: [to be completed]. Suggested reviewers: [names, affiliations, emails, with reasons; avoid collaborators and the authors of the closest prior work unless disclosed]. Reviewers we ask to exclude: [none / names]. The manuscript is fully anonymized for double-anonymized review; identifying information is in the separate title page.</w:t>
      </w:r>
    </w:p>
    <w:p>
      <w:pPr>
        <w:spacing w:after="280"/>
      </w:pPr>
      <w:r>
        <w:rPr>
          <w:b w:val="0"/>
          <w:i w:val="0"/>
        </w:rPr>
        <w:t>Thank you for considering our work.</w:t>
      </w:r>
    </w:p>
    <w:p>
      <w:pPr>
        <w:spacing w:after="120"/>
      </w:pPr>
      <w:r>
        <w:rPr>
          <w:b w:val="0"/>
          <w:i w:val="0"/>
        </w:rPr>
        <w:t>Sincerely,</w:t>
        <w:br/>
        <w:br/>
        <w:t>[Corresponding author name]</w:t>
        <w:br/>
        <w:t>[Affiliation, email]</w:t>
        <w:b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