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rPr>
        <w:t>Ook Lee</w:t>
      </w:r>
    </w:p>
    <w:p>
      <w:pPr>
        <w:spacing w:after="0"/>
      </w:pPr>
      <w:r>
        <w:rPr>
          <w:b w:val="0"/>
        </w:rPr>
        <w:t>Department of Information System, Hanyang University</w:t>
      </w:r>
    </w:p>
    <w:p>
      <w:pPr>
        <w:spacing w:after="0"/>
      </w:pPr>
      <w:r>
        <w:rPr>
          <w:b w:val="0"/>
        </w:rPr>
        <w:t>Seoul, Korea</w:t>
      </w:r>
    </w:p>
    <w:p>
      <w:pPr>
        <w:spacing w:after="240"/>
      </w:pPr>
      <w:r>
        <w:rPr>
          <w:b w:val="0"/>
        </w:rPr>
        <w:t>ooklee@hanyang.ac.kr</w:t>
      </w:r>
    </w:p>
    <w:p>
      <w:pPr>
        <w:spacing w:after="240"/>
      </w:pPr>
      <w:r>
        <w:rPr>
          <w:b w:val="0"/>
        </w:rPr>
        <w:t>October 26, 2026</w:t>
      </w:r>
    </w:p>
    <w:p>
      <w:pPr>
        <w:spacing w:after="0"/>
      </w:pPr>
      <w:r>
        <w:rPr>
          <w:b w:val="0"/>
        </w:rPr>
        <w:t>Editor-in-Chief</w:t>
      </w:r>
    </w:p>
    <w:p>
      <w:pPr>
        <w:spacing w:after="240"/>
      </w:pPr>
      <w:r>
        <w:rPr>
          <w:b w:val="0"/>
        </w:rPr>
        <w:t>IEEE Access</w:t>
      </w:r>
    </w:p>
    <w:p>
      <w:r>
        <w:rPr>
          <w:b w:val="0"/>
        </w:rPr>
      </w:r>
      <w:r>
        <w:rPr>
          <w:b/>
        </w:rPr>
        <w:t xml:space="preserve">Re: Submission of a regular paper — </w:t>
      </w:r>
      <w:r>
        <w:t>“Event-Driven LLM-Agent Simulation for Pre-Testing Social Media Seeding Strategies”</w:t>
      </w:r>
    </w:p>
    <w:p>
      <w:r>
        <w:rPr>
          <w:b w:val="0"/>
        </w:rPr>
        <w:t>Dear Editor,</w:t>
      </w:r>
    </w:p>
    <w:p>
      <w:r>
        <w:rPr>
          <w:b w:val="0"/>
        </w:rPr>
        <w:t>Please consider our manuscript, “Event-Driven LLM-Agent Simulation for Pre-Testing Social Media Seeding Strategies,” for publication as a regular paper in IEEE Access.</w:t>
      </w:r>
    </w:p>
    <w:p>
      <w:r>
        <w:rPr>
          <w:b w:val="0"/>
        </w:rPr>
        <w:t>Campaign managers cannot cheaply test seeding options in the field, so simulation with large language model (LLM) agents is an attractive pre-test. Most LLM-agent simulators, however, decide when agents act by fixed-interval polling. This imposes artificial synchrony, so the speed of a cascade, which time-sensitive decisions depend on, is partly produced by the simulation loop. We present Poisson-SNS, a simulator in which each agent’s next action time is drawn from an inhomogeneous Poisson process. Its intensity combines a persona-specific circadian baseline with decaying stimuli from exposure and feedback. The LLM serves only as an intensity oracle that rates how strongly a situation moves a persona to act, and the point process determines the timing.</w:t>
      </w:r>
    </w:p>
    <w:p>
      <w:pPr>
        <w:spacing w:after="80"/>
      </w:pPr>
      <w:r>
        <w:rPr>
          <w:b w:val="0"/>
        </w:rPr>
        <w:t>The main contributions are as follows.</w:t>
      </w:r>
    </w:p>
    <w:p>
      <w:pPr>
        <w:pStyle w:val="ListBullet"/>
        <w:spacing w:after="80"/>
      </w:pPr>
      <w:r>
        <w:t>A simulator specification that separates the LLM’s judgment of motivation from the timing mechanism, which makes the temporal assumptions inspectable and testable. The simulator is event-driven, so computation is spent only when something happens.</w:t>
      </w:r>
    </w:p>
    <w:p>
      <w:pPr>
        <w:pStyle w:val="ListBullet"/>
        <w:spacing w:after="80"/>
      </w:pPr>
      <w:r>
        <w:t>A decision-oriented application. Under an equal exposure budget, concentrating a campaign on three high-degree influencers produced about 78% more adopters than seeding several hundred ordinary users (357 vs. 200, p&lt;.001), but reached half of its eventual adopters about 1.0 hours later and produced far more variable outcomes. No strategy dominates; the better choice depends on whether the objective is scale, speed, or predictability.</w:t>
      </w:r>
    </w:p>
    <w:p>
      <w:pPr>
        <w:pStyle w:val="ListBullet"/>
        <w:spacing w:after="80"/>
      </w:pPr>
      <w:r>
        <w:t>A robustness and limitations analysis. The conclusions held when a rule-based oracle was replaced by LLM ratings, and the scale advantage persisted across most parameter and network variations but vanished on a random network. The scheduler reproduced the daily activity cycle far better than homogeneous Poisson and polling schedulers (r=0.84 vs. −0.25 and −0.08), although reply delays remained too long.</w:t>
      </w:r>
    </w:p>
    <w:p>
      <w:pPr>
        <w:spacing w:before="120"/>
      </w:pPr>
      <w:r>
        <w:rPr>
          <w:b w:val="0"/>
        </w:rPr>
        <w:t>We have been explicit about the limits of the evidence. Without platform trace data, behavioral validation relies on assumed reference profiles, so the findings are hypotheses for field testing and not prescriptions. The manuscript also states which design parameters were set manually and where the results are sensitive to them.</w:t>
      </w:r>
    </w:p>
    <w:p>
      <w:r>
        <w:rPr>
          <w:b w:val="0"/>
        </w:rPr>
        <w:t>We believe the work suits IEEE Access because it is an application-oriented contribution at the intersection of simulation, artificial intelligence, and social computing. It offers a reproducible method, a systematic evaluation, and an open account of its limitations. The simulation code, result files, and LLM rating table are provided as an anonymized supplementary archive and will be deposited in a public repository upon acceptance.</w:t>
      </w:r>
    </w:p>
    <w:p>
      <w:r>
        <w:rPr>
          <w:b w:val="0"/>
        </w:rPr>
        <w:t>This manuscript is original, has not been published previously, and is not under consideration for publication elsewhere. All authors have approved the submission. In line with IEEE policy, the use of generative AI is disclosed in the Acknowledgment section. LLM raters were part of the method (Study 3), and an AI assistant was used for code implementation, analysis, and manuscript drafting. The authors reviewed and edited all content and take full responsibility for the work.</w:t>
      </w:r>
    </w:p>
    <w:p>
      <w:r>
        <w:rPr>
          <w:b w:val="0"/>
        </w:rPr>
        <w:t>Thank you for your time and consideration. We look forward to your response.</w:t>
      </w:r>
    </w:p>
    <w:p>
      <w:pPr>
        <w:spacing w:after="480"/>
      </w:pPr>
      <w:r>
        <w:rPr>
          <w:b w:val="0"/>
        </w:rPr>
        <w:t>Sincerely,</w:t>
      </w:r>
    </w:p>
    <w:p>
      <w:pPr>
        <w:spacing w:after="0"/>
      </w:pPr>
      <w:r>
        <w:rPr>
          <w:b/>
        </w:rPr>
        <w:t>Ook Lee</w:t>
      </w:r>
    </w:p>
    <w:p>
      <w:pPr>
        <w:spacing w:after="0"/>
      </w:pPr>
      <w:r>
        <w:rPr>
          <w:b w:val="0"/>
        </w:rPr>
        <w:t>Professor, Department of Information System</w:t>
      </w:r>
    </w:p>
    <w:p>
      <w:pPr>
        <w:spacing w:after="0"/>
      </w:pPr>
      <w:r>
        <w:rPr>
          <w:b w:val="0"/>
        </w:rPr>
        <w:t>Hanyang University, Seoul, Korea</w:t>
      </w:r>
    </w:p>
    <w:p>
      <w:r>
        <w:rPr>
          <w:b w:val="0"/>
        </w:rPr>
        <w:t>ooklee@hanyang.ac.kr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