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a40f67842dba2396149012ad07674a37e8c148"/>
    <w:p>
      <w:pPr>
        <w:pStyle w:val="Heading1"/>
      </w:pPr>
      <w:r>
        <w:t xml:space="preserve">Do Model Labels Mislead an Event Study? Presidential Posts and Oil Prices in the 2026 Hormuz Closure</w:t>
      </w:r>
    </w:p>
    <w:p>
      <w:pPr>
        <w:pStyle w:val="FirstParagraph"/>
      </w:pPr>
      <w:r>
        <w:t xml:space="preserve">Ook Lee</w:t>
      </w:r>
      <w:r>
        <w:br/>
      </w:r>
      <w:r>
        <w:t xml:space="preserve">Department of Information System, Hanyang University, Seoul, Korea</w:t>
      </w:r>
      <w:r>
        <w:br/>
      </w:r>
      <w:r>
        <w:t xml:space="preserve">ooklee@hanyang.ac.kr (corresponding author)</w:t>
      </w:r>
    </w:p>
    <w:p>
      <w:pPr>
        <w:pStyle w:val="BodyText"/>
      </w:pPr>
      <w:r>
        <w:rPr>
          <w:iCs/>
          <w:i/>
        </w:rPr>
        <w:t xml:space="preserve">Manuscript prepared for submission to MIS Quarterly (version 4). Bracketed items are placeholders to be completed before submission. Analyses carry a status given in Table 8 and Appendix A; the plans behind them are files in the authors’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Heads of state announce policy on social platforms, and researchers increasingly label such posts with large language models. We ask whether the labelling changes what an event study finds, using 4,838 posts from the U.S. president’s platform (March–October 2026) and the closure of the Strait of Hormuz. Posting is overdispersed and follows volatile hours, so posting times are not exogenous. With model labels, oil fell 1.29% over two hours after de-escalation posts and did not respond to escalation posts. Two human coders then labelled all 191 war-period keyword posts (agreement κ = 0.51 to 0.69). The model’s labels agree with theirs at κ = 0.50 and over-label escalation (precision 0.49 pooled; 0.36 in the sample behind the first-stage result), and four further runs under a clearer codebook do not improve on this (κ 0.48 to 0.51). On human labels, WTI tick data show a directional move of +1.05% within 30 minutes after de-escalation posts (n = 29; median 0.47%) and +0.48% after escalation posts (n = 16), both larger than at matched placebo times. Model-labelled escalation estimates are smaller (0.17% to 0.35%); for the original labels the difference from the human estimate is detectable (p = 0.04), for the clearer codebook it is not. The move is preceded by drift and is separable from it only over 5 to 15 minutes, and two thirds of the human escalation labels were adjudicated by the investigator. A pre-specified information-theoretic account that motivated the study is not supported. Label noise attenuates event-study estimates, and agreement with human coders, not agreement between model runs, is the evidence a labelling needs before it is attached to market outcomes.</w:t>
      </w:r>
    </w:p>
    <w:p>
      <w:pPr>
        <w:pStyle w:val="BodyText"/>
      </w:pPr>
      <w:r>
        <w:rPr>
          <w:bCs/>
          <w:b/>
        </w:rPr>
        <w:t xml:space="preserve">Keywords:</w:t>
      </w:r>
      <w:r>
        <w:t xml:space="preserve"> </w:t>
      </w:r>
      <w:r>
        <w:t xml:space="preserve">social media, executive communication, event study, large language models as annotators, measurement validity, financial markets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four contributions. First, we document that posting is overdispersed and follows volatile hours, so event studies that treat posting times as random are fragile. Second,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Third, we report which part of the human-label result is robust (the direction of the post-period move) and which is not (its separation from pre-post drift beyond short windows, and the escalation result’s dependence on the investigator’s adjudication). Fourth, we report a test of an information-theoretic account that motivated the study; its pre-specified propositions are not supported. The paper does not identify a causal effect of posts on prices.</w:t>
      </w:r>
    </w:p>
    <w:p>
      <w:pPr>
        <w:pStyle w:val="BodyText"/>
      </w:pPr>
      <w:r>
        <w:t xml:space="preserve">Section 2 states the account and its propositions. Section 3 describes the data and design. Section 4 reports results. Section 5 discusses contributions and limits, and Section 6 concludes. Exploratory and model-labelled analyses are in the appendices.</w:t>
      </w:r>
    </w:p>
    <w:bookmarkEnd w:id="21"/>
    <w:bookmarkStart w:id="22" w:name="an-information-theoretic-motivation"/>
    <w:p>
      <w:pPr>
        <w:pStyle w:val="Heading2"/>
      </w:pPr>
      <w:r>
        <w:t xml:space="preserve">2. An Information-Theoretic Motivation</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adjudicated from the text by the principal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the Department of Information System at Hanyang University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 The magnitude outcome used for the propositions is |z|, the absolute return divided by the volatility of the preceding 300 bars (hourly) or of the preceding 60 daily returns scaled to the window (tick-level samples).</w:t>
      </w:r>
    </w:p>
    <w:bookmarkEnd w:id="25"/>
    <w:bookmarkStart w:id="26" w:name="measures-of-information"/>
    <w:p>
      <w:pPr>
        <w:pStyle w:val="Heading3"/>
      </w:pPr>
      <w:r>
        <w:t xml:space="preserve">3.4 Measures of information</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Section 4.6.</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not pre-specified.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8).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32"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A homogeneous Poisson process is rejected in every series we examined, including 2017–2021 Twitter and a second account, and daily conflict events remove at most a quarter of the dispersion (Appendix D).</w:t>
      </w:r>
    </w:p>
    <w:p>
      <w:pPr>
        <w:pStyle w:val="CaptionedFigure"/>
      </w:pPr>
      <w:r>
        <w:drawing>
          <wp:inline>
            <wp:extent cx="5334000" cy="2066925"/>
            <wp:effectExtent b="0" l="0" r="0" t="0"/>
            <wp:docPr descr="Figure 1" title="" id="30" name="Picture"/>
            <a:graphic>
              <a:graphicData uri="http://schemas.openxmlformats.org/drawingml/2006/picture">
                <pic:pic>
                  <pic:nvPicPr>
                    <pic:cNvPr descr="figs/fig1_arrivals.png" id="31" name="Picture"/>
                    <pic:cNvPicPr>
                      <a:picLocks noChangeArrowheads="1" noChangeAspect="1"/>
                    </pic:cNvPicPr>
                  </pic:nvPicPr>
                  <pic:blipFill>
                    <a:blip r:embed="rId29"/>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1</w:t>
      </w:r>
    </w:p>
    <w:p>
      <w:pPr>
        <w:pStyle w:val="BodyText"/>
      </w:pPr>
      <w:r>
        <w:rPr>
          <w:iCs/>
          <w:i/>
        </w:rPr>
        <w:t xml:space="preserve">Figure 1. Iran-related posts with threat terms (n = 108). A: observed daily counts versus Poisson and negative binomial fits. B: weekly counts.</w:t>
      </w:r>
    </w:p>
    <w:bookmarkEnd w:id="32"/>
    <w:bookmarkStart w:id="33"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3"/>
    <w:bookmarkStart w:id="34"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4"/>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The model versions behind the runs are to be recorded [versions].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The word</w:t>
      </w:r>
      <w:r>
        <w:t xml:space="preserve"> </w:t>
      </w:r>
      <w:r>
        <w:t xml:space="preserve">“</w:t>
      </w:r>
      <w:r>
        <w:t xml:space="preserve">reversal</w:t>
      </w:r>
      <w:r>
        <w:t xml:space="preserve">”</w:t>
      </w:r>
      <w:r>
        <w:t xml:space="preserve"> </w:t>
      </w:r>
      <w:r>
        <w:t xml:space="preserve">is not justified by the formal comparison;</w:t>
      </w:r>
      <w:r>
        <w:t xml:space="preserve"> </w:t>
      </w:r>
      <w:r>
        <w:t xml:space="preserve">“</w:t>
      </w:r>
      <w:r>
        <w:t xml:space="preserve">attenuation</w:t>
      </w:r>
      <w:r>
        <w:t xml:space="preserve">”</w:t>
      </w:r>
      <w:r>
        <w:t xml:space="preserve"> </w:t>
      </w:r>
      <w:r>
        <w:t xml:space="preserve">is.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All final labels</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only</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adjudication status: n; mean (day-clustered 95% CI); two-sided Wilcoxon p.</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The placebo is matched on clock hour and weekday, not on prior volatility or drift, so it shows that the posts’ windows differ from comparable calm hours,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direction of the post-period move is positive and one-sided significant in every variant for both classes,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borderline (de-escalation p between 0.026 and 0.063 across cluster rules; escalation 0.044 to 0.097) and depends on the window: over 5 and 15 minutes the post move is not preceded by drift for de-escalation posts (pre-window means −0.05% and 0.00%; paired excess +0.72 and +0.76 points, p = 0.003 and 0.005), whereas over 60 minutes the earlier drift has caught up (paired −0.15, p = 0.37). The short-window statement is the one we can defend, but the choice of windows to rely on was made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(.030)</w:t>
            </w:r>
          </w:p>
        </w:tc>
        <w:tc>
          <w:tcPr/>
          <w:p>
            <w:pPr>
              <w:pStyle w:val="Compact"/>
              <w:jc w:val="left"/>
            </w:pPr>
            <w:r>
              <w:t xml:space="preserve">16, 0.48 (0.40), +0.26 (.058)</w:t>
            </w:r>
          </w:p>
        </w:tc>
      </w:tr>
      <w:tr>
        <w:tc>
          <w:tcPr/>
          <w:p>
            <w:pPr>
              <w:pStyle w:val="Compact"/>
              <w:jc w:val="left"/>
            </w:pPr>
            <w:r>
              <w:t xml:space="preserve">No cluster filter</w:t>
            </w:r>
          </w:p>
        </w:tc>
        <w:tc>
          <w:tcPr/>
          <w:p>
            <w:pPr>
              <w:pStyle w:val="Compact"/>
              <w:jc w:val="left"/>
            </w:pPr>
            <w:r>
              <w:t xml:space="preserve">34, 0.91 (0.46), +0.44 (.026)</w:t>
            </w:r>
          </w:p>
        </w:tc>
        <w:tc>
          <w:tcPr/>
          <w:p>
            <w:pPr>
              <w:pStyle w:val="Compact"/>
              <w:jc w:val="left"/>
            </w:pPr>
            <w:r>
              <w:t xml:space="preserve">19, 0.46 (0.35), +0.23 (.071)</w:t>
            </w:r>
          </w:p>
        </w:tc>
      </w:tr>
      <w:tr>
        <w:tc>
          <w:tcPr/>
          <w:p>
            <w:pPr>
              <w:pStyle w:val="Compact"/>
              <w:jc w:val="left"/>
            </w:pPr>
            <w:r>
              <w:t xml:space="preserve">6-hour filter</w:t>
            </w:r>
          </w:p>
        </w:tc>
        <w:tc>
          <w:tcPr/>
          <w:p>
            <w:pPr>
              <w:pStyle w:val="Compact"/>
              <w:jc w:val="left"/>
            </w:pPr>
            <w:r>
              <w:t xml:space="preserve">25, 1.08 (0.49), +0.42 (.063)</w:t>
            </w:r>
          </w:p>
        </w:tc>
        <w:tc>
          <w:tcPr/>
          <w:p>
            <w:pPr>
              <w:pStyle w:val="Compact"/>
              <w:jc w:val="left"/>
            </w:pPr>
            <w:r>
              <w:t xml:space="preserve">14, 0.54 (0.50), +0.27 (.097)</w:t>
            </w:r>
          </w:p>
        </w:tc>
      </w:tr>
      <w:tr>
        <w:tc>
          <w:tcPr/>
          <w:p>
            <w:pPr>
              <w:pStyle w:val="Compact"/>
              <w:jc w:val="left"/>
            </w:pPr>
            <w:r>
              <w:t xml:space="preserve">Both coders agreed before adjudication</w:t>
            </w:r>
          </w:p>
        </w:tc>
        <w:tc>
          <w:tcPr/>
          <w:p>
            <w:pPr>
              <w:pStyle w:val="Compact"/>
              <w:jc w:val="left"/>
            </w:pPr>
            <w:r>
              <w:t xml:space="preserve">28, 1.03 (0.47), +0.44 (.045)</w:t>
            </w:r>
          </w:p>
        </w:tc>
        <w:tc>
          <w:tcPr/>
          <w:p>
            <w:pPr>
              <w:pStyle w:val="Compact"/>
              <w:jc w:val="left"/>
            </w:pPr>
            <w:r>
              <w:t xml:space="preserve">7, 0.71 (0.54), +0.44 (.078)</w:t>
            </w:r>
          </w:p>
        </w:tc>
      </w:tr>
      <w:tr>
        <w:tc>
          <w:tcPr/>
          <w:p>
            <w:pPr>
              <w:pStyle w:val="Compact"/>
              <w:jc w:val="left"/>
            </w:pPr>
            <w:r>
              <w:t xml:space="preserve">Window 5 minutes</w:t>
            </w:r>
          </w:p>
        </w:tc>
        <w:tc>
          <w:tcPr/>
          <w:p>
            <w:pPr>
              <w:pStyle w:val="Compact"/>
              <w:jc w:val="left"/>
            </w:pPr>
            <w:r>
              <w:t xml:space="preserve">29, 0.67 (0.21), +0.72 (.003)</w:t>
            </w:r>
          </w:p>
        </w:tc>
        <w:tc>
          <w:tcPr/>
          <w:p>
            <w:pPr>
              <w:pStyle w:val="Compact"/>
              <w:jc w:val="left"/>
            </w:pPr>
            <w:r>
              <w:t xml:space="preserve">16, 0.46 (0.19), +0.38 (.096)</w:t>
            </w:r>
          </w:p>
        </w:tc>
      </w:tr>
      <w:tr>
        <w:tc>
          <w:tcPr/>
          <w:p>
            <w:pPr>
              <w:pStyle w:val="Compact"/>
              <w:jc w:val="left"/>
            </w:pPr>
            <w:r>
              <w:t xml:space="preserve">Window 15 minutes</w:t>
            </w:r>
          </w:p>
        </w:tc>
        <w:tc>
          <w:tcPr/>
          <w:p>
            <w:pPr>
              <w:pStyle w:val="Compact"/>
              <w:jc w:val="left"/>
            </w:pPr>
            <w:r>
              <w:t xml:space="preserve">29, 0.76 (0.60), +0.76 (.005)</w:t>
            </w:r>
          </w:p>
        </w:tc>
        <w:tc>
          <w:tcPr/>
          <w:p>
            <w:pPr>
              <w:pStyle w:val="Compact"/>
              <w:jc w:val="left"/>
            </w:pPr>
            <w:r>
              <w:t xml:space="preserve">16, 0.57 (0.42), +0.36 (.019)</w:t>
            </w:r>
          </w:p>
        </w:tc>
      </w:tr>
      <w:tr>
        <w:tc>
          <w:tcPr/>
          <w:p>
            <w:pPr>
              <w:pStyle w:val="Compact"/>
              <w:jc w:val="left"/>
            </w:pPr>
            <w:r>
              <w:t xml:space="preserve">Window 60 minutes</w:t>
            </w:r>
          </w:p>
        </w:tc>
        <w:tc>
          <w:tcPr/>
          <w:p>
            <w:pPr>
              <w:pStyle w:val="Compact"/>
              <w:jc w:val="left"/>
            </w:pPr>
            <w:r>
              <w:t xml:space="preserve">28, 1.18 (0.42), −0.15 (.365)</w:t>
            </w:r>
          </w:p>
        </w:tc>
        <w:tc>
          <w:tcPr/>
          <w:p>
            <w:pPr>
              <w:pStyle w:val="Compact"/>
              <w:jc w:val="left"/>
            </w:pPr>
            <w:r>
              <w:t xml:space="preserve">16, 0.48 (0.40), +0.44 (.086)</w:t>
            </w:r>
          </w:p>
        </w:tc>
      </w:tr>
      <w:tr>
        <w:tc>
          <w:tcPr/>
          <w:p>
            <w:pPr>
              <w:pStyle w:val="Compact"/>
              <w:jc w:val="left"/>
            </w:pPr>
            <w:r>
              <w:t xml:space="preserve">Drop 23 March and 7 April (three events)</w:t>
            </w:r>
          </w:p>
        </w:tc>
        <w:tc>
          <w:tcPr/>
          <w:p>
            <w:pPr>
              <w:pStyle w:val="Compact"/>
              <w:jc w:val="left"/>
            </w:pPr>
            <w:r>
              <w:t xml:space="preserve">26, 0.80 (0.48), +0.49 (.025)</w:t>
            </w:r>
          </w:p>
        </w:tc>
        <w:tc>
          <w:tcPr/>
          <w:p>
            <w:pPr>
              <w:pStyle w:val="Compact"/>
              <w:jc w:val="left"/>
            </w:pPr>
            <w:r>
              <w:t xml:space="preserve">16, 0.48 (0.40), +0.26 (.058)</w:t>
            </w:r>
          </w:p>
        </w:tc>
      </w:tr>
    </w:tbl>
    <w:p>
      <w:pPr>
        <w:pStyle w:val="BodyText"/>
      </w:pPr>
      <w:r>
        <w:rPr>
          <w:iCs/>
          <w:i/>
        </w:rPr>
        <w:t xml:space="preserve">Table 6. Robustness of the human-label tick-level result (mean directional returns in percent; p from one-sided Wilcoxon tests of post &gt;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X2fa4eb6c5141e0b6310a0cbc31f8b523321249a"/>
    <w:p>
      <w:pPr>
        <w:pStyle w:val="Heading3"/>
      </w:pPr>
      <w:r>
        <w:t xml:space="preserve">4.6 Tests of the information-theoretic propositions</w:t>
      </w:r>
    </w:p>
    <w:p>
      <w:pPr>
        <w:pStyle w:val="FirstParagraph"/>
      </w:pPr>
      <w:r>
        <w:t xml:space="preserve">Table 7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7.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(Section 3.4),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40"/>
    <w:bookmarkStart w:id="41" w:name="status-of-the-reported-results"/>
    <w:p>
      <w:pPr>
        <w:pStyle w:val="Heading3"/>
      </w:pPr>
      <w:r>
        <w:t xml:space="preserve">4.7 Status of the reported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8. Status of results in the main text. The labels H5a, H7b and similar in Appendix A are the hypotheses of the individual analysis plans; P1–P7 are the propositions of Section 2 and Appendix E.</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five statements. First, platform speech by a head of state arrives as an overdispersed, bursty process that follows volatile market hours, so event-study designs that treat posting times as random overstate their identification. Second, during the closure, oil moves in the direction of posts that humans label de-escalation (about +1.05% over 30 minutes; median 0.47%) and, at about half the size, of posts that humans label escalation (+0.48%). The direction of this move is robust to the choices we varied and it exceeds the move at matched placebo times. Third, the move cannot be attributed to the post itself beyond short windows: it is preceded by drift, and the post-minus-pre excess is borderline and window-dependent. Fourth, model labels, including four runs under the humans’ own codebook, agree with human labels only at κ of about 0.5 and over-label escalation; this attenuates the estimated escalation response (0.17% to 0.35% against 0.48%), and for the original labels it makes the response indistinguishable from zero. Fifth, the escalation result rests mostly on posts whose labels the investigator adjudicated (66%), and is not separately established for them.</w:t>
      </w:r>
    </w:p>
    <w:p>
      <w:pPr>
        <w:pStyle w:val="BodyText"/>
      </w:pPr>
      <w:r>
        <w:t xml:space="preserve">The information-theoretic propositions that we specified in advance are not supported: novelty, the interaction and timing surprisal (Appendix E) do not predict the size of the reaction in any sample, and prior uncertainty does so only where it is confounded with volatility clustering. These tests have low power, so the result is that they could not detect an effect.</w:t>
      </w:r>
    </w:p>
    <w:bookmarkEnd w:id="43"/>
    <w:bookmarkStart w:id="44" w:name="contributions"/>
    <w:p>
      <w:pPr>
        <w:pStyle w:val="Heading3"/>
      </w:pPr>
      <w:r>
        <w:t xml:space="preserve">5.2 Contributions</w:t>
      </w:r>
    </w:p>
    <w:p>
      <w:pPr>
        <w:pStyle w:val="FirstParagraph"/>
      </w:pPr>
      <w:r>
        <w:t xml:space="preserve">The paper’s main contribution is a worked example, with an audit trail, of how the labelling of text changes an event-study estimate. Agreement between two runs of a model was high (κ 0.62 to 0.96) throughout, and four runs of three model sizes agree with each other at 0.69 to 0.84, but agreement with human coders was moderate (0.29 to 0.56 by round; 0.50 overall), and re-running the model with the humans’ codebook did not help. The error was one-directional, over-labelling escalation, so it attenuated one class’s estimate and left the other unchanged. For IS research that uses language models as measurement instruments, which is now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instead of comparing significance; (iv) report the share of human labels that were adjudicated, by class; (v) report which events are lost for lack of an outcome window, by class. Recent methods can correct downstream estimates for imperfect labels using a validated subsample (Egami et al. 2023; Angelopoulos et al. 2023); our human-labelled set of 191 posts is small and was not drawn for that purpose, so we use it descriptively. A second contribution is descriptive: a documented case in which posting timing is endogenous and oil moves with posts within minutes, without our being able to say that the post is the news. A third is a record of negative results: the propositions derived from an information-theoretic account were mostly not supported, and the two instances in which they appeared to be (mutual information; prior uncertainty in tariff tweets) do not survive scrutiny.</w:t>
      </w:r>
    </w:p>
    <w:p>
      <w:pPr>
        <w:pStyle w:val="BodyText"/>
      </w:pPr>
      <w:r>
        <w:t xml:space="preserve">The paper does not offer a theory of platform-mediated speech. No platform feature varies in our data. What the platform changes here is the volume of posts and the availability of timestamps, which is what makes the measurement problem visible.</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 is matched on clock hour, not on news. Three events supply 54% of the de-escalation mean, 83% of signal posts without a market window were made on weekends or off-hours, and 48% of escalation signal posts are lost for that reason, against 22% of de-escalation posts, so the two classes are selected differently and the result does not extend to weekend announcements. The labels are not independent of the investigator: the investigator who adjudicated knew the hypotheses, 66% of final escalation labels are adjudicated, and the coders, who are from the author’s department, remembered the course of the war and may have labelled with hindsight. The model re-labelling used instances of one vendor’s model family under one codebook, and the first-stage model is not documented to the level of version and temperature. The two human coders agree at κ = 0.51 to 0.69, which limits what any human-label comparison can show. The primary sample was redefined three times after seeing label quality and outcomes, the plans are not an independent registry, and the robustness windows we rely on were chosen after seeing them. Prior uncertainty and novelty are proxies that are not the market’s information set. The 2017–2021 samples and tariff results use model labels that humans accept for only about half of the model-agreed signals (Appendix E). The arrival-process and event-explanation analyses in Appendix D were run after the main results were seen.</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a third, independent coder who resolves disagreements without knowing the hypotheses; exchange-futures data with checked timestamps; a drift-adjusted or news-matched placebo; and a continuous measure of the physical constraint (tanker transits, insurance spreads, term structure) as a measure of prior uncertainty. A comparison between accounts of people who use posts to influence others and matched ordinary accounts is specified (Appendix A) and has not been run because suitable data have not been established.</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and escalation, by more than at comparable hours, and the model-labelled analysis that suggested a one-sided response understated the escalation response because the model over-labels escalation; a clearer codebook did not repair that. The co-movement cannot be separated from earlier drift beyond short windows, and the information-theoretic propositions we specified are not supported.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the project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[On 14 October 2026 the journal articles, the Clauset chapter, the Leetaru and Schrodt paper, Richardson (1960) and the recently added items (Angelopoulos et al., Egami et al., Gilardi et al., Grimmer and Stewart, Ziems et al.; author lists of the last two beyond the first four names from memory) were checked against Crossref, publisher or library records. The textbooks (Austin, Cameron and Trivedi, Cover and Thomas, Searle) and Holm (1979) were not machine-checked and should be confirmed against the originals before submission.]</w:t>
      </w:r>
    </w:p>
    <w:p>
      <w:pPr>
        <w:pStyle w:val="BodyText"/>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appendix-a.-analysis-plans-and-outcomes"/>
    <w:p>
      <w:pPr>
        <w:pStyle w:val="Heading2"/>
      </w:pPr>
      <w:r>
        <w:t xml:space="preserve">Appendix A. Analysis plans and outcomes</w:t>
      </w:r>
    </w:p>
    <w:p>
      <w:pPr>
        <w:pStyle w:val="FirstParagraph"/>
      </w:pPr>
      <w:r>
        <w:t xml:space="preserve">Plans are files in the authors’ repository, dated 13–14 October 2026 in the commit history; the status of each result (pre-specified, amended, exploratory) is in Table 8.</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(de-escalation +0.62 vs placebo 95th pct 0.22; escalation +0.53 vs 0.26); H8a: pre-post drift also exceeds placebo for de-escalation (+0.57, +0.86)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supported for de-escalation (p = 0.0002, 0.030); escalation +0.48% (p = 0.007)</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the project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the Department of Information System at Hanyang University,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Disagreements were adjudicated by the principal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[Record model names and versions.]</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Details are in the results file and the results file.</w:t>
      </w:r>
    </w:p>
    <w:bookmarkEnd w:id="53"/>
    <w:bookmarkStart w:id="57" w:name="X7a2b0a026ac61b487ce1e6f8f1f69ad89ee9f8b"/>
    <w:p>
      <w:pPr>
        <w:pStyle w:val="Heading2"/>
      </w:pPr>
      <w:r>
        <w:t xml:space="preserve">Appendix D. Exploratory analyses of arrival, events and other self-timed events</w:t>
      </w:r>
    </w:p>
    <w:p>
      <w:pPr>
        <w:pStyle w:val="FirstParagraph"/>
      </w:pPr>
      <w:r>
        <w:t xml:space="preserve">These analyses were run after the main results were seen. Their definitions were fixed in dated plans before the relevant data were downloaded or parsed (Appendix A), but none is confirmatory.</w:t>
      </w:r>
    </w:p>
    <w:bookmarkStart w:id="54"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4"/>
    <w:bookmarkStart w:id="55"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5"/>
    <w:bookmarkStart w:id="56"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6"/>
    <w:bookmarkEnd w:id="57"/>
    <w:bookmarkStart w:id="69"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59" name="Picture"/>
            <a:graphic>
              <a:graphicData uri="http://schemas.openxmlformats.org/drawingml/2006/picture">
                <pic:pic>
                  <pic:nvPicPr>
                    <pic:cNvPr descr="figs/fig2_event_time.png" id="60" name="Picture"/>
                    <pic:cNvPicPr>
                      <a:picLocks noChangeArrowheads="1" noChangeAspect="1"/>
                    </pic:cNvPicPr>
                  </pic:nvPicPr>
                  <pic:blipFill>
                    <a:blip r:embed="rId58"/>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2" name="Picture"/>
            <a:graphic>
              <a:graphicData uri="http://schemas.openxmlformats.org/drawingml/2006/picture">
                <pic:pic>
                  <pic:nvPicPr>
                    <pic:cNvPr descr="figs/fig3_bar_decomposition.png" id="63" name="Picture"/>
                    <pic:cNvPicPr>
                      <a:picLocks noChangeArrowheads="1" noChangeAspect="1"/>
                    </pic:cNvPicPr>
                  </pic:nvPicPr>
                  <pic:blipFill>
                    <a:blip r:embed="rId61"/>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4"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4"/>
    <w:bookmarkStart w:id="65"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5"/>
    <w:bookmarkStart w:id="66"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6"/>
    <w:bookmarkStart w:id="67"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67"/>
    <w:bookmarkStart w:id="68"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68"/>
    <w:bookmarkEnd w:id="69"/>
    <w:bookmarkEnd w:id="70"/>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58" Type="http://schemas.openxmlformats.org/officeDocument/2006/relationships/image" Target="media/rId58.png"/><Relationship Id="rId61" Type="http://schemas.openxmlformats.org/officeDocument/2006/relationships/image" Target="media/rId61.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2026-10-14T23:20:26Z</dcterms:created>
  <dcterms:modified xsi:type="dcterms:W3CDTF">2026-10-14T23:20:26Z</dcterms:modified>
</cp:coreProperties>
</file>

<file path=docProps/custom.xml><?xml version="1.0" encoding="utf-8"?>
<Properties xmlns="http://schemas.openxmlformats.org/officeDocument/2006/custom-properties" xmlns:vt="http://schemas.openxmlformats.org/officeDocument/2006/docPropsVTypes"/>
</file>