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ba40f67842dba2396149012ad07674a37e8c148"/>
    <w:p>
      <w:pPr>
        <w:pStyle w:val="Heading1"/>
      </w:pPr>
      <w:r>
        <w:t xml:space="preserve">Do Model Labels Mislead an Event Study? Presidential Posts and Oil Prices in the 2026 Hormuz Closure</w:t>
      </w:r>
    </w:p>
    <w:p>
      <w:pPr>
        <w:pStyle w:val="FirstParagraph"/>
      </w:pPr>
      <w:r>
        <w:t xml:space="preserve">[Author names and affiliations are on the separate title page.]</w:t>
      </w:r>
    </w:p>
    <w:p>
      <w:pPr>
        <w:pStyle w:val="BodyText"/>
      </w:pPr>
      <w:r>
        <w:rPr>
          <w:iCs/>
          <w:i/>
        </w:rPr>
        <w:t xml:space="preserve">Manuscript prepared for submission to MIS Quarterly (blind version). Bracketed items are placeholders to be completed before submission. Analyses carry a status given in Table 8 and Appendix A; the plans behind them are files in the authors’ repository, not entries in an independent registry.</w:t>
      </w:r>
    </w:p>
    <w:p>
      <w:r>
        <w:pict>
          <v:rect style="width:0;height:1.5pt" o:hralign="center" o:hrstd="t" o:hr="t"/>
        </w:pict>
      </w:r>
    </w:p>
    <w:bookmarkStart w:id="20" w:name="abstract"/>
    <w:p>
      <w:pPr>
        <w:pStyle w:val="Heading2"/>
      </w:pPr>
      <w:r>
        <w:t xml:space="preserve">Abstract</w:t>
      </w:r>
    </w:p>
    <w:p>
      <w:pPr>
        <w:pStyle w:val="FirstParagraph"/>
      </w:pPr>
      <w:r>
        <w:t xml:space="preserve">Heads of state announce policy on social platforms, and researchers increasingly label such posts with large language models. We ask whether the labelling changes what an event study finds, using 4,838 posts from the U.S. president’s platform (March–October 2026) and the closure of the Strait of Hormuz. Posting is overdispersed and follows volatile hours, so posting times are not exogenous. With model labels, oil fell 1.29% over two hours after de-escalation posts and did not respond to escalation posts. Two human coders then labelled all 191 war-period keyword posts (agreement κ = 0.51 to 0.69). The model’s labels agree with theirs at κ = 0.50 and over-label escalation (precision 0.49 pooled; 0.36 in the sample behind the first-stage result), and four further runs under a clearer codebook do not improve on this (κ 0.48 to 0.51). On human labels, WTI tick data show a directional move of +1.05% within 30 minutes after de-escalation posts (n = 29; median 0.47%) and +0.48% after escalation posts (n = 16), both larger than at matched placebo times. Model-labelled escalation estimates are smaller (0.17% to 0.35%); for the original labels the difference from the human estimate is detectable (p = 0.04), for the clearer codebook it is not. The move is preceded by drift and is separable from it only over 5 to 15 minutes, and two thirds of the human escalation labels were adjudicated by the investigator. A pre-specified information-theoretic account that motivated the study is not supported. Label noise attenuates event-study estimates, and agreement with human coders, not agreement between model runs, is the evidence a labelling needs before it is attached to market outcomes.</w:t>
      </w:r>
    </w:p>
    <w:p>
      <w:pPr>
        <w:pStyle w:val="BodyText"/>
      </w:pPr>
      <w:r>
        <w:rPr>
          <w:bCs/>
          <w:b/>
        </w:rPr>
        <w:t xml:space="preserve">Keywords:</w:t>
      </w:r>
      <w:r>
        <w:t xml:space="preserve"> </w:t>
      </w:r>
      <w:r>
        <w:t xml:space="preserve">social media, executive communication, event study, large language models as annotators, measurement validity, financial markets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On the evening of 7 April 2026 a post on the president’s platform announced a conditional two-week ceasefire with Iran, contingent on the reopening of the Strait of Hormuz. Oil, which had risen from about $67 to $114.6 per barrel since the first U.S. trading day of the war, fell by 12% within hours. Two weeks earlier, on 23 March, a post announcing a five-day postponement of strikes had been followed by a fall of 9.8%. Between those dates, and many times since, other posts threatened strikes, restated demands, or linked to commentary, and the market often barely moved. Whether and how platform posts relate to prices is an empirical question that depends on which posts are counted as what.</w:t>
      </w:r>
    </w:p>
    <w:p>
      <w:pPr>
        <w:pStyle w:val="BodyText"/>
      </w:pPr>
      <w:r>
        <w:t xml:space="preserve">Research on social media and markets has mostly asked whether platform content predicts prices (Bollen et al. 2011; Chen et al. 2014; for the news-media precursor, Tetlock 2007) and, from the firm’s side, how dissemination through Twitter affects market liquidity (Blankespoor et al. 2014). The closest work on presidential communication studies tweets and firm values or intraday reactions (Born et al. 2017; Ge et al. 2019). Explanations typically invoke attention (Barber and Odean 2008), rational inattention (Sims 2003), or the distinction between words and actions in central-bank communication (Gürkaynak et al. 2005). Most such studies classify text automatically, and increasingly with large language models, which can match or exceed crowd workers on some annotation tasks (Gilardi et al. 2023; Ziems et al. 2024). The text-as-data literature has long urged that automatic classifications be validated against human readings before they enter downstream inference (Grimmer and Stewart 2013), and recent work shows how imperfect machine labels bias downstream estimates unless they are corrected with a validated subsample (Egami et al. 2023; Angelopoulos et al. 2023). In applied event studies, agreement between two runs of a model is often reported as reliability; that measures consistency, not validity, and agreement with human readers is less often reported next to the market result.</w:t>
      </w:r>
    </w:p>
    <w:p>
      <w:pPr>
        <w:pStyle w:val="BodyText"/>
      </w:pPr>
      <w:r>
        <w:t xml:space="preserve">We use the Hormuz closure to study that gap. The setting is favorable because one physical state (strait open or closed) dominated the news for months, because the president posted frequently about it, and because oil was priced continuously. We make four contributions. First, we document that posting is overdispersed and follows volatile hours, so event studies that treat posting times as random are fragile. Second, we show how the labelling changes the event-study answer. A model-labelled analysis found a response to de-escalation posts and none to escalation posts. Two human coders labelled all 191 war-period keyword posts; against them the model over-labels escalation, and four further model runs under the clearer codebook the humans used do not close the gap. On human labels both classes are followed by a directional move in oil, larger than at matched placebo times. The escalation response is attenuated under every model label set we tried, and for the original labels the difference from the human estimate is detectable; for the clearer-codebook labels it is not. Third, we report which part of the human-label result is robust (the direction of the post-period move) and which is not (its separation from pre-post drift beyond short windows, and the escalation result’s dependence on the investigator’s adjudication). Fourth, we report a test of an information-theoretic account that motivated the study; its pre-specified propositions are not supported. The paper does not identify a causal effect of posts on prices.</w:t>
      </w:r>
    </w:p>
    <w:p>
      <w:pPr>
        <w:pStyle w:val="BodyText"/>
      </w:pPr>
      <w:r>
        <w:t xml:space="preserve">Section 2 states the account and its propositions. Section 3 describes the data and design. Section 4 reports results. Section 5 discusses contributions and limits, and Section 6 concludes. Exploratory and model-labelled analyses are in the appendices.</w:t>
      </w:r>
    </w:p>
    <w:bookmarkEnd w:id="21"/>
    <w:bookmarkStart w:id="22" w:name="an-information-theoretic-motivation"/>
    <w:p>
      <w:pPr>
        <w:pStyle w:val="Heading2"/>
      </w:pPr>
      <w:r>
        <w:t xml:space="preserve">2. An Information-Theoretic Motivation</w:t>
      </w:r>
    </w:p>
    <w:p>
      <w:pPr>
        <w:pStyle w:val="FirstParagraph"/>
      </w:pPr>
      <w:r>
        <w:t xml:space="preserve">When the author of a message is also the decision-maker, the message may be the decision’s first public form (Austin 1962; Searle 1969). A platform lowers the cost of producing messages and removes intermediaries that would filter or confirm them, so receivers must infer the channel’s reliability (Crawford and Sobel 1982; Kamenica and Gentzkow 2011). Information theory offers a vocabulary for this (Shannon 1948; Cover and Thomas 2006). Let S be a state the market cares about (here, whether Hormuz transit is open), with prior π and entropy H(π). A message that changes the belief to π′ conveys KL(π′ ‖ π) (Kullback and Leibler 1951). Three implications follow in expectation. A message that is unlikely under π, and not a repeat of earlier messages, should produce a larger update (surprisal and redundancy). The update should be larger when H(π) is larger (prior uncertainty). And reliability should scale the update. These are statements about the</w:t>
      </w:r>
      <w:r>
        <w:t xml:space="preserve"> </w:t>
      </w:r>
      <w:r>
        <w:rPr>
          <w:iCs/>
          <w:i/>
        </w:rPr>
        <w:t xml:space="preserve">size</w:t>
      </w:r>
      <w:r>
        <w:t xml:space="preserve"> </w:t>
      </w:r>
      <w:r>
        <w:t xml:space="preserve">of a reaction, not its sign.</w:t>
      </w:r>
    </w:p>
    <w:p>
      <w:pPr>
        <w:pStyle w:val="BodyText"/>
      </w:pPr>
      <w:r>
        <w:t xml:space="preserve">We treat this as a motivation and test four propositions with operationalizations fixed in advance in repository plans:</w:t>
      </w:r>
    </w:p>
    <w:p>
      <w:pPr>
        <w:pStyle w:val="BodyText"/>
      </w:pPr>
      <w:r>
        <w:t xml:space="preserve">P1 (surprisal): |reaction| increases in the novelty of the post relative to the poster’s recent posts.</w:t>
      </w:r>
      <w:r>
        <w:t xml:space="preserve"> </w:t>
      </w:r>
      <w:r>
        <w:t xml:space="preserve">P2 (prior uncertainty): |reaction| increases in the market’s prior uncertainty.</w:t>
      </w:r>
      <w:r>
        <w:t xml:space="preserve"> </w:t>
      </w:r>
      <w:r>
        <w:t xml:space="preserve">P3 (interaction): the effect of novelty is larger when prior uncertainty is higher.</w:t>
      </w:r>
      <w:r>
        <w:t xml:space="preserve"> </w:t>
      </w:r>
      <w:r>
        <w:t xml:space="preserve">P4 (information transfer): the mutual information between post class and the direction of the subsequent price move is positive when prior uncertainty about the relevant state is high and close to zero otherwise.</w:t>
      </w:r>
    </w:p>
    <w:p>
      <w:pPr>
        <w:pStyle w:val="BodyText"/>
      </w:pPr>
      <w:r>
        <w:t xml:space="preserve">Three further propositions (P5, redundancy; P6, state-dependent sign; P7, timing surprisal) are examined in Appendix E. The proxies are crude. Prior uncertainty is relative volatility, not the entropy of beliefs about the strait; novelty is a lexical measure computed on the poster’s own recent text, not on the market’s information set. We therefore treat failures as failures of these tests, not of the vocabulary, and we do not claim that the account organizes the evidence.</w:t>
      </w:r>
    </w:p>
    <w:bookmarkEnd w:id="22"/>
    <w:bookmarkStart w:id="28" w:name="data-and-design"/>
    <w:p>
      <w:pPr>
        <w:pStyle w:val="Heading2"/>
      </w:pPr>
      <w:r>
        <w:t xml:space="preserve">3. Data and Design</w:t>
      </w:r>
    </w:p>
    <w:bookmarkStart w:id="23" w:name="setting-and-data"/>
    <w:p>
      <w:pPr>
        <w:pStyle w:val="Heading3"/>
      </w:pPr>
      <w:r>
        <w:t xml:space="preserve">3.1 Setting and data</w:t>
      </w:r>
    </w:p>
    <w:p>
      <w:pPr>
        <w:pStyle w:val="FirstParagraph"/>
      </w:pPr>
      <w:r>
        <w:t xml:space="preserve">The war that began on Saturday 28 February 2026 provides a topic on which the president posted frequently, a physical constraint (the strait was effectively closed from early March), and a commodity market in which the constraint was priced continuously. The first U.S. trading day was 2 March. WTI rose from about $67 to $114.6 by 7 April and was near $96 at the end of the sample.</w:t>
      </w:r>
    </w:p>
    <w:p>
      <w:pPr>
        <w:pStyle w:val="BodyText"/>
      </w:pPr>
      <w:r>
        <w:rPr>
          <w:iCs/>
          <w:i/>
        </w:rPr>
        <w:t xml:space="preserve">Posts.</w:t>
      </w:r>
      <w:r>
        <w:t xml:space="preserve"> </w:t>
      </w:r>
      <w:r>
        <w:t xml:space="preserve">We use the CNN-maintained archive of the president’s posts. Between 1 March and 13 October 2026 there are 4,838 original posts after removing pure re-posts; 373 mention Iran, and 108 mention Iran with a threat term. A keyword-selected set of 191 war-period posts is the frame for classification.</w:t>
      </w:r>
      <w:r>
        <w:t xml:space="preserve"> </w:t>
      </w:r>
      <w:r>
        <w:rPr>
          <w:iCs/>
          <w:i/>
        </w:rPr>
        <w:t xml:space="preserve">Markets.</w:t>
      </w:r>
      <w:r>
        <w:t xml:space="preserve"> </w:t>
      </w:r>
      <w:r>
        <w:t xml:space="preserve">Hourly bars for WTI and Brent, E-mini S&amp;P 500 and ten-year Treasury futures, the dollar index, USD/CNH, USD/KRW, gold and several equities cover October 2024 to October 2026. For timing we use tick quotes (mid price and bid–ask spread) for a WTI crude CFD from Dukascopy, 2017–2026 (hourly returns correlate 0.999 with the futures series). A price at time t is the mid of the last tick before t, accepted only if that tick is no more than ten minutes old; all windows used in the tick results have a tick no more than two minutes old.</w:t>
      </w:r>
    </w:p>
    <w:bookmarkEnd w:id="23"/>
    <w:bookmarkStart w:id="24" w:name="classifying-posts"/>
    <w:p>
      <w:pPr>
        <w:pStyle w:val="Heading3"/>
      </w:pPr>
      <w:r>
        <w:t xml:space="preserve">3.2 Classifying posts</w:t>
      </w:r>
    </w:p>
    <w:p>
      <w:pPr>
        <w:pStyle w:val="FirstParagraph"/>
      </w:pPr>
      <w:r>
        <w:rPr>
          <w:iCs/>
          <w:i/>
        </w:rPr>
        <w:t xml:space="preserve">Model labels, first stage.</w:t>
      </w:r>
      <w:r>
        <w:t xml:space="preserve"> </w:t>
      </w:r>
      <w:r>
        <w:t xml:space="preserve">Each post was classified by two independent runs of a large language model that received only the post text, for direction (escalation, de-escalation, mixed, other). The two runs are copies of one model [record model name, version and temperature]; their agreement (κ = 0.74 on the human-validation sample, 0.62–0.96 elsewhere) measures consistency. The first-stage analysis (Section 4.2) uses the first run’s labels (</w:t>
      </w:r>
      <w:r>
        <w:t xml:space="preserve">“</w:t>
      </w:r>
      <w:r>
        <w:t xml:space="preserve">model 1</w:t>
      </w:r>
      <w:r>
        <w:t xml:space="preserve">”</w:t>
      </w:r>
      <w:r>
        <w:t xml:space="preserve">). The model had not been given the codebook the human coders later used (Appendix B).</w:t>
      </w:r>
    </w:p>
    <w:p>
      <w:pPr>
        <w:pStyle w:val="BodyText"/>
      </w:pPr>
      <w:r>
        <w:rPr>
          <w:iCs/>
          <w:i/>
        </w:rPr>
        <w:t xml:space="preserve">Model labels, codebook v2.</w:t>
      </w:r>
      <w:r>
        <w:t xml:space="preserve"> </w:t>
      </w:r>
      <w:r>
        <w:t xml:space="preserve">After human validation we re-labelled all 191 war-period posts with four blind runs (three model sizes and a repeat of one) that received the human codebook v2 and the post texts as the humans saw them, in a different random order per run, and nothing else (Section 4.4; Appendix B). Their majority label is</w:t>
      </w:r>
      <w:r>
        <w:t xml:space="preserve"> </w:t>
      </w:r>
      <w:r>
        <w:t xml:space="preserve">“</w:t>
      </w:r>
      <w:r>
        <w:t xml:space="preserve">v2 majority</w:t>
      </w:r>
      <w:r>
        <w:t xml:space="preserve">”</w:t>
      </w:r>
      <w:r>
        <w:t xml:space="preserve">.</w:t>
      </w:r>
    </w:p>
    <w:p>
      <w:pPr>
        <w:pStyle w:val="BodyText"/>
      </w:pPr>
      <w:r>
        <w:rPr>
          <w:iCs/>
          <w:i/>
        </w:rPr>
        <w:t xml:space="preserve">Human labels.</w:t>
      </w:r>
      <w:r>
        <w:t xml:space="preserve"> </w:t>
      </w:r>
      <w:r>
        <w:t xml:space="preserve">Two human coders labelled the posts independently from the text alone in three rounds (Section 4.3), and agreement is reported as Cohen’s (1960) kappa. Disagreements were adjudicated from the text by the principal investigator, who knew the research question; 23.6% of all final labels, and 66% of the final escalation labels, are adjudicated (11% of the de-escalation labels). We report the coder-consensus subsample and the adjudicated subsample separately (Section 4.5). The two coders were doctoral students in information systems at the authors’ university with extensive training in the field, and both belong to the authors’ department; neither had seen market data or had a particular interest in oil prices. They did not know the research question; because the war was a widely reported event, they remembered its course, and the labels may reflect that knowledge.</w:t>
      </w:r>
    </w:p>
    <w:bookmarkEnd w:id="24"/>
    <w:bookmarkStart w:id="25" w:name="outcomes"/>
    <w:p>
      <w:pPr>
        <w:pStyle w:val="Heading3"/>
      </w:pPr>
      <w:r>
        <w:t xml:space="preserve">3.3 Outcomes</w:t>
      </w:r>
    </w:p>
    <w:p>
      <w:pPr>
        <w:pStyle w:val="FirstParagraph"/>
      </w:pPr>
      <w:r>
        <w:t xml:space="preserve">The hourly outcome is the log change from the open of the bar containing the post to the close of the next bar (two hours), signed so that positive values are in the direction the post implies. The tick outcome is the directional log return from the last tick before the post to 5, 15, 30 or 60 minutes after, and the same window before the post for comparison; the 30-minute window is primary. A post is dropped if another of the 191 posts occurred in the previous three hours (cluster filter), or if the market was not open (no tick within ten minutes) at the post time or 30 minutes later. The magnitude outcome used for the propositions is |z|, the absolute return divided by the volatility of the preceding 300 bars (hourly) or of the preceding 60 daily returns scaled to the window (tick-level samples).</w:t>
      </w:r>
    </w:p>
    <w:bookmarkEnd w:id="25"/>
    <w:bookmarkStart w:id="26" w:name="measures-of-information"/>
    <w:p>
      <w:pPr>
        <w:pStyle w:val="Heading3"/>
      </w:pPr>
      <w:r>
        <w:t xml:space="preserve">3.4 Measures of information</w:t>
      </w:r>
    </w:p>
    <w:p>
      <w:pPr>
        <w:pStyle w:val="FirstParagraph"/>
      </w:pPr>
      <w:r>
        <w:rPr>
          <w:iCs/>
          <w:i/>
        </w:rPr>
        <w:t xml:space="preserve">Novelty</w:t>
      </w:r>
      <w:r>
        <w:t xml:space="preserve"> </w:t>
      </w:r>
      <w:r>
        <w:t xml:space="preserve">N_c is a conditional compression ratio: the compressed length of the post appended to the account’s last 30,000 characters of posts from the preceding seven days, minus the compressed length of that context, divided by the compressed length of the post alone. A TF-IDF measure (one minus the maximum cosine similarity to any post in the previous seven days) is a robustness check.</w:t>
      </w:r>
      <w:r>
        <w:t xml:space="preserve"> </w:t>
      </w:r>
      <w:r>
        <w:rPr>
          <w:iCs/>
          <w:i/>
        </w:rPr>
        <w:t xml:space="preserve">Prior uncertainty</w:t>
      </w:r>
      <w:r>
        <w:t xml:space="preserve"> </w:t>
      </w:r>
      <w:r>
        <w:t xml:space="preserve">U is the log ratio of the standard deviation of the previous 24 one-bar returns to that of the previous 300 in the post’s primary asset.</w:t>
      </w:r>
      <w:r>
        <w:t xml:space="preserve"> </w:t>
      </w:r>
      <w:r>
        <w:rPr>
          <w:iCs/>
          <w:i/>
        </w:rPr>
        <w:t xml:space="preserve">Mutual information</w:t>
      </w:r>
      <w:r>
        <w:t xml:space="preserve"> </w:t>
      </w:r>
      <w:r>
        <w:t xml:space="preserve">is estimated between post class (de-escalation, escalation, none) and the sign of the two-hour return over all war-period bars, with a permutation null. U shares the long-run volatility denominator with |z|, so a positive coefficient is also what volatility persistence predicts; we return to this in Section 4.6.</w:t>
      </w:r>
    </w:p>
    <w:bookmarkEnd w:id="26"/>
    <w:bookmarkStart w:id="27" w:name="status-of-analyses"/>
    <w:p>
      <w:pPr>
        <w:pStyle w:val="Heading3"/>
      </w:pPr>
      <w:r>
        <w:t xml:space="preserve">3.5 Status of analyses</w:t>
      </w:r>
    </w:p>
    <w:p>
      <w:pPr>
        <w:pStyle w:val="FirstParagraph"/>
      </w:pPr>
      <w:r>
        <w:t xml:space="preserve">Each analysis had a written plan committed to the repository before estimation, and plans state what had already been seen; we call such results pre-specified, not pre-specified. The repository is not an independent registry, many plans were written after related results were seen, several were amended after a first result, and commit dates cluster on 13–14 October 2026. We follow the argument for pre-registration in observational work with many analytic choices (Nosek et al. 2018), but use the plans as a transparency device and classify every reported result as pre-specified (the plan preceded the relevant outcome and was not amended), amended, exploratory or post hoc (Table 8). Holm’s (1979) sequential procedure is applied within families defined in the plans (Appendix A); other p-values are unadjusted and reported as such. The human-label headline was not the original plan: a first pass with keyword classes, and then model labels, proved misleading, and the primary sample was redefined three times (33 model-labelled posts; 25 posts after round 2; 29 and 16 posts after round 3), each time after label quality or outcomes were known. The earlier versions are reported in Section 4 and the model re-labelling of Section 4.4 and the robustness variants of Section 4.5 were planned before they were computed.</w:t>
      </w:r>
    </w:p>
    <w:bookmarkEnd w:id="27"/>
    <w:bookmarkEnd w:id="28"/>
    <w:bookmarkStart w:id="42" w:name="results"/>
    <w:p>
      <w:pPr>
        <w:pStyle w:val="Heading2"/>
      </w:pPr>
      <w:r>
        <w:t xml:space="preserve">4. Results</w:t>
      </w:r>
    </w:p>
    <w:bookmarkStart w:id="32" w:name="X846a5653a17f0c273f64b07625f3593c9972ed3"/>
    <w:p>
      <w:pPr>
        <w:pStyle w:val="Heading3"/>
      </w:pPr>
      <w:r>
        <w:t xml:space="preserve">4.1 Posting is overdispersed and follows volatile hours</w:t>
      </w:r>
    </w:p>
    <w:p>
      <w:pPr>
        <w:pStyle w:val="FirstParagraph"/>
      </w:pPr>
      <w:r>
        <w:t xml:space="preserve">For the 108 posts that mention Iran with a threat term, daily counts have mean 0.48 and variance 0.74; the Pearson dispersion statistic is 350 on 226 degrees of freedom (p &lt; 0.001), and a negative binomial (Cameron and Trivedi 2013) with size 0.79 fits much better than a Poisson (LR p = 3 × 10⁻⁶). Inter-arrival times are bursty (mean 51 hours, median 21, coefficient of variation 1.94; exponential: 1). The overdispersion is not an artifact of the keyword class: among the model-labelled classes of war-period posts (a wider keyword set than the 108 threat-term posts), de-escalation posts (57) have a dispersion statistic of 367 and escalation posts (60) 430 (all p &lt; 10⁻⁸). Posting is also not independent of market conditions. In an hourly logit over 3,605 war-period bars, the absolute prior six-hour oil return predicts a de-escalation post (coefficient 0.115, p = 0.033) and an escalation post (0.144, p = 0.024); the signed prior return does not (p = 0.32 and 0.18). Posts follow volatile hours, so posting times cannot be treated as random for identification. A homogeneous Poisson process is rejected in every series we examined, including 2017–2021 Twitter and a second account, and daily conflict events remove at most a quarter of the dispersion (Appendix D).</w:t>
      </w:r>
    </w:p>
    <w:p>
      <w:pPr>
        <w:pStyle w:val="CaptionedFigure"/>
      </w:pPr>
      <w:r>
        <w:drawing>
          <wp:inline>
            <wp:extent cx="5334000" cy="2066925"/>
            <wp:effectExtent b="0" l="0" r="0" t="0"/>
            <wp:docPr descr="Figure 1" title="" id="30" name="Picture"/>
            <a:graphic>
              <a:graphicData uri="http://schemas.openxmlformats.org/drawingml/2006/picture">
                <pic:pic>
                  <pic:nvPicPr>
                    <pic:cNvPr descr="figs/fig1_arrivals.png" id="31" name="Picture"/>
                    <pic:cNvPicPr>
                      <a:picLocks noChangeArrowheads="1" noChangeAspect="1"/>
                    </pic:cNvPicPr>
                  </pic:nvPicPr>
                  <pic:blipFill>
                    <a:blip r:embed="rId29"/>
                    <a:stretch>
                      <a:fillRect/>
                    </a:stretch>
                  </pic:blipFill>
                  <pic:spPr bwMode="auto">
                    <a:xfrm>
                      <a:off x="0" y="0"/>
                      <a:ext cx="5334000" cy="2066925"/>
                    </a:xfrm>
                    <a:prstGeom prst="rect">
                      <a:avLst/>
                    </a:prstGeom>
                    <a:noFill/>
                    <a:ln w="9525">
                      <a:noFill/>
                      <a:headEnd/>
                      <a:tailEnd/>
                    </a:ln>
                  </pic:spPr>
                </pic:pic>
              </a:graphicData>
            </a:graphic>
          </wp:inline>
        </w:drawing>
      </w:r>
    </w:p>
    <w:p>
      <w:pPr>
        <w:pStyle w:val="ImageCaption"/>
      </w:pPr>
      <w:r>
        <w:t xml:space="preserve">Figure 1</w:t>
      </w:r>
    </w:p>
    <w:p>
      <w:pPr>
        <w:pStyle w:val="BodyText"/>
      </w:pPr>
      <w:r>
        <w:rPr>
          <w:iCs/>
          <w:i/>
        </w:rPr>
        <w:t xml:space="preserve">Figure 1. Iran-related posts with threat terms (n = 108). A: observed daily counts versus Poisson and negative binomial fits. B: weekly counts.</w:t>
      </w:r>
    </w:p>
    <w:bookmarkEnd w:id="32"/>
    <w:bookmarkStart w:id="33" w:name="first-stage-model-labels"/>
    <w:p>
      <w:pPr>
        <w:pStyle w:val="Heading3"/>
      </w:pPr>
      <w:r>
        <w:t xml:space="preserve">4.2 First stage: model labels</w:t>
      </w:r>
    </w:p>
    <w:p>
      <w:pPr>
        <w:pStyle w:val="FirstParagraph"/>
      </w:pPr>
      <w:r>
        <w:t xml:space="preserve">With the first model run’s labels, WTI fell by 1.29% in the two hours after a de-escalation post (n = 33; median 0.31%; 24 of 33 declines; sign test p = 0.007; Wilcoxon p = 0.005; week-block bootstrap 95% CI 0.43 to 2.27, 16 weeks). Two events (23 March, −9.8%; 7 April, −12.0%) account for half of the summed move; without them the mean is 0.67% and the median 0.30%. Brent fell by 1.21% and USD/KRW by 0.14%; after the same posts Treasury futures rose 0.10% (Holm-adjusted p = 0.004), the dollar index fell 0.11% (p = 0.014) and USD/CNH fell 0.04% (p = 0.02). These responses are measured on the same events and share a common oil and geopolitical factor; they are one finding in several assets. Posts labelled escalation by the model (n = 28) showed no response (WTI −0.02%; week-block CI −0.58 to 0.35), and the difference between the two classes was 1.31 points (permutation p = 0.011; rank-based p = 0.051).</w:t>
      </w:r>
    </w:p>
    <w:p>
      <w:pPr>
        <w:pStyle w:val="BodyText"/>
      </w:pPr>
      <w:r>
        <w:t xml:space="preserve">At hourly resolution the post cannot be separated from what came before it. The return in the hour before the post bar is already +0.36% in the direction of the post (p = 0.10), and the first full hour after it adds +0.34% (p = 0.18, the revised primary statistic, not supported); the paired difference is −0.02%. Of 20 cases examined against contemporaneous market-wire coverage, all show other reported drivers. We therefore describe the finding as co-movement. Whether the model’s asymmetry between classes was real depended on the validity of its labels, which we then tested (Figure E1 in Appendix E shows the model-labelled paths).</w:t>
      </w:r>
    </w:p>
    <w:bookmarkEnd w:id="33"/>
    <w:bookmarkStart w:id="34" w:name="human-validation-of-the-labels"/>
    <w:p>
      <w:pPr>
        <w:pStyle w:val="Heading3"/>
      </w:pPr>
      <w:r>
        <w:t xml:space="preserve">4.3 Human validation of the labels</w:t>
      </w:r>
    </w:p>
    <w:p>
      <w:pPr>
        <w:pStyle w:val="FirstParagraph"/>
      </w:pPr>
      <w:r>
        <w:t xml:space="preserve">In round 1, two human coders labelled 150 posts (67 from the war period, 23 pre-war Iran posts, 60 other oil-related posts). They agree at κ = 0.51; against the 97 posts on which both humans agree, the two model runs reach κ = 0.43 and 0.56 (moderate by our prior criteria), while agreeing with each other at κ = 0.74. The dominant error is a model de-escalation label where humans see an unrelated post (de-escalation precision about 0.52 and 0.54; recall 0.77 and 0.88). In round 2, the coders labelled all 61 war-period signal posts, the posts that the model had flagged and that the first-stage result rests on, with a clarified codebook (demands and ultimatums without an announced pause are escalation; de-escalation requires an announced pause, agreement, progress or reopening): humans agree at κ = 0.69, 13 disagreements were adjudicated, and the first model run agrees with the final labels at κ = 0.29. In round 3, the remaining 130 war-period keyword posts were labelled (humans κ = 0.61 on 129 posts with two labels). Across all 191 posts the final human labels are 79 other, 46 de-escalation, 41 escalation and 25 mixed; of 71 posts that the model called other or mixed, 14 (20%) are escalation or de-escalation for humans, so the model also misses signals.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Round</w:t>
            </w:r>
          </w:p>
        </w:tc>
        <w:tc>
          <w:tcPr/>
          <w:p>
            <w:pPr>
              <w:pStyle w:val="Compact"/>
              <w:jc w:val="left"/>
            </w:pPr>
            <w:r>
              <w:t xml:space="preserve">Posts</w:t>
            </w:r>
          </w:p>
        </w:tc>
        <w:tc>
          <w:tcPr/>
          <w:p>
            <w:pPr>
              <w:pStyle w:val="Compact"/>
              <w:jc w:val="left"/>
            </w:pPr>
            <w:r>
              <w:t xml:space="preserve">Human–human κ</w:t>
            </w:r>
          </w:p>
        </w:tc>
        <w:tc>
          <w:tcPr/>
          <w:p>
            <w:pPr>
              <w:pStyle w:val="Compact"/>
              <w:jc w:val="left"/>
            </w:pPr>
            <w:r>
              <w:t xml:space="preserve">Model 1 vs humans κ</w:t>
            </w:r>
          </w:p>
        </w:tc>
        <w:tc>
          <w:tcPr/>
          <w:p>
            <w:pPr>
              <w:pStyle w:val="Compact"/>
              <w:jc w:val="left"/>
            </w:pPr>
            <w:r>
              <w:t xml:space="preserve">Model 1 escalation precision</w:t>
            </w:r>
          </w:p>
        </w:tc>
        <w:tc>
          <w:tcPr/>
          <w:p>
            <w:pPr>
              <w:pStyle w:val="Compact"/>
              <w:jc w:val="left"/>
            </w:pPr>
            <w:r>
              <w:t xml:space="preserve">Model 1 de-escalation precision</w:t>
            </w:r>
          </w:p>
        </w:tc>
      </w:tr>
      <w:tr>
        <w:tc>
          <w:tcPr/>
          <w:p>
            <w:pPr>
              <w:pStyle w:val="Compact"/>
              <w:jc w:val="left"/>
            </w:pPr>
            <w:r>
              <w:t xml:space="preserve">1</w:t>
            </w:r>
          </w:p>
        </w:tc>
        <w:tc>
          <w:tcPr/>
          <w:p>
            <w:pPr>
              <w:pStyle w:val="Compact"/>
              <w:jc w:val="left"/>
            </w:pPr>
            <w:r>
              <w:t xml:space="preserve">150</w:t>
            </w:r>
          </w:p>
        </w:tc>
        <w:tc>
          <w:tcPr/>
          <w:p>
            <w:pPr>
              <w:pStyle w:val="Compact"/>
              <w:jc w:val="left"/>
            </w:pPr>
            <w:r>
              <w:t xml:space="preserve">0.51</w:t>
            </w:r>
          </w:p>
        </w:tc>
        <w:tc>
          <w:tcPr/>
          <w:p>
            <w:pPr>
              <w:pStyle w:val="Compact"/>
              <w:jc w:val="left"/>
            </w:pPr>
            <w:r>
              <w:t xml:space="preserve">0.43 (97 consensus posts)</w:t>
            </w:r>
          </w:p>
        </w:tc>
        <w:tc>
          <w:tcPr/>
          <w:p>
            <w:pPr>
              <w:pStyle w:val="Compact"/>
              <w:jc w:val="left"/>
            </w:pPr>
            <w:r>
              <w:t xml:space="preserve">not computed</w:t>
            </w:r>
          </w:p>
        </w:tc>
        <w:tc>
          <w:tcPr/>
          <w:p>
            <w:pPr>
              <w:pStyle w:val="Compact"/>
              <w:jc w:val="left"/>
            </w:pPr>
            <w:r>
              <w:t xml:space="preserve">0.52</w:t>
            </w:r>
          </w:p>
        </w:tc>
      </w:tr>
      <w:tr>
        <w:tc>
          <w:tcPr/>
          <w:p>
            <w:pPr>
              <w:pStyle w:val="Compact"/>
              <w:jc w:val="left"/>
            </w:pPr>
            <w:r>
              <w:t xml:space="preserve">2</w:t>
            </w:r>
          </w:p>
        </w:tc>
        <w:tc>
          <w:tcPr/>
          <w:p>
            <w:pPr>
              <w:pStyle w:val="Compact"/>
              <w:jc w:val="left"/>
            </w:pPr>
            <w:r>
              <w:t xml:space="preserve">61</w:t>
            </w:r>
          </w:p>
        </w:tc>
        <w:tc>
          <w:tcPr/>
          <w:p>
            <w:pPr>
              <w:pStyle w:val="Compact"/>
              <w:jc w:val="left"/>
            </w:pPr>
            <w:r>
              <w:t xml:space="preserve">0.69</w:t>
            </w:r>
          </w:p>
        </w:tc>
        <w:tc>
          <w:tcPr/>
          <w:p>
            <w:pPr>
              <w:pStyle w:val="Compact"/>
              <w:jc w:val="left"/>
            </w:pPr>
            <w:r>
              <w:t xml:space="preserve">0.29</w:t>
            </w:r>
          </w:p>
        </w:tc>
        <w:tc>
          <w:tcPr/>
          <w:p>
            <w:pPr>
              <w:pStyle w:val="Compact"/>
              <w:jc w:val="left"/>
            </w:pPr>
            <w:r>
              <w:t xml:space="preserve">0.36 (10 of 28)</w:t>
            </w:r>
          </w:p>
        </w:tc>
        <w:tc>
          <w:tcPr/>
          <w:p>
            <w:pPr>
              <w:pStyle w:val="Compact"/>
              <w:jc w:val="left"/>
            </w:pPr>
            <w:r>
              <w:t xml:space="preserve">0.64 (21 of 33)</w:t>
            </w:r>
          </w:p>
        </w:tc>
      </w:tr>
      <w:tr>
        <w:tc>
          <w:tcPr/>
          <w:p>
            <w:pPr>
              <w:pStyle w:val="Compact"/>
              <w:jc w:val="left"/>
            </w:pPr>
            <w:r>
              <w:t xml:space="preserve">3</w:t>
            </w:r>
          </w:p>
        </w:tc>
        <w:tc>
          <w:tcPr/>
          <w:p>
            <w:pPr>
              <w:pStyle w:val="Compact"/>
              <w:jc w:val="left"/>
            </w:pPr>
            <w:r>
              <w:t xml:space="preserve">130</w:t>
            </w:r>
          </w:p>
        </w:tc>
        <w:tc>
          <w:tcPr/>
          <w:p>
            <w:pPr>
              <w:pStyle w:val="Compact"/>
              <w:jc w:val="left"/>
            </w:pPr>
            <w:r>
              <w:t xml:space="preserve">0.61</w:t>
            </w:r>
          </w:p>
        </w:tc>
        <w:tc>
          <w:tcPr/>
          <w:p>
            <w:pPr>
              <w:pStyle w:val="Compact"/>
              <w:jc w:val="left"/>
            </w:pPr>
            <w:r>
              <w:t xml:space="preserve">0.55</w:t>
            </w:r>
          </w:p>
        </w:tc>
        <w:tc>
          <w:tcPr/>
          <w:p>
            <w:pPr>
              <w:pStyle w:val="Compact"/>
              <w:jc w:val="left"/>
            </w:pPr>
            <w:r>
              <w:t xml:space="preserve">0.60 (21 of 35)</w:t>
            </w:r>
          </w:p>
        </w:tc>
        <w:tc>
          <w:tcPr/>
          <w:p>
            <w:pPr>
              <w:pStyle w:val="Compact"/>
              <w:jc w:val="left"/>
            </w:pPr>
            <w:r>
              <w:t xml:space="preserve">0.58 (14 of 24)</w:t>
            </w:r>
          </w:p>
        </w:tc>
      </w:tr>
      <w:tr>
        <w:tc>
          <w:tcPr/>
          <w:p>
            <w:pPr>
              <w:pStyle w:val="Compact"/>
              <w:jc w:val="left"/>
            </w:pPr>
            <w:r>
              <w:t xml:space="preserve">Rounds 2–3, all war-period posts</w:t>
            </w:r>
          </w:p>
        </w:tc>
        <w:tc>
          <w:tcPr/>
          <w:p>
            <w:pPr>
              <w:pStyle w:val="Compact"/>
              <w:jc w:val="left"/>
            </w:pPr>
            <w:r>
              <w:t xml:space="preserve">191</w:t>
            </w:r>
          </w:p>
        </w:tc>
        <w:tc>
          <w:tcPr/>
          <w:p>
            <w:pPr>
              <w:pStyle w:val="Compact"/>
              <w:jc w:val="left"/>
            </w:pPr>
            <w:r>
              <w:t xml:space="preserve">0.67</w:t>
            </w:r>
          </w:p>
        </w:tc>
        <w:tc>
          <w:tcPr/>
          <w:p>
            <w:pPr>
              <w:pStyle w:val="Compact"/>
              <w:jc w:val="left"/>
            </w:pPr>
            <w:r>
              <w:t xml:space="preserve">0.50</w:t>
            </w:r>
          </w:p>
        </w:tc>
        <w:tc>
          <w:tcPr/>
          <w:p>
            <w:pPr>
              <w:pStyle w:val="Compact"/>
              <w:jc w:val="left"/>
            </w:pPr>
            <w:r>
              <w:t xml:space="preserve">0.49 (31 of 63)</w:t>
            </w:r>
          </w:p>
        </w:tc>
        <w:tc>
          <w:tcPr/>
          <w:p>
            <w:pPr>
              <w:pStyle w:val="Compact"/>
              <w:jc w:val="left"/>
            </w:pPr>
            <w:r>
              <w:t xml:space="preserve">0.61 (35 of 57)</w:t>
            </w:r>
          </w:p>
        </w:tc>
      </w:tr>
    </w:tbl>
    <w:p>
      <w:pPr>
        <w:pStyle w:val="BodyText"/>
      </w:pPr>
      <w:r>
        <w:rPr>
          <w:iCs/>
          <w:i/>
        </w:rPr>
        <w:t xml:space="preserve">Table 1. Agreement between human coders and between model 1 and the final human labels. In round 1 the second model run reaches κ = 0.56.</w:t>
      </w:r>
    </w:p>
    <w:p>
      <w:pPr>
        <w:pStyle w:val="BodyText"/>
      </w:pPr>
      <w:r>
        <w:t xml:space="preserve">The 36% escalation precision that drove the first-stage reading is a round-2 figure on posts that the model itself had selected as signals; pooled over all war-period posts it is 49%, so about half of the model’s escalation labels are escalation in human judgment, not nearly two thirds wrong. κ is also sensitive to class prevalence (79 of 191 posts are</w:t>
      </w:r>
      <w:r>
        <w:t xml:space="preserve"> </w:t>
      </w:r>
      <w:r>
        <w:t xml:space="preserve">“</w:t>
      </w:r>
      <w:r>
        <w:t xml:space="preserve">other</w:t>
      </w:r>
      <w:r>
        <w:t xml:space="preserve">”</w:t>
      </w:r>
      <w:r>
        <w:t xml:space="preserve">), and we therefore report Gwet’s AC1 alongside it in Table 2.</w:t>
      </w:r>
    </w:p>
    <w:bookmarkEnd w:id="34"/>
    <w:bookmarkStart w:id="35" w:name="X2e50dca0591954eef904e823f77d6e21035479b"/>
    <w:p>
      <w:pPr>
        <w:pStyle w:val="Heading3"/>
      </w:pPr>
      <w:r>
        <w:t xml:space="preserve">4.4 Does a clearer codebook repair the model labels?</w:t>
      </w:r>
    </w:p>
    <w:p>
      <w:pPr>
        <w:pStyle w:val="FirstParagraph"/>
      </w:pPr>
      <w:r>
        <w:t xml:space="preserve">The human coders used codebook v2, written after round 1 showed where the model had gone wrong, whereas model 1 never saw it, so the gap could reflect the prompt. We tested this with four blind re-runs under codebook v2 (opus, sonnet, haiku and a repeat of sonnet; plan written before the labels were seen; Section 3.2). The runs agree with each other at κ 0.69 to 0.84, and with the humans at κ = 0.48 to 0.51 over all 191 posts, no better than model 1 (Table 2). The codebook raised agreement in round 2 (κ 0.29 to 0.37–0.45) and not over the full set. The persistent pattern is over-labelling of escalation: the humans call 41 posts escalation, each run calls 73 to 85, with precision 0.45 to 0.48 and recall 0.85 to 0.93. By the rule fixed in advance (a prompt explanation would require κ ≥ 0.60 and escalation precision ≥ 0.70), the first-stage failure is not a prompt problem.</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Labels</w:t>
            </w:r>
          </w:p>
        </w:tc>
        <w:tc>
          <w:tcPr/>
          <w:p>
            <w:pPr>
              <w:pStyle w:val="Compact"/>
              <w:jc w:val="left"/>
            </w:pPr>
            <w:r>
              <w:t xml:space="preserve">κ (95% CI)</w:t>
            </w:r>
          </w:p>
        </w:tc>
        <w:tc>
          <w:tcPr/>
          <w:p>
            <w:pPr>
              <w:pStyle w:val="Compact"/>
              <w:jc w:val="left"/>
            </w:pPr>
            <w:r>
              <w:t xml:space="preserve">AC1</w:t>
            </w:r>
          </w:p>
        </w:tc>
        <w:tc>
          <w:tcPr/>
          <w:p>
            <w:pPr>
              <w:pStyle w:val="Compact"/>
              <w:jc w:val="left"/>
            </w:pPr>
            <w:r>
              <w:t xml:space="preserve">Escalation predicted</w:t>
            </w:r>
          </w:p>
        </w:tc>
        <w:tc>
          <w:tcPr/>
          <w:p>
            <w:pPr>
              <w:pStyle w:val="Compact"/>
              <w:jc w:val="left"/>
            </w:pPr>
            <w:r>
              <w:t xml:space="preserve">Escalation precision / recall</w:t>
            </w:r>
          </w:p>
        </w:tc>
        <w:tc>
          <w:tcPr/>
          <w:p>
            <w:pPr>
              <w:pStyle w:val="Compact"/>
              <w:jc w:val="left"/>
            </w:pPr>
            <w:r>
              <w:t xml:space="preserve">De-escalation precision / recall</w:t>
            </w:r>
          </w:p>
        </w:tc>
      </w:tr>
      <w:tr>
        <w:tc>
          <w:tcPr/>
          <w:p>
            <w:pPr>
              <w:pStyle w:val="Compact"/>
              <w:jc w:val="left"/>
            </w:pPr>
            <w:r>
              <w:t xml:space="preserve">Model 1 (original)</w:t>
            </w:r>
          </w:p>
        </w:tc>
        <w:tc>
          <w:tcPr/>
          <w:p>
            <w:pPr>
              <w:pStyle w:val="Compact"/>
              <w:jc w:val="left"/>
            </w:pPr>
            <w:r>
              <w:t xml:space="preserve">0.50 (0.41–0.59)</w:t>
            </w:r>
          </w:p>
        </w:tc>
        <w:tc>
          <w:tcPr/>
          <w:p>
            <w:pPr>
              <w:pStyle w:val="Compact"/>
              <w:jc w:val="left"/>
            </w:pPr>
            <w:r>
              <w:t xml:space="preserve">0.53</w:t>
            </w:r>
          </w:p>
        </w:tc>
        <w:tc>
          <w:tcPr/>
          <w:p>
            <w:pPr>
              <w:pStyle w:val="Compact"/>
              <w:jc w:val="left"/>
            </w:pPr>
            <w:r>
              <w:t xml:space="preserve">63</w:t>
            </w:r>
          </w:p>
        </w:tc>
        <w:tc>
          <w:tcPr/>
          <w:p>
            <w:pPr>
              <w:pStyle w:val="Compact"/>
              <w:jc w:val="left"/>
            </w:pPr>
            <w:r>
              <w:t xml:space="preserve">0.49 / 0.76</w:t>
            </w:r>
          </w:p>
        </w:tc>
        <w:tc>
          <w:tcPr/>
          <w:p>
            <w:pPr>
              <w:pStyle w:val="Compact"/>
              <w:jc w:val="left"/>
            </w:pPr>
            <w:r>
              <w:t xml:space="preserve">0.61 / 0.76</w:t>
            </w:r>
          </w:p>
        </w:tc>
      </w:tr>
      <w:tr>
        <w:tc>
          <w:tcPr/>
          <w:p>
            <w:pPr>
              <w:pStyle w:val="Compact"/>
              <w:jc w:val="left"/>
            </w:pPr>
            <w:r>
              <w:t xml:space="preserve">v2 opus</w:t>
            </w:r>
          </w:p>
        </w:tc>
        <w:tc>
          <w:tcPr/>
          <w:p>
            <w:pPr>
              <w:pStyle w:val="Compact"/>
              <w:jc w:val="left"/>
            </w:pPr>
            <w:r>
              <w:t xml:space="preserve">0.48 (0.39–0.57)</w:t>
            </w:r>
          </w:p>
        </w:tc>
        <w:tc>
          <w:tcPr/>
          <w:p>
            <w:pPr>
              <w:pStyle w:val="Compact"/>
              <w:jc w:val="left"/>
            </w:pPr>
            <w:r>
              <w:t xml:space="preserve">0.50</w:t>
            </w:r>
          </w:p>
        </w:tc>
        <w:tc>
          <w:tcPr/>
          <w:p>
            <w:pPr>
              <w:pStyle w:val="Compact"/>
              <w:jc w:val="left"/>
            </w:pPr>
            <w:r>
              <w:t xml:space="preserve">78</w:t>
            </w:r>
          </w:p>
        </w:tc>
        <w:tc>
          <w:tcPr/>
          <w:p>
            <w:pPr>
              <w:pStyle w:val="Compact"/>
              <w:jc w:val="left"/>
            </w:pPr>
            <w:r>
              <w:t xml:space="preserve">0.45 / 0.85</w:t>
            </w:r>
          </w:p>
        </w:tc>
        <w:tc>
          <w:tcPr/>
          <w:p>
            <w:pPr>
              <w:pStyle w:val="Compact"/>
              <w:jc w:val="left"/>
            </w:pPr>
            <w:r>
              <w:t xml:space="preserve">0.68 / 0.78</w:t>
            </w:r>
          </w:p>
        </w:tc>
      </w:tr>
      <w:tr>
        <w:tc>
          <w:tcPr/>
          <w:p>
            <w:pPr>
              <w:pStyle w:val="Compact"/>
              <w:jc w:val="left"/>
            </w:pPr>
            <w:r>
              <w:t xml:space="preserve">v2 sonnet</w:t>
            </w:r>
          </w:p>
        </w:tc>
        <w:tc>
          <w:tcPr/>
          <w:p>
            <w:pPr>
              <w:pStyle w:val="Compact"/>
              <w:jc w:val="left"/>
            </w:pPr>
            <w:r>
              <w:t xml:space="preserve">0.51 (0.43–0.60)</w:t>
            </w:r>
          </w:p>
        </w:tc>
        <w:tc>
          <w:tcPr/>
          <w:p>
            <w:pPr>
              <w:pStyle w:val="Compact"/>
              <w:jc w:val="left"/>
            </w:pPr>
            <w:r>
              <w:t xml:space="preserve">0.53</w:t>
            </w:r>
          </w:p>
        </w:tc>
        <w:tc>
          <w:tcPr/>
          <w:p>
            <w:pPr>
              <w:pStyle w:val="Compact"/>
              <w:jc w:val="left"/>
            </w:pPr>
            <w:r>
              <w:t xml:space="preserve">85</w:t>
            </w:r>
          </w:p>
        </w:tc>
        <w:tc>
          <w:tcPr/>
          <w:p>
            <w:pPr>
              <w:pStyle w:val="Compact"/>
              <w:jc w:val="left"/>
            </w:pPr>
            <w:r>
              <w:t xml:space="preserve">0.45 / 0.93</w:t>
            </w:r>
          </w:p>
        </w:tc>
        <w:tc>
          <w:tcPr/>
          <w:p>
            <w:pPr>
              <w:pStyle w:val="Compact"/>
              <w:jc w:val="left"/>
            </w:pPr>
            <w:r>
              <w:t xml:space="preserve">0.76 / 0.74</w:t>
            </w:r>
          </w:p>
        </w:tc>
      </w:tr>
      <w:tr>
        <w:tc>
          <w:tcPr/>
          <w:p>
            <w:pPr>
              <w:pStyle w:val="Compact"/>
              <w:jc w:val="left"/>
            </w:pPr>
            <w:r>
              <w:t xml:space="preserve">v2 haiku</w:t>
            </w:r>
          </w:p>
        </w:tc>
        <w:tc>
          <w:tcPr/>
          <w:p>
            <w:pPr>
              <w:pStyle w:val="Compact"/>
              <w:jc w:val="left"/>
            </w:pPr>
            <w:r>
              <w:t xml:space="preserve">0.50 (0.41–0.58)</w:t>
            </w:r>
          </w:p>
        </w:tc>
        <w:tc>
          <w:tcPr/>
          <w:p>
            <w:pPr>
              <w:pStyle w:val="Compact"/>
              <w:jc w:val="left"/>
            </w:pPr>
            <w:r>
              <w:t xml:space="preserve">0.52</w:t>
            </w:r>
          </w:p>
        </w:tc>
        <w:tc>
          <w:tcPr/>
          <w:p>
            <w:pPr>
              <w:pStyle w:val="Compact"/>
              <w:jc w:val="left"/>
            </w:pPr>
            <w:r>
              <w:t xml:space="preserve">76</w:t>
            </w:r>
          </w:p>
        </w:tc>
        <w:tc>
          <w:tcPr/>
          <w:p>
            <w:pPr>
              <w:pStyle w:val="Compact"/>
              <w:jc w:val="left"/>
            </w:pPr>
            <w:r>
              <w:t xml:space="preserve">0.46 / 0.85</w:t>
            </w:r>
          </w:p>
        </w:tc>
        <w:tc>
          <w:tcPr/>
          <w:p>
            <w:pPr>
              <w:pStyle w:val="Compact"/>
              <w:jc w:val="left"/>
            </w:pPr>
            <w:r>
              <w:t xml:space="preserve">0.77 / 0.74</w:t>
            </w:r>
          </w:p>
        </w:tc>
      </w:tr>
      <w:tr>
        <w:tc>
          <w:tcPr/>
          <w:p>
            <w:pPr>
              <w:pStyle w:val="Compact"/>
              <w:jc w:val="left"/>
            </w:pPr>
            <w:r>
              <w:t xml:space="preserve">v2 sonnet repeat</w:t>
            </w:r>
          </w:p>
        </w:tc>
        <w:tc>
          <w:tcPr/>
          <w:p>
            <w:pPr>
              <w:pStyle w:val="Compact"/>
              <w:jc w:val="left"/>
            </w:pPr>
            <w:r>
              <w:t xml:space="preserve">0.49 (0.41–0.58)</w:t>
            </w:r>
          </w:p>
        </w:tc>
        <w:tc>
          <w:tcPr/>
          <w:p>
            <w:pPr>
              <w:pStyle w:val="Compact"/>
              <w:jc w:val="left"/>
            </w:pPr>
            <w:r>
              <w:t xml:space="preserve">0.51</w:t>
            </w:r>
          </w:p>
        </w:tc>
        <w:tc>
          <w:tcPr/>
          <w:p>
            <w:pPr>
              <w:pStyle w:val="Compact"/>
              <w:jc w:val="left"/>
            </w:pPr>
            <w:r>
              <w:t xml:space="preserve">73</w:t>
            </w:r>
          </w:p>
        </w:tc>
        <w:tc>
          <w:tcPr/>
          <w:p>
            <w:pPr>
              <w:pStyle w:val="Compact"/>
              <w:jc w:val="left"/>
            </w:pPr>
            <w:r>
              <w:t xml:space="preserve">0.48 / 0.85</w:t>
            </w:r>
          </w:p>
        </w:tc>
        <w:tc>
          <w:tcPr/>
          <w:p>
            <w:pPr>
              <w:pStyle w:val="Compact"/>
              <w:jc w:val="left"/>
            </w:pPr>
            <w:r>
              <w:t xml:space="preserve">0.70 / 0.70</w:t>
            </w:r>
          </w:p>
        </w:tc>
      </w:tr>
      <w:tr>
        <w:tc>
          <w:tcPr/>
          <w:p>
            <w:pPr>
              <w:pStyle w:val="Compact"/>
              <w:jc w:val="left"/>
            </w:pPr>
            <w:r>
              <w:t xml:space="preserve">v2 majority</w:t>
            </w:r>
          </w:p>
        </w:tc>
        <w:tc>
          <w:tcPr/>
          <w:p>
            <w:pPr>
              <w:pStyle w:val="Compact"/>
              <w:jc w:val="left"/>
            </w:pPr>
            <w:r>
              <w:t xml:space="preserve">0.50 (0.41–0.59)</w:t>
            </w:r>
          </w:p>
        </w:tc>
        <w:tc>
          <w:tcPr/>
          <w:p>
            <w:pPr>
              <w:pStyle w:val="Compact"/>
              <w:jc w:val="left"/>
            </w:pPr>
            <w:r>
              <w:t xml:space="preserve">0.52</w:t>
            </w:r>
          </w:p>
        </w:tc>
        <w:tc>
          <w:tcPr/>
          <w:p>
            <w:pPr>
              <w:pStyle w:val="Compact"/>
              <w:jc w:val="left"/>
            </w:pPr>
            <w:r>
              <w:t xml:space="preserve">77</w:t>
            </w:r>
          </w:p>
        </w:tc>
        <w:tc>
          <w:tcPr/>
          <w:p>
            <w:pPr>
              <w:pStyle w:val="Compact"/>
              <w:jc w:val="left"/>
            </w:pPr>
            <w:r>
              <w:t xml:space="preserve">0.45 / 0.85</w:t>
            </w:r>
          </w:p>
        </w:tc>
        <w:tc>
          <w:tcPr/>
          <w:p>
            <w:pPr>
              <w:pStyle w:val="Compact"/>
              <w:jc w:val="left"/>
            </w:pPr>
            <w:r>
              <w:t xml:space="preserve">0.71 / 0.78</w:t>
            </w:r>
          </w:p>
        </w:tc>
      </w:tr>
    </w:tbl>
    <w:p>
      <w:pPr>
        <w:pStyle w:val="BodyText"/>
      </w:pPr>
      <w:r>
        <w:rPr>
          <w:iCs/>
          <w:i/>
        </w:rPr>
        <w:t xml:space="preserve">Table 2. Agreement with the final human labels (191 war-period posts; humans label 41 escalation and 46 de-escalation). The model versions behind the runs are to be recorded [versions].</w:t>
      </w:r>
    </w:p>
    <w:p>
      <w:pPr>
        <w:pStyle w:val="BodyText"/>
      </w:pPr>
      <w:r>
        <w:t xml:space="preserve">We then asked whether the label set matters for the market estimate, on the same 95 events (posts passing the three-hour filter with a valid 30-minute window) so that only the labelling differs (Table 3). The de-escalation response is the same under every label set (0.90 to 1.05%). The escalation response is smaller under every model label set (0.17 to 0.35% against 0.48%) because the model sets add posts that humans do not call escalation. Under the original labels it cannot be distinguished from zero (p = 0.53) and differs from the human estimate (difference +0.31 points, day-clustered 95% CI 0.02 to 0.65, p = 0.04). Under the v2 majority it is +0.32% (p = 0.047) and the difference from the human estimate is +0.16 (CI −0.12 to 0.47, p = 0.27). So the first-stage statement that escalation posts show no response holds for the original labels only; what every label set supports is that the escalation response is smaller and less certain than the de-escalation response. The word</w:t>
      </w:r>
      <w:r>
        <w:t xml:space="preserve"> </w:t>
      </w:r>
      <w:r>
        <w:t xml:space="preserve">“</w:t>
      </w:r>
      <w:r>
        <w:t xml:space="preserve">reversal</w:t>
      </w:r>
      <w:r>
        <w:t xml:space="preserve">”</w:t>
      </w:r>
      <w:r>
        <w:t xml:space="preserve"> </w:t>
      </w:r>
      <w:r>
        <w:t xml:space="preserve">is not justified by the formal comparison;</w:t>
      </w:r>
      <w:r>
        <w:t xml:space="preserve"> </w:t>
      </w:r>
      <w:r>
        <w:t xml:space="preserve">“</w:t>
      </w:r>
      <w:r>
        <w:t xml:space="preserve">attenuation</w:t>
      </w:r>
      <w:r>
        <w:t xml:space="preserve">”</w:t>
      </w:r>
      <w:r>
        <w:t xml:space="preserve"> </w:t>
      </w:r>
      <w:r>
        <w:t xml:space="preserve">is.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t xml:space="preserve">Label set</w:t>
            </w:r>
          </w:p>
        </w:tc>
        <w:tc>
          <w:tcPr/>
          <w:p>
            <w:pPr>
              <w:pStyle w:val="Compact"/>
              <w:jc w:val="left"/>
            </w:pPr>
            <w:r>
              <w:t xml:space="preserve">De-escalation: n, mean (median), p</w:t>
            </w:r>
          </w:p>
        </w:tc>
        <w:tc>
          <w:tcPr/>
          <w:p>
            <w:pPr>
              <w:pStyle w:val="Compact"/>
              <w:jc w:val="left"/>
            </w:pPr>
            <w:r>
              <w:t xml:space="preserve">Escalation: n, mean (median), p</w:t>
            </w:r>
          </w:p>
        </w:tc>
        <w:tc>
          <w:tcPr/>
          <w:p>
            <w:pPr>
              <w:pStyle w:val="Compact"/>
              <w:jc w:val="left"/>
            </w:pPr>
            <w:r>
              <w:t xml:space="preserve">Human minus labels, escalation: difference (95% CI), p</w:t>
            </w:r>
          </w:p>
        </w:tc>
      </w:tr>
      <w:tr>
        <w:tc>
          <w:tcPr/>
          <w:p>
            <w:pPr>
              <w:pStyle w:val="Compact"/>
              <w:jc w:val="left"/>
            </w:pPr>
            <w:r>
              <w:t xml:space="preserve">Human</w:t>
            </w:r>
          </w:p>
        </w:tc>
        <w:tc>
          <w:tcPr/>
          <w:p>
            <w:pPr>
              <w:pStyle w:val="Compact"/>
              <w:jc w:val="left"/>
            </w:pPr>
            <w:r>
              <w:t xml:space="preserve">29, 1.05 (0.47), .0003</w:t>
            </w:r>
          </w:p>
        </w:tc>
        <w:tc>
          <w:tcPr/>
          <w:p>
            <w:pPr>
              <w:pStyle w:val="Compact"/>
              <w:jc w:val="left"/>
            </w:pPr>
            <w:r>
              <w:t xml:space="preserve">16, 0.48 (0.40), .013</w:t>
            </w:r>
          </w:p>
        </w:tc>
        <w:tc>
          <w:tcPr/>
          <w:p>
            <w:pPr>
              <w:pStyle w:val="Compact"/>
              <w:jc w:val="left"/>
            </w:pPr>
            <w:r>
              <w:t xml:space="preserve">—</w:t>
            </w:r>
          </w:p>
        </w:tc>
      </w:tr>
      <w:tr>
        <w:tc>
          <w:tcPr/>
          <w:p>
            <w:pPr>
              <w:pStyle w:val="Compact"/>
              <w:jc w:val="left"/>
            </w:pPr>
            <w:r>
              <w:t xml:space="preserve">Model 1</w:t>
            </w:r>
          </w:p>
        </w:tc>
        <w:tc>
          <w:tcPr/>
          <w:p>
            <w:pPr>
              <w:pStyle w:val="Compact"/>
              <w:jc w:val="left"/>
            </w:pPr>
            <w:r>
              <w:t xml:space="preserve">34, 0.90 (0.46), .0008</w:t>
            </w:r>
          </w:p>
        </w:tc>
        <w:tc>
          <w:tcPr/>
          <w:p>
            <w:pPr>
              <w:pStyle w:val="Compact"/>
              <w:jc w:val="left"/>
            </w:pPr>
            <w:r>
              <w:t xml:space="preserve">24, 0.17 (0.11), .53</w:t>
            </w:r>
          </w:p>
        </w:tc>
        <w:tc>
          <w:tcPr/>
          <w:p>
            <w:pPr>
              <w:pStyle w:val="Compact"/>
              <w:jc w:val="left"/>
            </w:pPr>
            <w:r>
              <w:t xml:space="preserve">+0.31 (0.02, 0.65), .038</w:t>
            </w:r>
          </w:p>
        </w:tc>
      </w:tr>
      <w:tr>
        <w:tc>
          <w:tcPr/>
          <w:p>
            <w:pPr>
              <w:pStyle w:val="Compact"/>
              <w:jc w:val="left"/>
            </w:pPr>
            <w:r>
              <w:t xml:space="preserve">v2 majority</w:t>
            </w:r>
          </w:p>
        </w:tc>
        <w:tc>
          <w:tcPr/>
          <w:p>
            <w:pPr>
              <w:pStyle w:val="Compact"/>
              <w:jc w:val="left"/>
            </w:pPr>
            <w:r>
              <w:t xml:space="preserve">33, 0.95 (0.47), .0001</w:t>
            </w:r>
          </w:p>
        </w:tc>
        <w:tc>
          <w:tcPr/>
          <w:p>
            <w:pPr>
              <w:pStyle w:val="Compact"/>
              <w:jc w:val="left"/>
            </w:pPr>
            <w:r>
              <w:t xml:space="preserve">30, 0.32 (0.31), .047</w:t>
            </w:r>
          </w:p>
        </w:tc>
        <w:tc>
          <w:tcPr/>
          <w:p>
            <w:pPr>
              <w:pStyle w:val="Compact"/>
              <w:jc w:val="left"/>
            </w:pPr>
            <w:r>
              <w:t xml:space="preserve">+0.16 (−0.12, 0.47), .27</w:t>
            </w:r>
          </w:p>
        </w:tc>
      </w:tr>
      <w:tr>
        <w:tc>
          <w:tcPr/>
          <w:p>
            <w:pPr>
              <w:pStyle w:val="Compact"/>
              <w:jc w:val="left"/>
            </w:pPr>
            <w:r>
              <w:t xml:space="preserve">v2 sonnet</w:t>
            </w:r>
          </w:p>
        </w:tc>
        <w:tc>
          <w:tcPr/>
          <w:p>
            <w:pPr>
              <w:pStyle w:val="Compact"/>
              <w:jc w:val="left"/>
            </w:pPr>
            <w:r>
              <w:t xml:space="preserve">28, 1.04 (0.46), .0002</w:t>
            </w:r>
          </w:p>
        </w:tc>
        <w:tc>
          <w:tcPr/>
          <w:p>
            <w:pPr>
              <w:pStyle w:val="Compact"/>
              <w:jc w:val="left"/>
            </w:pPr>
            <w:r>
              <w:t xml:space="preserve">38, 0.24 (0.25), .072</w:t>
            </w:r>
          </w:p>
        </w:tc>
        <w:tc>
          <w:tcPr/>
          <w:p>
            <w:pPr>
              <w:pStyle w:val="Compact"/>
              <w:jc w:val="left"/>
            </w:pPr>
            <w:r>
              <w:t xml:space="preserve">+0.25 (0.00, 0.54), .046</w:t>
            </w:r>
          </w:p>
        </w:tc>
      </w:tr>
      <w:tr>
        <w:tc>
          <w:tcPr/>
          <w:p>
            <w:pPr>
              <w:pStyle w:val="Compact"/>
              <w:jc w:val="left"/>
            </w:pPr>
            <w:r>
              <w:t xml:space="preserve">v2 haiku</w:t>
            </w:r>
          </w:p>
        </w:tc>
        <w:tc>
          <w:tcPr/>
          <w:p>
            <w:pPr>
              <w:pStyle w:val="Compact"/>
              <w:jc w:val="left"/>
            </w:pPr>
            <w:r>
              <w:t xml:space="preserve">28, 1.04 (0.54), .0002</w:t>
            </w:r>
          </w:p>
        </w:tc>
        <w:tc>
          <w:tcPr/>
          <w:p>
            <w:pPr>
              <w:pStyle w:val="Compact"/>
              <w:jc w:val="left"/>
            </w:pPr>
            <w:r>
              <w:t xml:space="preserve">29, 0.35 (0.35), .019</w:t>
            </w:r>
          </w:p>
        </w:tc>
        <w:tc>
          <w:tcPr/>
          <w:p>
            <w:pPr>
              <w:pStyle w:val="Compact"/>
              <w:jc w:val="left"/>
            </w:pPr>
            <w:r>
              <w:t xml:space="preserve">+0.13 (−0.14, 0.42), .36</w:t>
            </w:r>
          </w:p>
        </w:tc>
      </w:tr>
      <w:tr>
        <w:tc>
          <w:tcPr/>
          <w:p>
            <w:pPr>
              <w:pStyle w:val="Compact"/>
              <w:jc w:val="left"/>
            </w:pPr>
            <w:r>
              <w:t xml:space="preserve">v2 sonnet repeat</w:t>
            </w:r>
          </w:p>
        </w:tc>
        <w:tc>
          <w:tcPr/>
          <w:p>
            <w:pPr>
              <w:pStyle w:val="Compact"/>
              <w:jc w:val="left"/>
            </w:pPr>
            <w:r>
              <w:t xml:space="preserve">28, 0.99 (0.48), .0002</w:t>
            </w:r>
          </w:p>
        </w:tc>
        <w:tc>
          <w:tcPr/>
          <w:p>
            <w:pPr>
              <w:pStyle w:val="Compact"/>
              <w:jc w:val="left"/>
            </w:pPr>
            <w:r>
              <w:t xml:space="preserve">31, 0.22 (0.25), .16</w:t>
            </w:r>
          </w:p>
        </w:tc>
        <w:tc>
          <w:tcPr/>
          <w:p>
            <w:pPr>
              <w:pStyle w:val="Compact"/>
              <w:jc w:val="left"/>
            </w:pPr>
            <w:r>
              <w:t xml:space="preserve">+0.26 (−0.05, 0.61), .099</w:t>
            </w:r>
          </w:p>
        </w:tc>
      </w:tr>
    </w:tbl>
    <w:p>
      <w:pPr>
        <w:pStyle w:val="BodyText"/>
      </w:pPr>
      <w:r>
        <w:rPr>
          <w:iCs/>
          <w:i/>
        </w:rPr>
        <w:t xml:space="preserve">Table 3. Directional 30-minute WTI return (percent) by class under each label set, on the same 95 events; two-sided Wilcoxon p; differences by day-clustered bootstrap (4,000 resamples). The v2 opus run gives the same results as the majority for escalation and de-escalation (33 and 30 events).</w:t>
      </w:r>
    </w:p>
    <w:bookmarkEnd w:id="35"/>
    <w:bookmarkStart w:id="39" w:name="Xb66c2e863ed1ea500f91045a8adbd84fe486861"/>
    <w:p>
      <w:pPr>
        <w:pStyle w:val="Heading3"/>
      </w:pPr>
      <w:r>
        <w:t xml:space="preserve">4.5 Human-labelled posts and tick-level results</w:t>
      </w:r>
    </w:p>
    <w:p>
      <w:pPr>
        <w:pStyle w:val="FirstParagraph"/>
      </w:pPr>
      <w:r>
        <w:t xml:space="preserve">We rebuilt the signal set from the human labels over all 191 posts (cluster filter; market open at the post and 30 minutes later). The reconciliation is in Table 4.</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De-escalation</w:t>
            </w:r>
          </w:p>
        </w:tc>
        <w:tc>
          <w:tcPr/>
          <w:p>
            <w:pPr>
              <w:pStyle w:val="Compact"/>
              <w:jc w:val="left"/>
            </w:pPr>
            <w:r>
              <w:t xml:space="preserve">Escalation</w:t>
            </w:r>
          </w:p>
        </w:tc>
      </w:tr>
      <w:tr>
        <w:tc>
          <w:tcPr/>
          <w:p>
            <w:pPr>
              <w:pStyle w:val="Compact"/>
              <w:jc w:val="left"/>
            </w:pPr>
            <w:r>
              <w:t xml:space="preserve">Posts with a human signal label after the three-hour filter (141 of 191 pass)</w:t>
            </w:r>
          </w:p>
        </w:tc>
        <w:tc>
          <w:tcPr/>
          <w:p>
            <w:pPr>
              <w:pStyle w:val="Compact"/>
              <w:jc w:val="left"/>
            </w:pPr>
            <w:r>
              <w:t xml:space="preserve">37</w:t>
            </w:r>
          </w:p>
        </w:tc>
        <w:tc>
          <w:tcPr/>
          <w:p>
            <w:pPr>
              <w:pStyle w:val="Compact"/>
              <w:jc w:val="left"/>
            </w:pPr>
            <w:r>
              <w:t xml:space="preserve">31</w:t>
            </w:r>
          </w:p>
        </w:tc>
      </w:tr>
      <w:tr>
        <w:tc>
          <w:tcPr/>
          <w:p>
            <w:pPr>
              <w:pStyle w:val="Compact"/>
              <w:jc w:val="left"/>
            </w:pPr>
            <w:r>
              <w:t xml:space="preserve">With a tick window at the post time and +30 minutes (primary sample)</w:t>
            </w:r>
          </w:p>
        </w:tc>
        <w:tc>
          <w:tcPr/>
          <w:p>
            <w:pPr>
              <w:pStyle w:val="Compact"/>
              <w:jc w:val="left"/>
            </w:pPr>
            <w:r>
              <w:t xml:space="preserve">29</w:t>
            </w:r>
          </w:p>
        </w:tc>
        <w:tc>
          <w:tcPr/>
          <w:p>
            <w:pPr>
              <w:pStyle w:val="Compact"/>
              <w:jc w:val="left"/>
            </w:pPr>
            <w:r>
              <w:t xml:space="preserve">16</w:t>
            </w:r>
          </w:p>
        </w:tc>
      </w:tr>
      <w:tr>
        <w:tc>
          <w:tcPr/>
          <w:p>
            <w:pPr>
              <w:pStyle w:val="Compact"/>
              <w:jc w:val="left"/>
            </w:pPr>
            <w:r>
              <w:t xml:space="preserve">Also with a valid −60 minute price (the sample of the pre-post drift analysis)</w:t>
            </w:r>
          </w:p>
        </w:tc>
        <w:tc>
          <w:tcPr/>
          <w:p>
            <w:pPr>
              <w:pStyle w:val="Compact"/>
              <w:jc w:val="left"/>
            </w:pPr>
            <w:r>
              <w:t xml:space="preserve">26</w:t>
            </w:r>
          </w:p>
        </w:tc>
        <w:tc>
          <w:tcPr/>
          <w:p>
            <w:pPr>
              <w:pStyle w:val="Compact"/>
              <w:jc w:val="left"/>
            </w:pPr>
            <w:r>
              <w:t xml:space="preserve">14</w:t>
            </w:r>
          </w:p>
        </w:tc>
      </w:tr>
      <w:tr>
        <w:tc>
          <w:tcPr/>
          <w:p>
            <w:pPr>
              <w:pStyle w:val="Compact"/>
              <w:jc w:val="left"/>
            </w:pPr>
            <w:r>
              <w:t xml:space="preserve">Signal posts dropped for no window</w:t>
            </w:r>
          </w:p>
        </w:tc>
        <w:tc>
          <w:tcPr/>
          <w:p>
            <w:pPr>
              <w:pStyle w:val="Compact"/>
              <w:jc w:val="left"/>
            </w:pPr>
            <w:r>
              <w:t xml:space="preserve">8</w:t>
            </w:r>
          </w:p>
        </w:tc>
        <w:tc>
          <w:tcPr/>
          <w:p>
            <w:pPr>
              <w:pStyle w:val="Compact"/>
              <w:jc w:val="left"/>
            </w:pPr>
            <w:r>
              <w:t xml:space="preserve">15</w:t>
            </w:r>
          </w:p>
        </w:tc>
      </w:tr>
    </w:tbl>
    <w:p>
      <w:pPr>
        <w:pStyle w:val="BodyText"/>
      </w:pPr>
      <w:r>
        <w:rPr>
          <w:iCs/>
          <w:i/>
        </w:rPr>
        <w:t xml:space="preserve">Table 4. Sample reconciliation (human labels). 83% of the 23 signal posts without a window were made on weekends or with the market closed, against 29% of all signal posts; 48% of escalation signal posts are dropped, against 22% of de-escalation posts. The results do not extend to weekend announcements, and the two classes are selected differently.</w:t>
      </w:r>
    </w:p>
    <w:p>
      <w:pPr>
        <w:pStyle w:val="BodyText"/>
      </w:pPr>
      <w:r>
        <w:t xml:space="preserve">For de-escalation posts the directional WTI return is +0.67% at five minutes and +1.05% at 30 minutes (n = 29 posts on 25 days; median 0.47%; two-sided Wilcoxon p = 0.0003; day-clustered bootstrap 95% CI of the mean 0.44 to 1.96 and of the median 0.21 to 1.10). For escalation posts it is +0.48% at 30 minutes (n = 16 on 16 days; median 0.40%; p = 0.013; CIs 0.17 to 0.80 and 0.02 to 1.02), against +0.17% (p = 0.53) when the original model’s escalation label is used. The difference between the two directions is not distinguishable from zero (Mann–Whitney p = 0.20, exploratory). Quote quality does not explain the result: the median bid–ask spread is 0.05 on a price near 89.6, and the median absolute 30-minute move (0.46) is about nine spreads.</w:t>
      </w:r>
    </w:p>
    <w:p>
      <w:pPr>
        <w:pStyle w:val="BodyText"/>
      </w:pPr>
      <w:r>
        <w:rPr>
          <w:iCs/>
          <w:i/>
        </w:rPr>
        <w:t xml:space="preserve">Dependence on adjudication.</w:t>
      </w:r>
      <w:r>
        <w:t xml:space="preserve"> </w:t>
      </w:r>
      <w:r>
        <w:t xml:space="preserve">Of the 41 final escalation labels, 27 (66%) were adjudicated by the investigator, against 5 of 46 (11%) for de-escalation (Table 5). On coder-consensus labels only, the escalation response is +0.71% (n = 7; p = 0.016); on the 9 adjudicated escalation events it is +0.30% (day-clustered CI −0.11 to 0.71; p = 0.30). The escalation result is therefore consistent in sign across the subsets but is not separately established for the adjudicated posts, and these are the posts whose labels the investigator decided.</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Subset</w:t>
            </w:r>
          </w:p>
        </w:tc>
        <w:tc>
          <w:tcPr/>
          <w:p>
            <w:pPr>
              <w:pStyle w:val="Compact"/>
              <w:jc w:val="left"/>
            </w:pPr>
            <w:r>
              <w:t xml:space="preserve">De-escalation</w:t>
            </w:r>
          </w:p>
        </w:tc>
        <w:tc>
          <w:tcPr/>
          <w:p>
            <w:pPr>
              <w:pStyle w:val="Compact"/>
              <w:jc w:val="left"/>
            </w:pPr>
            <w:r>
              <w:t xml:space="preserve">Escalation</w:t>
            </w:r>
          </w:p>
        </w:tc>
      </w:tr>
      <w:tr>
        <w:tc>
          <w:tcPr/>
          <w:p>
            <w:pPr>
              <w:pStyle w:val="Compact"/>
              <w:jc w:val="left"/>
            </w:pPr>
            <w:r>
              <w:t xml:space="preserve">All final labels</w:t>
            </w:r>
          </w:p>
        </w:tc>
        <w:tc>
          <w:tcPr/>
          <w:p>
            <w:pPr>
              <w:pStyle w:val="Compact"/>
              <w:jc w:val="left"/>
            </w:pPr>
            <w:r>
              <w:t xml:space="preserve">29; 1.05 (0.44, 1.96); p = .0003</w:t>
            </w:r>
          </w:p>
        </w:tc>
        <w:tc>
          <w:tcPr/>
          <w:p>
            <w:pPr>
              <w:pStyle w:val="Compact"/>
              <w:jc w:val="left"/>
            </w:pPr>
            <w:r>
              <w:t xml:space="preserve">16; 0.48 (0.17, 0.80); p = .013</w:t>
            </w:r>
          </w:p>
        </w:tc>
      </w:tr>
      <w:tr>
        <w:tc>
          <w:tcPr/>
          <w:p>
            <w:pPr>
              <w:pStyle w:val="Compact"/>
              <w:jc w:val="left"/>
            </w:pPr>
            <w:r>
              <w:t xml:space="preserve">Coder consensus only</w:t>
            </w:r>
          </w:p>
        </w:tc>
        <w:tc>
          <w:tcPr/>
          <w:p>
            <w:pPr>
              <w:pStyle w:val="Compact"/>
              <w:jc w:val="left"/>
            </w:pPr>
            <w:r>
              <w:t xml:space="preserve">28; 1.03 (0.40, 1.93); p = .0006</w:t>
            </w:r>
          </w:p>
        </w:tc>
        <w:tc>
          <w:tcPr/>
          <w:p>
            <w:pPr>
              <w:pStyle w:val="Compact"/>
              <w:jc w:val="left"/>
            </w:pPr>
            <w:r>
              <w:t xml:space="preserve">7; 0.71 (0.30, 1.17); p = .016</w:t>
            </w:r>
          </w:p>
        </w:tc>
      </w:tr>
      <w:tr>
        <w:tc>
          <w:tcPr/>
          <w:p>
            <w:pPr>
              <w:pStyle w:val="Compact"/>
              <w:jc w:val="left"/>
            </w:pPr>
            <w:r>
              <w:t xml:space="preserve">Adjudicated only</w:t>
            </w:r>
          </w:p>
        </w:tc>
        <w:tc>
          <w:tcPr/>
          <w:p>
            <w:pPr>
              <w:pStyle w:val="Compact"/>
              <w:jc w:val="left"/>
            </w:pPr>
            <w:r>
              <w:t xml:space="preserve">1</w:t>
            </w:r>
          </w:p>
        </w:tc>
        <w:tc>
          <w:tcPr/>
          <w:p>
            <w:pPr>
              <w:pStyle w:val="Compact"/>
              <w:jc w:val="left"/>
            </w:pPr>
            <w:r>
              <w:t xml:space="preserve">9; 0.30 (−0.11, 0.71); p = .30</w:t>
            </w:r>
          </w:p>
        </w:tc>
      </w:tr>
    </w:tbl>
    <w:p>
      <w:pPr>
        <w:pStyle w:val="BodyText"/>
      </w:pPr>
      <w:r>
        <w:rPr>
          <w:iCs/>
          <w:i/>
        </w:rPr>
        <w:t xml:space="preserve">Table 5. Human-label 30-minute directional return by adjudication status: n; mean (day-clustered 95% CI); two-sided Wilcoxon p.</w:t>
      </w:r>
    </w:p>
    <w:p>
      <w:pPr>
        <w:pStyle w:val="BodyText"/>
      </w:pPr>
      <w:r>
        <w:rPr>
          <w:iCs/>
          <w:i/>
        </w:rPr>
        <w:t xml:space="preserve">Placebo.</w:t>
      </w:r>
      <w:r>
        <w:t xml:space="preserve"> </w:t>
      </w:r>
      <w:r>
        <w:t xml:space="preserve">To check that the co-movement is not an artefact of the hours in which posts fall, we drew fake post times in the same clock hour on neighbouring days (same weekday status, at least two hours from any labelled post; 10,000 draws) for the same events as the headline. The placebo mean of the 30-minute directional return is +0.04% for de-escalation (95th percentile 0.20, 99th 0.28; observed +1.04%, 28 of 29 events with a placebo pool) and +0.02% for escalation (95th percentile 0.20; observed +0.48%, 16 of 16); none of the 10,000 draws reaches the observed value. The placebo is matched on clock hour and weekday, not on prior volatility or drift, so it shows that the posts’ windows differ from comparable calm hours, not from comparable news hours.</w:t>
      </w:r>
    </w:p>
    <w:p>
      <w:pPr>
        <w:pStyle w:val="CaptionedFigure"/>
      </w:pPr>
      <w:r>
        <w:drawing>
          <wp:inline>
            <wp:extent cx="5334000" cy="2133599"/>
            <wp:effectExtent b="0" l="0" r="0" t="0"/>
            <wp:docPr descr="Figure 2" title="" id="37" name="Picture"/>
            <a:graphic>
              <a:graphicData uri="http://schemas.openxmlformats.org/drawingml/2006/picture">
                <pic:pic>
                  <pic:nvPicPr>
                    <pic:cNvPr descr="figs/fig_human_path.png" id="38" name="Picture"/>
                    <pic:cNvPicPr>
                      <a:picLocks noChangeArrowheads="1" noChangeAspect="1"/>
                    </pic:cNvPicPr>
                  </pic:nvPicPr>
                  <pic:blipFill>
                    <a:blip r:embed="rId36"/>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Figure 2</w:t>
      </w:r>
    </w:p>
    <w:p>
      <w:pPr>
        <w:pStyle w:val="BodyText"/>
      </w:pPr>
      <w:r>
        <w:rPr>
          <w:iCs/>
          <w:i/>
        </w:rPr>
        <w:t xml:space="preserve">Figure 2. Directional WTI return relative to the price at the post time, human-labelled posts (de-escalation n = 29, escalation n = 16): mean ± 1 SE, median, and the 95% band of the mean at placebo times.</w:t>
      </w:r>
    </w:p>
    <w:p>
      <w:pPr>
        <w:pStyle w:val="BodyText"/>
      </w:pPr>
      <w:r>
        <w:rPr>
          <w:iCs/>
          <w:i/>
        </w:rPr>
        <w:t xml:space="preserve">Pre-post drift.</w:t>
      </w:r>
      <w:r>
        <w:t xml:space="preserve"> </w:t>
      </w:r>
      <w:r>
        <w:t xml:space="preserve">On the 26 and 14 events with a −60 minute price, the 30 minutes before the post also exceed the placebo for de-escalation (+0.57%; +0.86% over the preceding hour; both below 0.0001) and, on the 30-minute window only, for escalation (+0.29%, p = 0.016); tick counts in the half hour before a de-escalation post are 28% above comparable hours. The mean path before de-escalation posts rises by about 0.5 points between 20 and 15 minutes before the post (Figure 2); the median does not show the step, so a few events moving together produce it. We describe this as drift larger than in comparable hours whose cause is not identified: the market may be reacting to news that the post then repeats, or the same event may move both. It does not show leakage or any party’s conduct. Whether an outside source reported a decision before the post makes no difference to the drift (30 events, p = 0.90; Appendix E).</w:t>
      </w:r>
    </w:p>
    <w:p>
      <w:pPr>
        <w:pStyle w:val="BodyText"/>
      </w:pPr>
      <w:r>
        <w:rPr>
          <w:iCs/>
          <w:i/>
        </w:rPr>
        <w:t xml:space="preserve">Robustness.</w:t>
      </w:r>
      <w:r>
        <w:t xml:space="preserve"> </w:t>
      </w:r>
      <w:r>
        <w:t xml:space="preserve">Table 6 varies one feature at a time. The direction of the post-period move is positive and one-sided significant in every variant for both classes, including when the three events on 23 March and 7 April are dropped (de-escalation mean 0.80%, median 0.48%) and when only posts on which both coders agreed are used. The variants change cluster rule, window or labels of largely the same events and are not independent confirmations. The median is stable at 0.4 to 0.5%; the mean is pulled by a few events (the three largest de-escalation events, 2.7%, 3.3% and 10.5%, make up 54% of the summed move; leave-one-event-out means range from 0.71 to 1.12). The excess of the 30 minutes after a post over the 30 minutes before is borderline (de-escalation p between 0.026 and 0.063 across cluster rules; escalation 0.044 to 0.097) and depends on the window: over 5 and 15 minutes the post move is not preceded by drift for de-escalation posts (pre-window means −0.05% and 0.00%; paired excess +0.72 and +0.76 points, p = 0.003 and 0.005), whereas over 60 minutes the earlier drift has caught up (paired −0.15, p = 0.37). The short-window statement is the one we can defend, but the choice of windows to rely on was made after seeing Table 6, and the 5-minute pre-window cannot see the drift that occurs 30 to 15 minutes before the post. Post timestamps come from the archive at one-second precision and are matched to a dealer quote feed whose latency we cannot test; a tick stamped in the same second as the post is counted as before it.</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De-escalation: n, post-30 mean (median), paired post − pre (p)</w:t>
            </w:r>
          </w:p>
        </w:tc>
        <w:tc>
          <w:tcPr/>
          <w:p>
            <w:pPr>
              <w:pStyle w:val="Compact"/>
              <w:jc w:val="left"/>
            </w:pPr>
            <w:r>
              <w:t xml:space="preserve">Escalation: n, post-30 mean (median), paired post − pre (p)</w:t>
            </w:r>
          </w:p>
        </w:tc>
      </w:tr>
      <w:tr>
        <w:tc>
          <w:tcPr/>
          <w:p>
            <w:pPr>
              <w:pStyle w:val="Compact"/>
              <w:jc w:val="left"/>
            </w:pPr>
            <w:r>
              <w:t xml:space="preserve">Baseline (3-hour filter)</w:t>
            </w:r>
          </w:p>
        </w:tc>
        <w:tc>
          <w:tcPr/>
          <w:p>
            <w:pPr>
              <w:pStyle w:val="Compact"/>
              <w:jc w:val="left"/>
            </w:pPr>
            <w:r>
              <w:t xml:space="preserve">29, 1.05 (0.47), +0.48 (.030)</w:t>
            </w:r>
          </w:p>
        </w:tc>
        <w:tc>
          <w:tcPr/>
          <w:p>
            <w:pPr>
              <w:pStyle w:val="Compact"/>
              <w:jc w:val="left"/>
            </w:pPr>
            <w:r>
              <w:t xml:space="preserve">16, 0.48 (0.40), +0.26 (.058)</w:t>
            </w:r>
          </w:p>
        </w:tc>
      </w:tr>
      <w:tr>
        <w:tc>
          <w:tcPr/>
          <w:p>
            <w:pPr>
              <w:pStyle w:val="Compact"/>
              <w:jc w:val="left"/>
            </w:pPr>
            <w:r>
              <w:t xml:space="preserve">No cluster filter</w:t>
            </w:r>
          </w:p>
        </w:tc>
        <w:tc>
          <w:tcPr/>
          <w:p>
            <w:pPr>
              <w:pStyle w:val="Compact"/>
              <w:jc w:val="left"/>
            </w:pPr>
            <w:r>
              <w:t xml:space="preserve">34, 0.91 (0.46), +0.44 (.026)</w:t>
            </w:r>
          </w:p>
        </w:tc>
        <w:tc>
          <w:tcPr/>
          <w:p>
            <w:pPr>
              <w:pStyle w:val="Compact"/>
              <w:jc w:val="left"/>
            </w:pPr>
            <w:r>
              <w:t xml:space="preserve">19, 0.46 (0.35), +0.23 (.071)</w:t>
            </w:r>
          </w:p>
        </w:tc>
      </w:tr>
      <w:tr>
        <w:tc>
          <w:tcPr/>
          <w:p>
            <w:pPr>
              <w:pStyle w:val="Compact"/>
              <w:jc w:val="left"/>
            </w:pPr>
            <w:r>
              <w:t xml:space="preserve">6-hour filter</w:t>
            </w:r>
          </w:p>
        </w:tc>
        <w:tc>
          <w:tcPr/>
          <w:p>
            <w:pPr>
              <w:pStyle w:val="Compact"/>
              <w:jc w:val="left"/>
            </w:pPr>
            <w:r>
              <w:t xml:space="preserve">25, 1.08 (0.49), +0.42 (.063)</w:t>
            </w:r>
          </w:p>
        </w:tc>
        <w:tc>
          <w:tcPr/>
          <w:p>
            <w:pPr>
              <w:pStyle w:val="Compact"/>
              <w:jc w:val="left"/>
            </w:pPr>
            <w:r>
              <w:t xml:space="preserve">14, 0.54 (0.50), +0.27 (.097)</w:t>
            </w:r>
          </w:p>
        </w:tc>
      </w:tr>
      <w:tr>
        <w:tc>
          <w:tcPr/>
          <w:p>
            <w:pPr>
              <w:pStyle w:val="Compact"/>
              <w:jc w:val="left"/>
            </w:pPr>
            <w:r>
              <w:t xml:space="preserve">Both coders agreed before adjudication</w:t>
            </w:r>
          </w:p>
        </w:tc>
        <w:tc>
          <w:tcPr/>
          <w:p>
            <w:pPr>
              <w:pStyle w:val="Compact"/>
              <w:jc w:val="left"/>
            </w:pPr>
            <w:r>
              <w:t xml:space="preserve">28, 1.03 (0.47), +0.44 (.045)</w:t>
            </w:r>
          </w:p>
        </w:tc>
        <w:tc>
          <w:tcPr/>
          <w:p>
            <w:pPr>
              <w:pStyle w:val="Compact"/>
              <w:jc w:val="left"/>
            </w:pPr>
            <w:r>
              <w:t xml:space="preserve">7, 0.71 (0.54), +0.44 (.078)</w:t>
            </w:r>
          </w:p>
        </w:tc>
      </w:tr>
      <w:tr>
        <w:tc>
          <w:tcPr/>
          <w:p>
            <w:pPr>
              <w:pStyle w:val="Compact"/>
              <w:jc w:val="left"/>
            </w:pPr>
            <w:r>
              <w:t xml:space="preserve">Window 5 minutes</w:t>
            </w:r>
          </w:p>
        </w:tc>
        <w:tc>
          <w:tcPr/>
          <w:p>
            <w:pPr>
              <w:pStyle w:val="Compact"/>
              <w:jc w:val="left"/>
            </w:pPr>
            <w:r>
              <w:t xml:space="preserve">29, 0.67 (0.21), +0.72 (.003)</w:t>
            </w:r>
          </w:p>
        </w:tc>
        <w:tc>
          <w:tcPr/>
          <w:p>
            <w:pPr>
              <w:pStyle w:val="Compact"/>
              <w:jc w:val="left"/>
            </w:pPr>
            <w:r>
              <w:t xml:space="preserve">16, 0.46 (0.19), +0.38 (.096)</w:t>
            </w:r>
          </w:p>
        </w:tc>
      </w:tr>
      <w:tr>
        <w:tc>
          <w:tcPr/>
          <w:p>
            <w:pPr>
              <w:pStyle w:val="Compact"/>
              <w:jc w:val="left"/>
            </w:pPr>
            <w:r>
              <w:t xml:space="preserve">Window 15 minutes</w:t>
            </w:r>
          </w:p>
        </w:tc>
        <w:tc>
          <w:tcPr/>
          <w:p>
            <w:pPr>
              <w:pStyle w:val="Compact"/>
              <w:jc w:val="left"/>
            </w:pPr>
            <w:r>
              <w:t xml:space="preserve">29, 0.76 (0.60), +0.76 (.005)</w:t>
            </w:r>
          </w:p>
        </w:tc>
        <w:tc>
          <w:tcPr/>
          <w:p>
            <w:pPr>
              <w:pStyle w:val="Compact"/>
              <w:jc w:val="left"/>
            </w:pPr>
            <w:r>
              <w:t xml:space="preserve">16, 0.57 (0.42), +0.36 (.019)</w:t>
            </w:r>
          </w:p>
        </w:tc>
      </w:tr>
      <w:tr>
        <w:tc>
          <w:tcPr/>
          <w:p>
            <w:pPr>
              <w:pStyle w:val="Compact"/>
              <w:jc w:val="left"/>
            </w:pPr>
            <w:r>
              <w:t xml:space="preserve">Window 60 minutes</w:t>
            </w:r>
          </w:p>
        </w:tc>
        <w:tc>
          <w:tcPr/>
          <w:p>
            <w:pPr>
              <w:pStyle w:val="Compact"/>
              <w:jc w:val="left"/>
            </w:pPr>
            <w:r>
              <w:t xml:space="preserve">28, 1.18 (0.42), −0.15 (.365)</w:t>
            </w:r>
          </w:p>
        </w:tc>
        <w:tc>
          <w:tcPr/>
          <w:p>
            <w:pPr>
              <w:pStyle w:val="Compact"/>
              <w:jc w:val="left"/>
            </w:pPr>
            <w:r>
              <w:t xml:space="preserve">16, 0.48 (0.40), +0.44 (.086)</w:t>
            </w:r>
          </w:p>
        </w:tc>
      </w:tr>
      <w:tr>
        <w:tc>
          <w:tcPr/>
          <w:p>
            <w:pPr>
              <w:pStyle w:val="Compact"/>
              <w:jc w:val="left"/>
            </w:pPr>
            <w:r>
              <w:t xml:space="preserve">Drop 23 March and 7 April (three events)</w:t>
            </w:r>
          </w:p>
        </w:tc>
        <w:tc>
          <w:tcPr/>
          <w:p>
            <w:pPr>
              <w:pStyle w:val="Compact"/>
              <w:jc w:val="left"/>
            </w:pPr>
            <w:r>
              <w:t xml:space="preserve">26, 0.80 (0.48), +0.49 (.025)</w:t>
            </w:r>
          </w:p>
        </w:tc>
        <w:tc>
          <w:tcPr/>
          <w:p>
            <w:pPr>
              <w:pStyle w:val="Compact"/>
              <w:jc w:val="left"/>
            </w:pPr>
            <w:r>
              <w:t xml:space="preserve">16, 0.48 (0.40), +0.26 (.058)</w:t>
            </w:r>
          </w:p>
        </w:tc>
      </w:tr>
    </w:tbl>
    <w:p>
      <w:pPr>
        <w:pStyle w:val="BodyText"/>
      </w:pPr>
      <w:r>
        <w:rPr>
          <w:iCs/>
          <w:i/>
        </w:rPr>
        <w:t xml:space="preserve">Table 6. Robustness of the human-label tick-level result (mean directional returns in percent; p from one-sided Wilcoxon tests of post &gt; pre; variants are not independent and p-values are unadjusted).</w:t>
      </w:r>
    </w:p>
    <w:p>
      <w:pPr>
        <w:pStyle w:val="BodyText"/>
      </w:pPr>
      <w:r>
        <w:t xml:space="preserve">Other topics. Before the war, de-escalation posts about Iran show the same sign at about a quarter of the size, significant only for posts on which both coders agree (−0.62%, n = 8, p = 0.008); posts about monetary policy and non-tariff China matters show no hourly reaction, though the samples are too small to call this</w:t>
      </w:r>
      <w:r>
        <w:t xml:space="preserve"> </w:t>
      </w:r>
      <w:r>
        <w:t xml:space="preserve">“</w:t>
      </w:r>
      <w:r>
        <w:t xml:space="preserve">no response</w:t>
      </w:r>
      <w:r>
        <w:t xml:space="preserve">”</w:t>
      </w:r>
      <w:r>
        <w:t xml:space="preserve">.</w:t>
      </w:r>
    </w:p>
    <w:bookmarkEnd w:id="39"/>
    <w:bookmarkStart w:id="40" w:name="X2fa4eb6c5141e0b6310a0cbc31f8b523321249a"/>
    <w:p>
      <w:pPr>
        <w:pStyle w:val="Heading3"/>
      </w:pPr>
      <w:r>
        <w:t xml:space="preserve">4.6 Tests of the information-theoretic propositions</w:t>
      </w:r>
    </w:p>
    <w:p>
      <w:pPr>
        <w:pStyle w:val="FirstParagraph"/>
      </w:pPr>
      <w:r>
        <w:t xml:space="preserve">Table 7 reports the pre-specified tests on 271 hourly signal posts across four topics (oil 112, tariffs 74, Fed 47, China 38), with topic fixed effects and standard errors clustered by day; the outcome is |z|. These tests use model labels only to select posts, so they do not depend on the label of direction.</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t xml:space="preserve">Proposition</w:t>
            </w:r>
          </w:p>
        </w:tc>
        <w:tc>
          <w:tcPr/>
          <w:p>
            <w:pPr>
              <w:pStyle w:val="Compact"/>
              <w:jc w:val="left"/>
            </w:pPr>
            <w:r>
              <w:t xml:space="preserve">Estimate</w:t>
            </w:r>
          </w:p>
        </w:tc>
        <w:tc>
          <w:tcPr/>
          <w:p>
            <w:pPr>
              <w:pStyle w:val="Compact"/>
              <w:jc w:val="left"/>
            </w:pPr>
            <w:r>
              <w:t xml:space="preserve">One-sided p</w:t>
            </w:r>
          </w:p>
        </w:tc>
        <w:tc>
          <w:tcPr/>
          <w:p>
            <w:pPr>
              <w:pStyle w:val="Compact"/>
              <w:jc w:val="left"/>
            </w:pPr>
            <w:r>
              <w:t xml:space="preserve">Decision</w:t>
            </w:r>
          </w:p>
        </w:tc>
      </w:tr>
      <w:tr>
        <w:tc>
          <w:tcPr/>
          <w:p>
            <w:pPr>
              <w:pStyle w:val="Compact"/>
              <w:jc w:val="left"/>
            </w:pPr>
            <w:r>
              <w:t xml:space="preserve">P1 novelty N_c, 2026 sample</w:t>
            </w:r>
          </w:p>
        </w:tc>
        <w:tc>
          <w:tcPr/>
          <w:p>
            <w:pPr>
              <w:pStyle w:val="Compact"/>
              <w:jc w:val="left"/>
            </w:pPr>
            <w:r>
              <w:t xml:space="preserve">+0.77 (SE 0.56)</w:t>
            </w:r>
          </w:p>
        </w:tc>
        <w:tc>
          <w:tcPr/>
          <w:p>
            <w:pPr>
              <w:pStyle w:val="Compact"/>
              <w:jc w:val="left"/>
            </w:pPr>
            <w:r>
              <w:t xml:space="preserve">0.084</w:t>
            </w:r>
          </w:p>
        </w:tc>
        <w:tc>
          <w:tcPr/>
          <w:p>
            <w:pPr>
              <w:pStyle w:val="Compact"/>
              <w:jc w:val="left"/>
            </w:pPr>
            <w:r>
              <w:t xml:space="preserve">Not supported; same sign in all four topics</w:t>
            </w:r>
          </w:p>
        </w:tc>
      </w:tr>
      <w:tr>
        <w:tc>
          <w:tcPr/>
          <w:p>
            <w:pPr>
              <w:pStyle w:val="Compact"/>
              <w:jc w:val="left"/>
            </w:pPr>
            <w:r>
              <w:t xml:space="preserve">P1, 2022–24 daily (n = 49)</w:t>
            </w:r>
          </w:p>
        </w:tc>
        <w:tc>
          <w:tcPr/>
          <w:p>
            <w:pPr>
              <w:pStyle w:val="Compact"/>
              <w:jc w:val="left"/>
            </w:pPr>
            <w:r>
              <w:t xml:space="preserve">+0.26 (SE 0.37)</w:t>
            </w:r>
          </w:p>
        </w:tc>
        <w:tc>
          <w:tcPr/>
          <w:p>
            <w:pPr>
              <w:pStyle w:val="Compact"/>
              <w:jc w:val="left"/>
            </w:pPr>
            <w:r>
              <w:t xml:space="preserve">0.24</w:t>
            </w:r>
          </w:p>
        </w:tc>
        <w:tc>
          <w:tcPr/>
          <w:p>
            <w:pPr>
              <w:pStyle w:val="Compact"/>
              <w:jc w:val="left"/>
            </w:pPr>
            <w:r>
              <w:t xml:space="preserve">Same sign</w:t>
            </w:r>
          </w:p>
        </w:tc>
      </w:tr>
      <w:tr>
        <w:tc>
          <w:tcPr/>
          <w:p>
            <w:pPr>
              <w:pStyle w:val="Compact"/>
              <w:jc w:val="left"/>
            </w:pPr>
            <w:r>
              <w:t xml:space="preserve">P1, 2017–21 oil/Iran tweets (n = 191)</w:t>
            </w:r>
          </w:p>
        </w:tc>
        <w:tc>
          <w:tcPr/>
          <w:p>
            <w:pPr>
              <w:pStyle w:val="Compact"/>
              <w:jc w:val="left"/>
            </w:pPr>
            <w:r>
              <w:t xml:space="preserve">−0.27 (SE 0.74)</w:t>
            </w:r>
          </w:p>
        </w:tc>
        <w:tc>
          <w:tcPr/>
          <w:p>
            <w:pPr>
              <w:pStyle w:val="Compact"/>
              <w:jc w:val="left"/>
            </w:pPr>
            <w:r>
              <w:t xml:space="preserve">0.64</w:t>
            </w:r>
          </w:p>
        </w:tc>
        <w:tc>
          <w:tcPr/>
          <w:p>
            <w:pPr>
              <w:pStyle w:val="Compact"/>
              <w:jc w:val="left"/>
            </w:pPr>
            <w:r>
              <w:t xml:space="preserve">Not supported</w:t>
            </w:r>
          </w:p>
        </w:tc>
      </w:tr>
      <w:tr>
        <w:tc>
          <w:tcPr/>
          <w:p>
            <w:pPr>
              <w:pStyle w:val="Compact"/>
              <w:jc w:val="left"/>
            </w:pPr>
            <w:r>
              <w:t xml:space="preserve">P1, 2017–21 tariff tweets (n = 410)</w:t>
            </w:r>
          </w:p>
        </w:tc>
        <w:tc>
          <w:tcPr/>
          <w:p>
            <w:pPr>
              <w:pStyle w:val="Compact"/>
              <w:jc w:val="left"/>
            </w:pPr>
            <w:r>
              <w:t xml:space="preserve">−0.05 (SE 0.68)</w:t>
            </w:r>
          </w:p>
        </w:tc>
        <w:tc>
          <w:tcPr/>
          <w:p>
            <w:pPr>
              <w:pStyle w:val="Compact"/>
              <w:jc w:val="left"/>
            </w:pPr>
            <w:r>
              <w:t xml:space="preserve">Holm 0.74</w:t>
            </w:r>
          </w:p>
        </w:tc>
        <w:tc>
          <w:tcPr/>
          <w:p>
            <w:pPr>
              <w:pStyle w:val="Compact"/>
              <w:jc w:val="left"/>
            </w:pPr>
            <w:r>
              <w:t xml:space="preserve">Not supported</w:t>
            </w:r>
          </w:p>
        </w:tc>
      </w:tr>
      <w:tr>
        <w:tc>
          <w:tcPr/>
          <w:p>
            <w:pPr>
              <w:pStyle w:val="Compact"/>
              <w:jc w:val="left"/>
            </w:pPr>
            <w:r>
              <w:t xml:space="preserve">P2 prior uncertainty U, 2026</w:t>
            </w:r>
          </w:p>
        </w:tc>
        <w:tc>
          <w:tcPr/>
          <w:p>
            <w:pPr>
              <w:pStyle w:val="Compact"/>
              <w:jc w:val="left"/>
            </w:pPr>
            <w:r>
              <w:t xml:space="preserve">+0.29 (SE 0.20)</w:t>
            </w:r>
          </w:p>
        </w:tc>
        <w:tc>
          <w:tcPr/>
          <w:p>
            <w:pPr>
              <w:pStyle w:val="Compact"/>
              <w:jc w:val="left"/>
            </w:pPr>
            <w:r>
              <w:t xml:space="preserve">0.072</w:t>
            </w:r>
          </w:p>
        </w:tc>
        <w:tc>
          <w:tcPr/>
          <w:p>
            <w:pPr>
              <w:pStyle w:val="Compact"/>
              <w:jc w:val="left"/>
            </w:pPr>
            <w:r>
              <w:t xml:space="preserve">Not supported</w:t>
            </w:r>
          </w:p>
        </w:tc>
      </w:tr>
      <w:tr>
        <w:tc>
          <w:tcPr/>
          <w:p>
            <w:pPr>
              <w:pStyle w:val="Compact"/>
              <w:jc w:val="left"/>
            </w:pPr>
            <w:r>
              <w:t xml:space="preserve">P2, 2017–21 oil/Iran</w:t>
            </w:r>
          </w:p>
        </w:tc>
        <w:tc>
          <w:tcPr/>
          <w:p>
            <w:pPr>
              <w:pStyle w:val="Compact"/>
              <w:jc w:val="left"/>
            </w:pPr>
            <w:r>
              <w:t xml:space="preserve">+0.18 (SE 0.18)</w:t>
            </w:r>
          </w:p>
        </w:tc>
        <w:tc>
          <w:tcPr/>
          <w:p>
            <w:pPr>
              <w:pStyle w:val="Compact"/>
              <w:jc w:val="left"/>
            </w:pPr>
            <w:r>
              <w:t xml:space="preserve">0.15</w:t>
            </w:r>
          </w:p>
        </w:tc>
        <w:tc>
          <w:tcPr/>
          <w:p>
            <w:pPr>
              <w:pStyle w:val="Compact"/>
              <w:jc w:val="left"/>
            </w:pPr>
            <w:r>
              <w:t xml:space="preserve">Not supported</w:t>
            </w:r>
          </w:p>
        </w:tc>
      </w:tr>
      <w:tr>
        <w:tc>
          <w:tcPr/>
          <w:p>
            <w:pPr>
              <w:pStyle w:val="Compact"/>
              <w:jc w:val="left"/>
            </w:pPr>
            <w:r>
              <w:t xml:space="preserve">P2, 2017–21 tariff</w:t>
            </w:r>
          </w:p>
        </w:tc>
        <w:tc>
          <w:tcPr/>
          <w:p>
            <w:pPr>
              <w:pStyle w:val="Compact"/>
              <w:jc w:val="left"/>
            </w:pPr>
            <w:r>
              <w:t xml:space="preserve">+0.40 (SE 0.10)</w:t>
            </w:r>
          </w:p>
        </w:tc>
        <w:tc>
          <w:tcPr/>
          <w:p>
            <w:pPr>
              <w:pStyle w:val="Compact"/>
              <w:jc w:val="left"/>
            </w:pPr>
            <w:r>
              <w:t xml:space="preserve">&lt; 0.001</w:t>
            </w:r>
          </w:p>
        </w:tc>
        <w:tc>
          <w:tcPr/>
          <w:p>
            <w:pPr>
              <w:pStyle w:val="Compact"/>
              <w:jc w:val="left"/>
            </w:pPr>
            <w:r>
              <w:t xml:space="preserve">Supported; confounded with volatility clustering</w:t>
            </w:r>
          </w:p>
        </w:tc>
      </w:tr>
      <w:tr>
        <w:tc>
          <w:tcPr/>
          <w:p>
            <w:pPr>
              <w:pStyle w:val="Compact"/>
              <w:jc w:val="left"/>
            </w:pPr>
            <w:r>
              <w:t xml:space="preserve">P3 N_c × U, 2026</w:t>
            </w:r>
          </w:p>
        </w:tc>
        <w:tc>
          <w:tcPr/>
          <w:p>
            <w:pPr>
              <w:pStyle w:val="Compact"/>
              <w:jc w:val="left"/>
            </w:pPr>
            <w:r>
              <w:t xml:space="preserve">−0.08 (SE 1.52)</w:t>
            </w:r>
          </w:p>
        </w:tc>
        <w:tc>
          <w:tcPr/>
          <w:p>
            <w:pPr>
              <w:pStyle w:val="Compact"/>
              <w:jc w:val="left"/>
            </w:pPr>
            <w:r>
              <w:t xml:space="preserve">0.52</w:t>
            </w:r>
          </w:p>
        </w:tc>
        <w:tc>
          <w:tcPr/>
          <w:p>
            <w:pPr>
              <w:pStyle w:val="Compact"/>
              <w:jc w:val="left"/>
            </w:pPr>
            <w:r>
              <w:t xml:space="preserve">Not supported</w:t>
            </w:r>
          </w:p>
        </w:tc>
      </w:tr>
      <w:tr>
        <w:tc>
          <w:tcPr/>
          <w:p>
            <w:pPr>
              <w:pStyle w:val="Compact"/>
              <w:jc w:val="left"/>
            </w:pPr>
            <w:r>
              <w:t xml:space="preserve">P3, 2017–21 oil/Iran; tariff</w:t>
            </w:r>
          </w:p>
        </w:tc>
        <w:tc>
          <w:tcPr/>
          <w:p>
            <w:pPr>
              <w:pStyle w:val="Compact"/>
              <w:jc w:val="left"/>
            </w:pPr>
            <w:r>
              <w:t xml:space="preserve">−0.37 (1.81); +0.32 (0.97)</w:t>
            </w:r>
          </w:p>
        </w:tc>
        <w:tc>
          <w:tcPr/>
          <w:p>
            <w:pPr>
              <w:pStyle w:val="Compact"/>
              <w:jc w:val="left"/>
            </w:pPr>
            <w:r>
              <w:t xml:space="preserve">0.58; Holm 0.74</w:t>
            </w:r>
          </w:p>
        </w:tc>
        <w:tc>
          <w:tcPr/>
          <w:p>
            <w:pPr>
              <w:pStyle w:val="Compact"/>
              <w:jc w:val="left"/>
            </w:pPr>
            <w:r>
              <w:t xml:space="preserve">Not supported</w:t>
            </w:r>
          </w:p>
        </w:tc>
      </w:tr>
      <w:tr>
        <w:tc>
          <w:tcPr/>
          <w:p>
            <w:pPr>
              <w:pStyle w:val="Compact"/>
              <w:jc w:val="left"/>
            </w:pPr>
            <w:r>
              <w:t xml:space="preserve">P4 mutual information, war</w:t>
            </w:r>
          </w:p>
        </w:tc>
        <w:tc>
          <w:tcPr/>
          <w:p>
            <w:pPr>
              <w:pStyle w:val="Compact"/>
              <w:jc w:val="left"/>
            </w:pPr>
            <w:r>
              <w:t xml:space="preserve">0.0014 bits (null 0.0004)</w:t>
            </w:r>
          </w:p>
        </w:tc>
        <w:tc>
          <w:tcPr/>
          <w:p>
            <w:pPr>
              <w:pStyle w:val="Compact"/>
              <w:jc w:val="left"/>
            </w:pPr>
            <w:r>
              <w:t xml:space="preserve">0.041</w:t>
            </w:r>
          </w:p>
        </w:tc>
        <w:tc>
          <w:tcPr/>
          <w:p>
            <w:pPr>
              <w:pStyle w:val="Compact"/>
              <w:jc w:val="left"/>
            </w:pPr>
            <w:r>
              <w:t xml:space="preserve">Marginal; Holm over HI1–HI4 would give 0.16</w:t>
            </w:r>
          </w:p>
        </w:tc>
      </w:tr>
      <w:tr>
        <w:tc>
          <w:tcPr/>
          <w:p>
            <w:pPr>
              <w:pStyle w:val="Compact"/>
              <w:jc w:val="left"/>
            </w:pPr>
            <w:r>
              <w:t xml:space="preserve">P4 mutual information, pre-war</w:t>
            </w:r>
          </w:p>
        </w:tc>
        <w:tc>
          <w:tcPr/>
          <w:p>
            <w:pPr>
              <w:pStyle w:val="Compact"/>
              <w:jc w:val="left"/>
            </w:pPr>
            <w:r>
              <w:t xml:space="preserve">0.0003 bits (null 0.0002)</w:t>
            </w:r>
          </w:p>
        </w:tc>
        <w:tc>
          <w:tcPr/>
          <w:p>
            <w:pPr>
              <w:pStyle w:val="Compact"/>
              <w:jc w:val="left"/>
            </w:pPr>
            <w:r>
              <w:t xml:space="preserve">0.28</w:t>
            </w:r>
          </w:p>
        </w:tc>
        <w:tc>
          <w:tcPr/>
          <w:p>
            <w:pPr>
              <w:pStyle w:val="Compact"/>
              <w:jc w:val="left"/>
            </w:pPr>
            <w:r>
              <w:t xml:space="preserve">Not different from null</w:t>
            </w:r>
          </w:p>
        </w:tc>
      </w:tr>
    </w:tbl>
    <w:p>
      <w:pPr>
        <w:pStyle w:val="BodyText"/>
      </w:pPr>
      <w:r>
        <w:rPr>
          <w:iCs/>
          <w:i/>
        </w:rPr>
        <w:t xml:space="preserve">Table 7. Pre-specified information-theoretic tests (analysis plans in Appendix A).</w:t>
      </w:r>
    </w:p>
    <w:p>
      <w:pPr>
        <w:pStyle w:val="BodyText"/>
      </w:pPr>
      <w:r>
        <w:t xml:space="preserve">The coefficients of novelty and prior uncertainty have the predicted sign in the 2026 sample and its replication, but none reaches p &lt; 0.05, and the interaction is absent. In the two 2017–2021 samples novelty is negative or zero. With 271 posts the standard error of the novelty coefficient is 0.56 against an estimate of 0.77, so effects below about 1.5 in these units cannot be excluded;</w:t>
      </w:r>
      <w:r>
        <w:t xml:space="preserve"> </w:t>
      </w:r>
      <w:r>
        <w:t xml:space="preserve">“</w:t>
      </w:r>
      <w:r>
        <w:t xml:space="preserve">not supported</w:t>
      </w:r>
      <w:r>
        <w:t xml:space="preserve">”</w:t>
      </w:r>
      <w:r>
        <w:t xml:space="preserve"> </w:t>
      </w:r>
      <w:r>
        <w:t xml:space="preserve">here means that the tests could not detect an effect, not that none exists. The only coefficient that clears its threshold, prior uncertainty in the tariff tweets, is the one that volatility persistence predicts without any account of information (Section 3.4), and it did not appear in the oil samples. The mutual-information result, at about one thousandth of a bit per hour-bar, is one of four tests of the information family in the plan (each fixed at α = .05 with no family adjustment); a Holm adjustment over the four would give 0.16, and the plan’s test of a larger value in the war than before the war was not a formal contrast. We do not count it as support.</w:t>
      </w:r>
    </w:p>
    <w:bookmarkEnd w:id="40"/>
    <w:bookmarkStart w:id="41" w:name="status-of-the-reported-results"/>
    <w:p>
      <w:pPr>
        <w:pStyle w:val="Heading3"/>
      </w:pPr>
      <w:r>
        <w:t xml:space="preserve">4.7 Status of the reported results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true"/>
        </w:trPr>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Posting overdispersed; follows volatile hours (4.1)</w:t>
            </w:r>
          </w:p>
        </w:tc>
        <w:tc>
          <w:tcPr/>
          <w:p>
            <w:pPr>
              <w:pStyle w:val="Compact"/>
              <w:jc w:val="left"/>
            </w:pPr>
            <w:r>
              <w:t xml:space="preserve">Pre-specified for dispersion; exploratory for the logit</w:t>
            </w:r>
          </w:p>
        </w:tc>
      </w:tr>
      <w:tr>
        <w:tc>
          <w:tcPr/>
          <w:p>
            <w:pPr>
              <w:pStyle w:val="Compact"/>
              <w:jc w:val="left"/>
            </w:pPr>
            <w:r>
              <w:t xml:space="preserve">Model-labelled hourly co-movement (4.2)</w:t>
            </w:r>
          </w:p>
        </w:tc>
        <w:tc>
          <w:tcPr/>
          <w:p>
            <w:pPr>
              <w:pStyle w:val="Compact"/>
              <w:jc w:val="left"/>
            </w:pPr>
            <w:r>
              <w:t xml:space="preserve">Amended (headline arose from an amendment); superseded by 4.5</w:t>
            </w:r>
          </w:p>
        </w:tc>
      </w:tr>
      <w:tr>
        <w:tc>
          <w:tcPr/>
          <w:p>
            <w:pPr>
              <w:pStyle w:val="Compact"/>
              <w:jc w:val="left"/>
            </w:pPr>
            <w:r>
              <w:t xml:space="preserve">Human validation κ (4.3)</w:t>
            </w:r>
          </w:p>
        </w:tc>
        <w:tc>
          <w:tcPr/>
          <w:p>
            <w:pPr>
              <w:pStyle w:val="Compact"/>
              <w:jc w:val="left"/>
            </w:pPr>
            <w:r>
              <w:t xml:space="preserve">Descriptive; round-2 and round-3 plans written before labels returned</w:t>
            </w:r>
          </w:p>
        </w:tc>
      </w:tr>
      <w:tr>
        <w:tc>
          <w:tcPr/>
          <w:p>
            <w:pPr>
              <w:pStyle w:val="Compact"/>
              <w:jc w:val="left"/>
            </w:pPr>
            <w:r>
              <w:t xml:space="preserve">Model re-labelling under codebook v2 and label-set comparison (4.4)</w:t>
            </w:r>
          </w:p>
        </w:tc>
        <w:tc>
          <w:tcPr/>
          <w:p>
            <w:pPr>
              <w:pStyle w:val="Compact"/>
              <w:jc w:val="left"/>
            </w:pPr>
            <w:r>
              <w:t xml:space="preserve">Planned before the labels were produced</w:t>
            </w:r>
          </w:p>
        </w:tc>
      </w:tr>
      <w:tr>
        <w:tc>
          <w:tcPr/>
          <w:p>
            <w:pPr>
              <w:pStyle w:val="Compact"/>
              <w:jc w:val="left"/>
            </w:pPr>
            <w:r>
              <w:t xml:space="preserve">Tick-level human-label direction, 5 and 30 minutes (4.5)</w:t>
            </w:r>
          </w:p>
        </w:tc>
        <w:tc>
          <w:tcPr/>
          <w:p>
            <w:pPr>
              <w:pStyle w:val="Compact"/>
              <w:jc w:val="left"/>
            </w:pPr>
            <w:r>
              <w:t xml:space="preserve">Amended (primary sample redefined after round 2)</w:t>
            </w:r>
          </w:p>
        </w:tc>
      </w:tr>
      <w:tr>
        <w:tc>
          <w:tcPr/>
          <w:p>
            <w:pPr>
              <w:pStyle w:val="Compact"/>
              <w:jc w:val="left"/>
            </w:pPr>
            <w:r>
              <w:t xml:space="preserve">Post − pre excess at 30 minutes (4.5)</w:t>
            </w:r>
          </w:p>
        </w:tc>
        <w:tc>
          <w:tcPr/>
          <w:p>
            <w:pPr>
              <w:pStyle w:val="Compact"/>
              <w:jc w:val="left"/>
            </w:pPr>
            <w:r>
              <w:t xml:space="preserve">Amended; borderline in robustness</w:t>
            </w:r>
          </w:p>
        </w:tc>
      </w:tr>
      <w:tr>
        <w:tc>
          <w:tcPr/>
          <w:p>
            <w:pPr>
              <w:pStyle w:val="Compact"/>
              <w:jc w:val="left"/>
            </w:pPr>
            <w:r>
              <w:t xml:space="preserve">Placebo and pre-post drift (4.5)</w:t>
            </w:r>
          </w:p>
        </w:tc>
        <w:tc>
          <w:tcPr/>
          <w:p>
            <w:pPr>
              <w:pStyle w:val="Compact"/>
              <w:jc w:val="left"/>
            </w:pPr>
            <w:r>
              <w:t xml:space="preserve">Planned before placebo data were analysed; applied to human labels after the sample was fixed</w:t>
            </w:r>
          </w:p>
        </w:tc>
      </w:tr>
      <w:tr>
        <w:tc>
          <w:tcPr/>
          <w:p>
            <w:pPr>
              <w:pStyle w:val="Compact"/>
              <w:jc w:val="left"/>
            </w:pPr>
            <w:r>
              <w:t xml:space="preserve">Adjudication split; two-sided and day-clustered re-statement (4.5)</w:t>
            </w:r>
          </w:p>
        </w:tc>
        <w:tc>
          <w:tcPr/>
          <w:p>
            <w:pPr>
              <w:pStyle w:val="Compact"/>
              <w:jc w:val="left"/>
            </w:pPr>
            <w:r>
              <w:t xml:space="preserve">Planned after the round-3 review, before computation</w:t>
            </w:r>
          </w:p>
        </w:tc>
      </w:tr>
      <w:tr>
        <w:tc>
          <w:tcPr/>
          <w:p>
            <w:pPr>
              <w:pStyle w:val="Compact"/>
              <w:jc w:val="left"/>
            </w:pPr>
            <w:r>
              <w:t xml:space="preserve">Robustness variants (Table 6)</w:t>
            </w:r>
          </w:p>
        </w:tc>
        <w:tc>
          <w:tcPr/>
          <w:p>
            <w:pPr>
              <w:pStyle w:val="Compact"/>
              <w:jc w:val="left"/>
            </w:pPr>
            <w:r>
              <w:t xml:space="preserve">Planned after the baseline was known; unadjusted</w:t>
            </w:r>
          </w:p>
        </w:tc>
      </w:tr>
      <w:tr>
        <w:tc>
          <w:tcPr/>
          <w:p>
            <w:pPr>
              <w:pStyle w:val="Compact"/>
              <w:jc w:val="left"/>
            </w:pPr>
            <w:r>
              <w:t xml:space="preserve">P1–P3 (4.6)</w:t>
            </w:r>
          </w:p>
        </w:tc>
        <w:tc>
          <w:tcPr/>
          <w:p>
            <w:pPr>
              <w:pStyle w:val="Compact"/>
              <w:jc w:val="left"/>
            </w:pPr>
            <w:r>
              <w:t xml:space="preserve">Pre-specified; not supported</w:t>
            </w:r>
          </w:p>
        </w:tc>
      </w:tr>
      <w:tr>
        <w:tc>
          <w:tcPr/>
          <w:p>
            <w:pPr>
              <w:pStyle w:val="Compact"/>
              <w:jc w:val="left"/>
            </w:pPr>
            <w:r>
              <w:t xml:space="preserve">P4 (4.6)</w:t>
            </w:r>
          </w:p>
        </w:tc>
        <w:tc>
          <w:tcPr/>
          <w:p>
            <w:pPr>
              <w:pStyle w:val="Compact"/>
              <w:jc w:val="left"/>
            </w:pPr>
            <w:r>
              <w:t xml:space="preserve">Pre-specified; marginal</w:t>
            </w:r>
          </w:p>
        </w:tc>
      </w:tr>
      <w:tr>
        <w:tc>
          <w:tcPr/>
          <w:p>
            <w:pPr>
              <w:pStyle w:val="Compact"/>
              <w:jc w:val="left"/>
            </w:pPr>
            <w:r>
              <w:t xml:space="preserve">Cross-asset responses (4.2)</w:t>
            </w:r>
          </w:p>
        </w:tc>
        <w:tc>
          <w:tcPr/>
          <w:p>
            <w:pPr>
              <w:pStyle w:val="Compact"/>
              <w:jc w:val="left"/>
            </w:pPr>
            <w:r>
              <w:t xml:space="preserve">Model-labelled; Holm within assets</w:t>
            </w:r>
          </w:p>
        </w:tc>
      </w:tr>
      <w:tr>
        <w:tc>
          <w:tcPr/>
          <w:p>
            <w:pPr>
              <w:pStyle w:val="Compact"/>
              <w:jc w:val="left"/>
            </w:pPr>
            <w:r>
              <w:t xml:space="preserve">Appendices D and E</w:t>
            </w:r>
          </w:p>
        </w:tc>
        <w:tc>
          <w:tcPr/>
          <w:p>
            <w:pPr>
              <w:pStyle w:val="Compact"/>
              <w:jc w:val="left"/>
            </w:pPr>
            <w:r>
              <w:t xml:space="preserve">Exploratory or model-labelled</w:t>
            </w:r>
          </w:p>
        </w:tc>
      </w:tr>
    </w:tbl>
    <w:p>
      <w:pPr>
        <w:pStyle w:val="BodyText"/>
      </w:pPr>
      <w:r>
        <w:rPr>
          <w:iCs/>
          <w:i/>
        </w:rPr>
        <w:t xml:space="preserve">Table 8. Status of results in the main text. The labels H5a, H7b and similar in Appendix A are the hypotheses of the individual analysis plans; P1–P7 are the propositions of Section 2 and Appendix E.</w:t>
      </w:r>
    </w:p>
    <w:bookmarkEnd w:id="41"/>
    <w:bookmarkEnd w:id="42"/>
    <w:bookmarkStart w:id="47" w:name="discussion"/>
    <w:p>
      <w:pPr>
        <w:pStyle w:val="Heading2"/>
      </w:pPr>
      <w:r>
        <w:t xml:space="preserve">5. Discussion</w:t>
      </w:r>
    </w:p>
    <w:bookmarkStart w:id="43" w:name="what-the-evidence-supports"/>
    <w:p>
      <w:pPr>
        <w:pStyle w:val="Heading3"/>
      </w:pPr>
      <w:r>
        <w:t xml:space="preserve">5.1 What the evidence supports</w:t>
      </w:r>
    </w:p>
    <w:p>
      <w:pPr>
        <w:pStyle w:val="FirstParagraph"/>
      </w:pPr>
      <w:r>
        <w:t xml:space="preserve">The evidence supports five statements. First, platform speech by a head of state arrives as an overdispersed, bursty process that follows volatile market hours, so event-study designs that treat posting times as random overstate their identification. Second, during the closure, oil moves in the direction of posts that humans label de-escalation (about +1.05% over 30 minutes; median 0.47%) and, at about half the size, of posts that humans label escalation (+0.48%). The direction of this move is robust to the choices we varied and it exceeds the move at matched placebo times. Third, the move cannot be attributed to the post itself beyond short windows: it is preceded by drift, and the post-minus-pre excess is borderline and window-dependent. Fourth, model labels, including four runs under the humans’ own codebook, agree with human labels only at κ of about 0.5 and over-label escalation; this attenuates the estimated escalation response (0.17% to 0.35% against 0.48%), and for the original labels it makes the response indistinguishable from zero. Fifth, the escalation result rests mostly on posts whose labels the investigator adjudicated (66%), and is not separately established for them.</w:t>
      </w:r>
    </w:p>
    <w:p>
      <w:pPr>
        <w:pStyle w:val="BodyText"/>
      </w:pPr>
      <w:r>
        <w:t xml:space="preserve">The information-theoretic propositions that we specified in advance are not supported: novelty, the interaction and timing surprisal (Appendix E) do not predict the size of the reaction in any sample, and prior uncertainty does so only where it is confounded with volatility clustering. These tests have low power, so the result is that they could not detect an effect.</w:t>
      </w:r>
    </w:p>
    <w:bookmarkEnd w:id="43"/>
    <w:bookmarkStart w:id="44" w:name="contributions"/>
    <w:p>
      <w:pPr>
        <w:pStyle w:val="Heading3"/>
      </w:pPr>
      <w:r>
        <w:t xml:space="preserve">5.2 Contributions</w:t>
      </w:r>
    </w:p>
    <w:p>
      <w:pPr>
        <w:pStyle w:val="FirstParagraph"/>
      </w:pPr>
      <w:r>
        <w:t xml:space="preserve">The paper’s main contribution is a worked example, with an audit trail, of how the labelling of text changes an event-study estimate. Agreement between two runs of a model was high (κ 0.62 to 0.96) throughout, and four runs of three model sizes agree with each other at 0.69 to 0.84, but agreement with human coders was moderate (0.29 to 0.56 by round; 0.50 overall), and re-running the model with the humans’ codebook did not help. The error was one-directional, over-labelling escalation, so it attenuated one class’s estimate and left the other unchanged. For IS research that uses language models as measurement instruments, which is now common in work on platforms and digital traces, the case suggests a short checklist: (i) report validity against human coders by class and with a prevalence-robust measure, not only consistency between model runs; (ii) give the model and the humans the same codebook, and say who wrote it and when; (iii) compare estimates under alternative label sets on the same events, with clustered inference, instead of comparing significance; (iv) report the share of human labels that were adjudicated, by class; (v) report which events are lost for lack of an outcome window, by class. Recent methods can correct downstream estimates for imperfect labels using a validated subsample (Egami et al. 2023; Angelopoulos et al. 2023); our human-labelled set of 191 posts is small and was not drawn for that purpose, so we use it descriptively. A second contribution is descriptive: a documented case in which posting timing is endogenous and oil moves with posts within minutes, without our being able to say that the post is the news. A third is a record of negative results: the propositions derived from an information-theoretic account were mostly not supported, and the two instances in which they appeared to be (mutual information; prior uncertainty in tariff tweets) do not survive scrutiny.</w:t>
      </w:r>
    </w:p>
    <w:p>
      <w:pPr>
        <w:pStyle w:val="BodyText"/>
      </w:pPr>
      <w:r>
        <w:t xml:space="preserve">The paper does not offer a theory of platform-mediated speech. No platform feature varies in our data. What the platform changes here is the volume of posts and the availability of timestamps, which is what makes the measurement problem visible.</w:t>
      </w:r>
    </w:p>
    <w:bookmarkEnd w:id="44"/>
    <w:bookmarkStart w:id="45" w:name="limitations"/>
    <w:p>
      <w:pPr>
        <w:pStyle w:val="Heading3"/>
      </w:pPr>
      <w:r>
        <w:t xml:space="preserve">5.3 Limitations</w:t>
      </w:r>
    </w:p>
    <w:p>
      <w:pPr>
        <w:pStyle w:val="FirstParagraph"/>
      </w:pPr>
      <w:r>
        <w:t xml:space="preserve">The identification is weak. Posts follow volatile hours, all 20 cases examined in market-wire coverage show other drivers, and the pre-post drift is as large as the post move over windows of 30 minutes and longer; the tick analysis separates them only at 5 to 15 minutes, on 29 and 16 events from one conflict, one sender and one asset (a dealer CFD quote feed, not exchange futures, with contract roll and timestamp alignment not tested). The placebo is matched on clock hour, not on news. Three events supply 54% of the de-escalation mean, 83% of signal posts without a market window were made on weekends or off-hours, and 48% of escalation signal posts are lost for that reason, against 22% of de-escalation posts, so the two classes are selected differently and the result does not extend to weekend announcements. The labels are not independent of the investigator: the investigator who adjudicated knew the hypotheses, 66% of final escalation labels are adjudicated, and the coders, who are from the author’s department, remembered the course of the war and may have labelled with hindsight. The model re-labelling used instances of one vendor’s model family under one codebook, and the first-stage model is not documented to the level of version and temperature. The two human coders agree at κ = 0.51 to 0.69, which limits what any human-label comparison can show. The primary sample was redefined three times after seeing label quality and outcomes, the plans are not an independent registry, and the robustness windows we rely on were chosen after seeing them. Prior uncertainty and novelty are proxies that are not the market’s information set. The 2017–2021 samples and tariff results use model labels that humans accept for only about half of the model-agreed signals (Appendix E). The arrival-process and event-explanation analyses in Appendix D were run after the main results were seen.</w:t>
      </w:r>
    </w:p>
    <w:bookmarkEnd w:id="45"/>
    <w:bookmarkStart w:id="46" w:name="future-research"/>
    <w:p>
      <w:pPr>
        <w:pStyle w:val="Heading3"/>
      </w:pPr>
      <w:r>
        <w:t xml:space="preserve">5.4 Future research</w:t>
      </w:r>
    </w:p>
    <w:p>
      <w:pPr>
        <w:pStyle w:val="FirstParagraph"/>
      </w:pPr>
      <w:r>
        <w:t xml:space="preserve">The most informative next steps are replication on other episodes with human-validated labels and a third, independent coder who resolves disagreements without knowing the hypotheses; exchange-futures data with checked timestamps; a drift-adjusted or news-matched placebo; and a continuous measure of the physical constraint (tanker transits, insurance spreads, term structure) as a measure of prior uncertainty. A comparison between accounts of people who use posts to influence others and matched ordinary accounts is specified (Appendix A) and has not been run because suitable data have not been established.</w:t>
      </w:r>
    </w:p>
    <w:bookmarkEnd w:id="46"/>
    <w:bookmarkEnd w:id="47"/>
    <w:bookmarkStart w:id="48" w:name="conclusion"/>
    <w:p>
      <w:pPr>
        <w:pStyle w:val="Heading2"/>
      </w:pPr>
      <w:r>
        <w:t xml:space="preserve">6. Conclusion</w:t>
      </w:r>
    </w:p>
    <w:p>
      <w:pPr>
        <w:pStyle w:val="FirstParagraph"/>
      </w:pPr>
      <w:r>
        <w:t xml:space="preserve">In the 2026 Hormuz closure, oil moved with posts that humans labelled de-escalation and escalation, by more than at comparable hours, and the model-labelled analysis that suggested a one-sided response understated the escalation response because the model over-labels escalation; a clearer codebook did not repair that. The co-movement cannot be separated from earlier drift beyond short windows, and the information-theoretic propositions we specified are not supported. We offer the case as an audited example of why agreement with human coders, and not agreement between model runs, is the evidence a labelling needs before it is attached to market outcomes.</w:t>
      </w:r>
    </w:p>
    <w:p>
      <w:r>
        <w:pict>
          <v:rect style="width:0;height:1.5pt" o:hralign="center" o:hrstd="t" o:hr="t"/>
        </w:pict>
      </w:r>
    </w:p>
    <w:bookmarkEnd w:id="48"/>
    <w:bookmarkStart w:id="49" w:name="declarations-to-be-completed"/>
    <w:p>
      <w:pPr>
        <w:pStyle w:val="Heading2"/>
      </w:pPr>
      <w:r>
        <w:t xml:space="preserve">Declarations [to be completed]</w:t>
      </w:r>
    </w:p>
    <w:p>
      <w:pPr>
        <w:pStyle w:val="FirstParagraph"/>
      </w:pPr>
      <w:r>
        <w:rPr>
          <w:iCs/>
          <w:i/>
        </w:rPr>
        <w:t xml:space="preserve">Use of generative AI.</w:t>
      </w:r>
      <w:r>
        <w:t xml:space="preserve"> </w:t>
      </w:r>
      <w:r>
        <w:t xml:space="preserve">Large language models were used as classification instruments in the study and for drafting and analysis support. The journal’s disclosure requirements should be checked and the declaration completed accordingly [required].</w:t>
      </w:r>
    </w:p>
    <w:p>
      <w:pPr>
        <w:pStyle w:val="BodyText"/>
      </w:pPr>
      <w:r>
        <w:rPr>
          <w:iCs/>
          <w:i/>
        </w:rPr>
        <w:t xml:space="preserve">Data and code availability.</w:t>
      </w:r>
      <w:r>
        <w:t xml:space="preserve"> </w:t>
      </w:r>
      <w:r>
        <w:t xml:space="preserve">Code, analysis plans, coder outputs, and results are in an anonymized repository; the post archive and market data come from public sources [add anonymous repository DOI for review].</w:t>
      </w:r>
    </w:p>
    <w:bookmarkEnd w:id="49"/>
    <w:bookmarkStart w:id="50" w:name="references"/>
    <w:p>
      <w:pPr>
        <w:pStyle w:val="Heading2"/>
      </w:pPr>
      <w:r>
        <w:t xml:space="preserve">References</w:t>
      </w:r>
    </w:p>
    <w:p>
      <w:pPr>
        <w:pStyle w:val="FirstParagraph"/>
      </w:pPr>
      <w:r>
        <w:t xml:space="preserve">[On 14 October 2026 the journal articles, the Clauset chapter, the Leetaru and Schrodt paper, Richardson (1960) and the recently added items (Angelopoulos et al., Egami et al., Gilardi et al., Grimmer and Stewart, Ziems et al.; author lists of the last two beyond the first four names from memory) were checked against Crossref, publisher or library records. The textbooks (Austin, Cameron and Trivedi, Cover and Thomas, Searle) and Holm (1979) were not machine-checked and should be confirmed against the originals before submission.]</w:t>
      </w:r>
    </w:p>
    <w:p>
      <w:pPr>
        <w:pStyle w:val="BodyText"/>
      </w:pPr>
      <w:r>
        <w:t xml:space="preserve">Angelopoulos, A. N., Bates, S., Fannjiang, C., Jordan, M. I., and Zrnic, T. 2023.</w:t>
      </w:r>
      <w:r>
        <w:t xml:space="preserve"> </w:t>
      </w:r>
      <w:r>
        <w:t xml:space="preserve">“</w:t>
      </w:r>
      <w:r>
        <w:t xml:space="preserve">Prediction-Powered Inference,</w:t>
      </w:r>
      <w:r>
        <w:t xml:space="preserve">”</w:t>
      </w:r>
      <w:r>
        <w:t xml:space="preserve"> </w:t>
      </w:r>
      <w:r>
        <w:rPr>
          <w:iCs/>
          <w:i/>
        </w:rPr>
        <w:t xml:space="preserve">Science</w:t>
      </w:r>
      <w:r>
        <w:t xml:space="preserve"> </w:t>
      </w:r>
      <w:r>
        <w:t xml:space="preserve">(382:6671), pp. 669–674, https://doi.org/10.1126/science.adi6000.</w:t>
      </w:r>
    </w:p>
    <w:p>
      <w:pPr>
        <w:pStyle w:val="BodyText"/>
      </w:pPr>
      <w:r>
        <w:t xml:space="preserve">Austin, J. L. 1962.</w:t>
      </w:r>
      <w:r>
        <w:t xml:space="preserve"> </w:t>
      </w:r>
      <w:r>
        <w:rPr>
          <w:iCs/>
          <w:i/>
        </w:rPr>
        <w:t xml:space="preserve">How to Do Things with Words</w:t>
      </w:r>
      <w:r>
        <w:t xml:space="preserve">. Oxford: Clarendon Press.</w:t>
      </w:r>
    </w:p>
    <w:p>
      <w:pPr>
        <w:pStyle w:val="BodyText"/>
      </w:pPr>
      <w:r>
        <w:t xml:space="preserve">Barber, B. M., and Odean, T. 2008.</w:t>
      </w:r>
      <w:r>
        <w:t xml:space="preserve"> </w:t>
      </w:r>
      <w:r>
        <w:t xml:space="preserve">“</w:t>
      </w:r>
      <w:r>
        <w:t xml:space="preserve">All That Glitters: The Effect of Attention and News on the Buying Behavior of Individual and Institutional Investors,</w:t>
      </w:r>
      <w:r>
        <w:t xml:space="preserve">”</w:t>
      </w:r>
      <w:r>
        <w:t xml:space="preserve"> </w:t>
      </w:r>
      <w:r>
        <w:rPr>
          <w:iCs/>
          <w:i/>
        </w:rPr>
        <w:t xml:space="preserve">Review of Financial Studies</w:t>
      </w:r>
      <w:r>
        <w:t xml:space="preserve"> </w:t>
      </w:r>
      <w:r>
        <w:t xml:space="preserve">(21:2), pp. 785–818.</w:t>
      </w:r>
    </w:p>
    <w:p>
      <w:pPr>
        <w:pStyle w:val="BodyText"/>
      </w:pPr>
      <w:r>
        <w:t xml:space="preserve">Blankespoor, E., Miller, G. S., and White, H. D. 2014.</w:t>
      </w:r>
      <w:r>
        <w:t xml:space="preserve"> </w:t>
      </w:r>
      <w:r>
        <w:t xml:space="preserve">“</w:t>
      </w:r>
      <w:r>
        <w:t xml:space="preserve">The Role of Dissemination in Market Liquidity: Evidence from Firms’ Use of Twitter,</w:t>
      </w:r>
      <w:r>
        <w:t xml:space="preserve">”</w:t>
      </w:r>
      <w:r>
        <w:t xml:space="preserve"> </w:t>
      </w:r>
      <w:r>
        <w:rPr>
          <w:iCs/>
          <w:i/>
        </w:rPr>
        <w:t xml:space="preserve">The Accounting Review</w:t>
      </w:r>
      <w:r>
        <w:t xml:space="preserve"> </w:t>
      </w:r>
      <w:r>
        <w:t xml:space="preserve">(89:1), pp. 79–112, https://doi.org/10.2308/accr-50576.</w:t>
      </w:r>
    </w:p>
    <w:p>
      <w:pPr>
        <w:pStyle w:val="BodyText"/>
      </w:pPr>
      <w:r>
        <w:t xml:space="preserve">Bollen, J., Mao, H., and Zeng, X. 2011.</w:t>
      </w:r>
      <w:r>
        <w:t xml:space="preserve"> </w:t>
      </w:r>
      <w:r>
        <w:t xml:space="preserve">“</w:t>
      </w:r>
      <w:r>
        <w:t xml:space="preserve">Twitter Mood Predicts the Stock Market,</w:t>
      </w:r>
      <w:r>
        <w:t xml:space="preserve">”</w:t>
      </w:r>
      <w:r>
        <w:t xml:space="preserve"> </w:t>
      </w:r>
      <w:r>
        <w:rPr>
          <w:iCs/>
          <w:i/>
        </w:rPr>
        <w:t xml:space="preserve">Journal of Computational Science</w:t>
      </w:r>
      <w:r>
        <w:t xml:space="preserve"> </w:t>
      </w:r>
      <w:r>
        <w:t xml:space="preserve">(2:1), pp. 1–8.</w:t>
      </w:r>
    </w:p>
    <w:p>
      <w:pPr>
        <w:pStyle w:val="BodyText"/>
      </w:pPr>
      <w:r>
        <w:t xml:space="preserve">Born, J. A., Myers, D. H., and Clark, W. J. 2017.</w:t>
      </w:r>
      <w:r>
        <w:t xml:space="preserve"> </w:t>
      </w:r>
      <w:r>
        <w:t xml:space="preserve">“</w:t>
      </w:r>
      <w:r>
        <w:t xml:space="preserve">Trump Tweets and the Efficient Market Hypothesis,</w:t>
      </w:r>
      <w:r>
        <w:t xml:space="preserve">”</w:t>
      </w:r>
      <w:r>
        <w:t xml:space="preserve"> </w:t>
      </w:r>
      <w:r>
        <w:rPr>
          <w:iCs/>
          <w:i/>
        </w:rPr>
        <w:t xml:space="preserve">Algorithmic Finance</w:t>
      </w:r>
      <w:r>
        <w:t xml:space="preserve"> </w:t>
      </w:r>
      <w:r>
        <w:t xml:space="preserve">(6:3–4), pp. 103–109, https://doi.org/10.3233/AF-170211.</w:t>
      </w:r>
    </w:p>
    <w:p>
      <w:pPr>
        <w:pStyle w:val="BodyText"/>
      </w:pPr>
      <w:r>
        <w:t xml:space="preserve">Cameron, A. C., and Trivedi, P. K. 2013.</w:t>
      </w:r>
      <w:r>
        <w:t xml:space="preserve"> </w:t>
      </w:r>
      <w:r>
        <w:rPr>
          <w:iCs/>
          <w:i/>
        </w:rPr>
        <w:t xml:space="preserve">Regression Analysis of Count Data</w:t>
      </w:r>
      <w:r>
        <w:t xml:space="preserve"> </w:t>
      </w:r>
      <w:r>
        <w:t xml:space="preserve">(2nd ed.). Cambridge: Cambridge University Press.</w:t>
      </w:r>
    </w:p>
    <w:p>
      <w:pPr>
        <w:pStyle w:val="BodyText"/>
      </w:pPr>
      <w:r>
        <w:t xml:space="preserve">Chen, H., De, P., Hu, Y. J., and Hwang, B.-H. 2014.</w:t>
      </w:r>
      <w:r>
        <w:t xml:space="preserve"> </w:t>
      </w:r>
      <w:r>
        <w:t xml:space="preserve">“</w:t>
      </w:r>
      <w:r>
        <w:t xml:space="preserve">Wisdom of Crowds: The Value of Stock Opinions Transmitted Through Social Media,</w:t>
      </w:r>
      <w:r>
        <w:t xml:space="preserve">”</w:t>
      </w:r>
      <w:r>
        <w:t xml:space="preserve"> </w:t>
      </w:r>
      <w:r>
        <w:rPr>
          <w:iCs/>
          <w:i/>
        </w:rPr>
        <w:t xml:space="preserve">Review of Financial Studies</w:t>
      </w:r>
      <w:r>
        <w:t xml:space="preserve"> </w:t>
      </w:r>
      <w:r>
        <w:t xml:space="preserve">(27:5), pp. 1367–1403, https://doi.org/10.1093/rfs/hhu001.</w:t>
      </w:r>
    </w:p>
    <w:p>
      <w:pPr>
        <w:pStyle w:val="BodyText"/>
      </w:pPr>
      <w:r>
        <w:t xml:space="preserve">Clauset, A. 2020.</w:t>
      </w:r>
      <w:r>
        <w:t xml:space="preserve"> </w:t>
      </w:r>
      <w:r>
        <w:t xml:space="preserve">“</w:t>
      </w:r>
      <w:r>
        <w:t xml:space="preserve">On the Frequency and Severity of Interstate Wars,</w:t>
      </w:r>
      <w:r>
        <w:t xml:space="preserve">”</w:t>
      </w:r>
      <w:r>
        <w:t xml:space="preserve"> </w:t>
      </w:r>
      <w:r>
        <w:t xml:space="preserve">in</w:t>
      </w:r>
      <w:r>
        <w:t xml:space="preserve"> </w:t>
      </w:r>
      <w:r>
        <w:rPr>
          <w:iCs/>
          <w:i/>
        </w:rPr>
        <w:t xml:space="preserve">Lewis Fry Richardson: His Intellectual Legacy and Influence in the Social Sciences</w:t>
      </w:r>
      <w:r>
        <w:t xml:space="preserve">, N. P. Gleditsch (ed.), Cham: Springer, pp. 113–127, https://doi.org/10.1007/978-3-030-31589-4_10.</w:t>
      </w:r>
    </w:p>
    <w:p>
      <w:pPr>
        <w:pStyle w:val="BodyText"/>
      </w:pPr>
      <w:r>
        <w:t xml:space="preserve">Cohen, J. 1960.</w:t>
      </w:r>
      <w:r>
        <w:t xml:space="preserve"> </w:t>
      </w:r>
      <w:r>
        <w:t xml:space="preserve">“</w:t>
      </w:r>
      <w:r>
        <w:t xml:space="preserve">A Coefficient of Agreement for Nominal Scales,</w:t>
      </w:r>
      <w:r>
        <w:t xml:space="preserve">”</w:t>
      </w:r>
      <w:r>
        <w:t xml:space="preserve"> </w:t>
      </w:r>
      <w:r>
        <w:rPr>
          <w:iCs/>
          <w:i/>
        </w:rPr>
        <w:t xml:space="preserve">Educational and Psychological Measurement</w:t>
      </w:r>
      <w:r>
        <w:t xml:space="preserve"> </w:t>
      </w:r>
      <w:r>
        <w:t xml:space="preserve">(20:1), pp. 37–46.</w:t>
      </w:r>
    </w:p>
    <w:p>
      <w:pPr>
        <w:pStyle w:val="BodyText"/>
      </w:pPr>
      <w:r>
        <w:t xml:space="preserve">Cover, T. M., and Thomas, J. A. 2006.</w:t>
      </w:r>
      <w:r>
        <w:t xml:space="preserve"> </w:t>
      </w:r>
      <w:r>
        <w:rPr>
          <w:iCs/>
          <w:i/>
        </w:rPr>
        <w:t xml:space="preserve">Elements of Information Theory</w:t>
      </w:r>
      <w:r>
        <w:t xml:space="preserve"> </w:t>
      </w:r>
      <w:r>
        <w:t xml:space="preserve">(2nd ed.). Hoboken, NJ: Wiley.</w:t>
      </w:r>
    </w:p>
    <w:p>
      <w:pPr>
        <w:pStyle w:val="BodyText"/>
      </w:pPr>
      <w:r>
        <w:t xml:space="preserve">Crawford, V. P., and Sobel, J. 1982.</w:t>
      </w:r>
      <w:r>
        <w:t xml:space="preserve"> </w:t>
      </w:r>
      <w:r>
        <w:t xml:space="preserve">“</w:t>
      </w:r>
      <w:r>
        <w:t xml:space="preserve">Strategic Information Transmission,</w:t>
      </w:r>
      <w:r>
        <w:t xml:space="preserve">”</w:t>
      </w:r>
      <w:r>
        <w:t xml:space="preserve"> </w:t>
      </w:r>
      <w:r>
        <w:rPr>
          <w:iCs/>
          <w:i/>
        </w:rPr>
        <w:t xml:space="preserve">Econometrica</w:t>
      </w:r>
      <w:r>
        <w:t xml:space="preserve"> </w:t>
      </w:r>
      <w:r>
        <w:t xml:space="preserve">(50:6), pp. 1431–1451.</w:t>
      </w:r>
    </w:p>
    <w:p>
      <w:pPr>
        <w:pStyle w:val="BodyText"/>
      </w:pPr>
      <w:r>
        <w:t xml:space="preserve">Egami, N., Hinck, M., Stewart, B., and Wei, H. 2023.</w:t>
      </w:r>
      <w:r>
        <w:t xml:space="preserve"> </w:t>
      </w:r>
      <w:r>
        <w:t xml:space="preserve">“</w:t>
      </w:r>
      <w:r>
        <w:t xml:space="preserve">Using Imperfect Surrogates for Downstream Inference: Design-Based Supervised Learning for Social Science Applications of Large Language Models,</w:t>
      </w:r>
      <w:r>
        <w:t xml:space="preserve">”</w:t>
      </w:r>
      <w:r>
        <w:t xml:space="preserve"> </w:t>
      </w:r>
      <w:r>
        <w:t xml:space="preserve">in</w:t>
      </w:r>
      <w:r>
        <w:t xml:space="preserve"> </w:t>
      </w:r>
      <w:r>
        <w:rPr>
          <w:iCs/>
          <w:i/>
        </w:rPr>
        <w:t xml:space="preserve">Advances in Neural Information Processing Systems 36</w:t>
      </w:r>
      <w:r>
        <w:t xml:space="preserve">, pp. 68589–68601.</w:t>
      </w:r>
    </w:p>
    <w:p>
      <w:pPr>
        <w:pStyle w:val="BodyText"/>
      </w:pPr>
      <w:r>
        <w:t xml:space="preserve">Ge, Q., Kurov, A., and Wolfe, M. H. 2019.</w:t>
      </w:r>
      <w:r>
        <w:t xml:space="preserve"> </w:t>
      </w:r>
      <w:r>
        <w:t xml:space="preserve">“</w:t>
      </w:r>
      <w:r>
        <w:t xml:space="preserve">Do Investors Care About Presidential Company-Specific Tweets?,</w:t>
      </w:r>
      <w:r>
        <w:t xml:space="preserve">”</w:t>
      </w:r>
      <w:r>
        <w:t xml:space="preserve"> </w:t>
      </w:r>
      <w:r>
        <w:rPr>
          <w:iCs/>
          <w:i/>
        </w:rPr>
        <w:t xml:space="preserve">Journal of Financial Research</w:t>
      </w:r>
      <w:r>
        <w:t xml:space="preserve"> </w:t>
      </w:r>
      <w:r>
        <w:t xml:space="preserve">(42:2), pp. 213–242, https://doi.org/10.1111/jfir.12177.</w:t>
      </w:r>
    </w:p>
    <w:p>
      <w:pPr>
        <w:pStyle w:val="BodyText"/>
      </w:pPr>
      <w:r>
        <w:t xml:space="preserve">Gilardi, F., Alizadeh, M., and Kubli, M. 2023.</w:t>
      </w:r>
      <w:r>
        <w:t xml:space="preserve"> </w:t>
      </w:r>
      <w:r>
        <w:t xml:space="preserve">“</w:t>
      </w:r>
      <w:r>
        <w:t xml:space="preserve">ChatGPT Outperforms Crowd Workers for Text-Annotation Tasks,</w:t>
      </w:r>
      <w:r>
        <w:t xml:space="preserve">”</w:t>
      </w:r>
      <w:r>
        <w:t xml:space="preserve"> </w:t>
      </w:r>
      <w:r>
        <w:rPr>
          <w:iCs/>
          <w:i/>
        </w:rPr>
        <w:t xml:space="preserve">Proceedings of the National Academy of Sciences</w:t>
      </w:r>
      <w:r>
        <w:t xml:space="preserve"> </w:t>
      </w:r>
      <w:r>
        <w:t xml:space="preserve">(120:30), e2305016120, https://doi.org/10.1073/pnas.2305016120.</w:t>
      </w:r>
    </w:p>
    <w:p>
      <w:pPr>
        <w:pStyle w:val="BodyText"/>
      </w:pPr>
      <w:r>
        <w:t xml:space="preserve">Grimmer, J., and Stewart, B. M. 2013.</w:t>
      </w:r>
      <w:r>
        <w:t xml:space="preserve"> </w:t>
      </w:r>
      <w:r>
        <w:t xml:space="preserve">“</w:t>
      </w:r>
      <w:r>
        <w:t xml:space="preserve">Text as Data: The Promise and Pitfalls of Automatic Content Analysis Methods for Political Texts,</w:t>
      </w:r>
      <w:r>
        <w:t xml:space="preserve">”</w:t>
      </w:r>
      <w:r>
        <w:t xml:space="preserve"> </w:t>
      </w:r>
      <w:r>
        <w:rPr>
          <w:iCs/>
          <w:i/>
        </w:rPr>
        <w:t xml:space="preserve">Political Analysis</w:t>
      </w:r>
      <w:r>
        <w:t xml:space="preserve"> </w:t>
      </w:r>
      <w:r>
        <w:t xml:space="preserve">(21:3), pp. 267–297, https://doi.org/10.1093/pan/mps028.</w:t>
      </w:r>
    </w:p>
    <w:p>
      <w:pPr>
        <w:pStyle w:val="BodyText"/>
      </w:pPr>
      <w:r>
        <w:t xml:space="preserve">Gürkaynak, R. S., Sack, B., and Swanson, E. 2005.</w:t>
      </w:r>
      <w:r>
        <w:t xml:space="preserve"> </w:t>
      </w:r>
      <w:r>
        <w:t xml:space="preserve">“</w:t>
      </w:r>
      <w:r>
        <w:t xml:space="preserve">Do Actions Speak Louder Than Words? The Response of Asset Prices to Monetary Policy Actions and Statements,</w:t>
      </w:r>
      <w:r>
        <w:t xml:space="preserve">”</w:t>
      </w:r>
      <w:r>
        <w:t xml:space="preserve"> </w:t>
      </w:r>
      <w:r>
        <w:rPr>
          <w:iCs/>
          <w:i/>
        </w:rPr>
        <w:t xml:space="preserve">International Journal of Central Banking</w:t>
      </w:r>
      <w:r>
        <w:t xml:space="preserve"> </w:t>
      </w:r>
      <w:r>
        <w:t xml:space="preserve">(1:1), pp. 55–93.</w:t>
      </w:r>
    </w:p>
    <w:p>
      <w:pPr>
        <w:pStyle w:val="BodyText"/>
      </w:pPr>
      <w:r>
        <w:t xml:space="preserve">Holm, S. 1979.</w:t>
      </w:r>
      <w:r>
        <w:t xml:space="preserve"> </w:t>
      </w:r>
      <w:r>
        <w:t xml:space="preserve">“</w:t>
      </w:r>
      <w:r>
        <w:t xml:space="preserve">A Simple Sequentially Rejective Multiple Test Procedure,</w:t>
      </w:r>
      <w:r>
        <w:t xml:space="preserve">”</w:t>
      </w:r>
      <w:r>
        <w:t xml:space="preserve"> </w:t>
      </w:r>
      <w:r>
        <w:rPr>
          <w:iCs/>
          <w:i/>
        </w:rPr>
        <w:t xml:space="preserve">Scandinavian Journal of Statistics</w:t>
      </w:r>
      <w:r>
        <w:t xml:space="preserve"> </w:t>
      </w:r>
      <w:r>
        <w:t xml:space="preserve">(6:2), pp. 65–70.</w:t>
      </w:r>
    </w:p>
    <w:p>
      <w:pPr>
        <w:pStyle w:val="BodyText"/>
      </w:pPr>
      <w:r>
        <w:t xml:space="preserve">Houweling, H. W., and Kuné, J. B. 1984.</w:t>
      </w:r>
      <w:r>
        <w:t xml:space="preserve"> </w:t>
      </w:r>
      <w:r>
        <w:t xml:space="preserve">“</w:t>
      </w:r>
      <w:r>
        <w:t xml:space="preserve">Do Outbreaks of War Follow a Poisson-Process?,</w:t>
      </w:r>
      <w:r>
        <w:t xml:space="preserve">”</w:t>
      </w:r>
      <w:r>
        <w:t xml:space="preserve"> </w:t>
      </w:r>
      <w:r>
        <w:rPr>
          <w:iCs/>
          <w:i/>
        </w:rPr>
        <w:t xml:space="preserve">Journal of Conflict Resolution</w:t>
      </w:r>
      <w:r>
        <w:t xml:space="preserve"> </w:t>
      </w:r>
      <w:r>
        <w:t xml:space="preserve">(28:1), pp. 51–61, https://doi.org/10.1177/0022002784028001003.</w:t>
      </w:r>
    </w:p>
    <w:p>
      <w:pPr>
        <w:pStyle w:val="BodyText"/>
      </w:pPr>
      <w:r>
        <w:t xml:space="preserve">Kamenica, E., and Gentzkow, M. 2011.</w:t>
      </w:r>
      <w:r>
        <w:t xml:space="preserve"> </w:t>
      </w:r>
      <w:r>
        <w:t xml:space="preserve">“</w:t>
      </w:r>
      <w:r>
        <w:t xml:space="preserve">Bayesian Persuasion,</w:t>
      </w:r>
      <w:r>
        <w:t xml:space="preserve">”</w:t>
      </w:r>
      <w:r>
        <w:t xml:space="preserve"> </w:t>
      </w:r>
      <w:r>
        <w:rPr>
          <w:iCs/>
          <w:i/>
        </w:rPr>
        <w:t xml:space="preserve">American Economic Review</w:t>
      </w:r>
      <w:r>
        <w:t xml:space="preserve"> </w:t>
      </w:r>
      <w:r>
        <w:t xml:space="preserve">(101:6), pp. 2590–2615.</w:t>
      </w:r>
    </w:p>
    <w:p>
      <w:pPr>
        <w:pStyle w:val="BodyText"/>
      </w:pPr>
      <w:r>
        <w:t xml:space="preserve">Kullback, S., and Leibler, R. A. 1951.</w:t>
      </w:r>
      <w:r>
        <w:t xml:space="preserve"> </w:t>
      </w:r>
      <w:r>
        <w:t xml:space="preserve">“</w:t>
      </w:r>
      <w:r>
        <w:t xml:space="preserve">On Information and Sufficiency,</w:t>
      </w:r>
      <w:r>
        <w:t xml:space="preserve">”</w:t>
      </w:r>
      <w:r>
        <w:t xml:space="preserve"> </w:t>
      </w:r>
      <w:r>
        <w:rPr>
          <w:iCs/>
          <w:i/>
        </w:rPr>
        <w:t xml:space="preserve">Annals of Mathematical Statistics</w:t>
      </w:r>
      <w:r>
        <w:t xml:space="preserve"> </w:t>
      </w:r>
      <w:r>
        <w:t xml:space="preserve">(22:1), pp. 79–86.</w:t>
      </w:r>
    </w:p>
    <w:p>
      <w:pPr>
        <w:pStyle w:val="BodyText"/>
      </w:pPr>
      <w:r>
        <w:t xml:space="preserve">Leetaru, K., and Schrodt, P. A. 2013.</w:t>
      </w:r>
      <w:r>
        <w:t xml:space="preserve"> </w:t>
      </w:r>
      <w:r>
        <w:t xml:space="preserve">“</w:t>
      </w:r>
      <w:r>
        <w:t xml:space="preserve">GDELT: Global Data on Events, Location and Tone, 1979–2012,</w:t>
      </w:r>
      <w:r>
        <w:t xml:space="preserve">”</w:t>
      </w:r>
      <w:r>
        <w:t xml:space="preserve"> </w:t>
      </w:r>
      <w:r>
        <w:t xml:space="preserve">paper presented at the International Studies Association Annual Convention, San Francisco, April.</w:t>
      </w:r>
    </w:p>
    <w:p>
      <w:pPr>
        <w:pStyle w:val="BodyText"/>
      </w:pPr>
      <w:r>
        <w:t xml:space="preserve">Lewis, E., Mohler, G., Brantingham, P. J., and Bertozzi, A. L. 2012.</w:t>
      </w:r>
      <w:r>
        <w:t xml:space="preserve"> </w:t>
      </w:r>
      <w:r>
        <w:t xml:space="preserve">“</w:t>
      </w:r>
      <w:r>
        <w:t xml:space="preserve">Self-Exciting Point Process Models of Civilian Deaths in Iraq,</w:t>
      </w:r>
      <w:r>
        <w:t xml:space="preserve">”</w:t>
      </w:r>
      <w:r>
        <w:t xml:space="preserve"> </w:t>
      </w:r>
      <w:r>
        <w:rPr>
          <w:iCs/>
          <w:i/>
        </w:rPr>
        <w:t xml:space="preserve">Security Journal</w:t>
      </w:r>
      <w:r>
        <w:t xml:space="preserve"> </w:t>
      </w:r>
      <w:r>
        <w:t xml:space="preserve">(25:3), pp. 244–264, https://doi.org/10.1057/sj.2011.21.</w:t>
      </w:r>
    </w:p>
    <w:p>
      <w:pPr>
        <w:pStyle w:val="BodyText"/>
      </w:pPr>
      <w:r>
        <w:t xml:space="preserve">Nosek, B. A., Ebersole, C. R., DeHaven, A. C., and Mellor, D. T. 2018.</w:t>
      </w:r>
      <w:r>
        <w:t xml:space="preserve"> </w:t>
      </w:r>
      <w:r>
        <w:t xml:space="preserve">“</w:t>
      </w:r>
      <w:r>
        <w:t xml:space="preserve">The Preregistration Revolution,</w:t>
      </w:r>
      <w:r>
        <w:t xml:space="preserve">”</w:t>
      </w:r>
      <w:r>
        <w:t xml:space="preserve"> </w:t>
      </w:r>
      <w:r>
        <w:rPr>
          <w:iCs/>
          <w:i/>
        </w:rPr>
        <w:t xml:space="preserve">Proceedings of the National Academy of Sciences</w:t>
      </w:r>
      <w:r>
        <w:t xml:space="preserve"> </w:t>
      </w:r>
      <w:r>
        <w:t xml:space="preserve">(115:11), pp. 2600–2606.</w:t>
      </w:r>
    </w:p>
    <w:p>
      <w:pPr>
        <w:pStyle w:val="BodyText"/>
      </w:pPr>
      <w:r>
        <w:t xml:space="preserve">Richardson, L. F. 1960.</w:t>
      </w:r>
      <w:r>
        <w:t xml:space="preserve"> </w:t>
      </w:r>
      <w:r>
        <w:rPr>
          <w:iCs/>
          <w:i/>
        </w:rPr>
        <w:t xml:space="preserve">Statistics of Deadly Quarrels</w:t>
      </w:r>
      <w:r>
        <w:t xml:space="preserve">, Q. Wright and C. C. Lienau (eds.), Pittsburgh: Boxwood Press; Chicago: Quadrangle Books.</w:t>
      </w:r>
    </w:p>
    <w:p>
      <w:pPr>
        <w:pStyle w:val="BodyText"/>
      </w:pPr>
      <w:r>
        <w:t xml:space="preserve">Searle, J. R. 1969.</w:t>
      </w:r>
      <w:r>
        <w:t xml:space="preserve"> </w:t>
      </w:r>
      <w:r>
        <w:rPr>
          <w:iCs/>
          <w:i/>
        </w:rPr>
        <w:t xml:space="preserve">Speech Acts: An Essay in the Philosophy of Language</w:t>
      </w:r>
      <w:r>
        <w:t xml:space="preserve">. Cambridge: Cambridge University Press.</w:t>
      </w:r>
    </w:p>
    <w:p>
      <w:pPr>
        <w:pStyle w:val="BodyText"/>
      </w:pPr>
      <w:r>
        <w:t xml:space="preserve">Shannon, C. E. 1948.</w:t>
      </w:r>
      <w:r>
        <w:t xml:space="preserve"> </w:t>
      </w:r>
      <w:r>
        <w:t xml:space="preserve">“</w:t>
      </w:r>
      <w:r>
        <w:t xml:space="preserve">A Mathematical Theory of Communication,</w:t>
      </w:r>
      <w:r>
        <w:t xml:space="preserve">”</w:t>
      </w:r>
      <w:r>
        <w:t xml:space="preserve"> </w:t>
      </w:r>
      <w:r>
        <w:rPr>
          <w:iCs/>
          <w:i/>
        </w:rPr>
        <w:t xml:space="preserve">Bell System Technical Journal</w:t>
      </w:r>
      <w:r>
        <w:t xml:space="preserve"> </w:t>
      </w:r>
      <w:r>
        <w:t xml:space="preserve">(27:3), pp. 379–423.</w:t>
      </w:r>
    </w:p>
    <w:p>
      <w:pPr>
        <w:pStyle w:val="BodyText"/>
      </w:pPr>
      <w:r>
        <w:t xml:space="preserve">Sims, C. A. 2003.</w:t>
      </w:r>
      <w:r>
        <w:t xml:space="preserve"> </w:t>
      </w:r>
      <w:r>
        <w:t xml:space="preserve">“</w:t>
      </w:r>
      <w:r>
        <w:t xml:space="preserve">Implications of Rational Inattention,</w:t>
      </w:r>
      <w:r>
        <w:t xml:space="preserve">”</w:t>
      </w:r>
      <w:r>
        <w:t xml:space="preserve"> </w:t>
      </w:r>
      <w:r>
        <w:rPr>
          <w:iCs/>
          <w:i/>
        </w:rPr>
        <w:t xml:space="preserve">Journal of Monetary Economics</w:t>
      </w:r>
      <w:r>
        <w:t xml:space="preserve"> </w:t>
      </w:r>
      <w:r>
        <w:t xml:space="preserve">(50:3), pp. 665–690.</w:t>
      </w:r>
    </w:p>
    <w:p>
      <w:pPr>
        <w:pStyle w:val="BodyText"/>
      </w:pPr>
      <w:r>
        <w:t xml:space="preserve">Tetlock, P. C. 2007.</w:t>
      </w:r>
      <w:r>
        <w:t xml:space="preserve"> </w:t>
      </w:r>
      <w:r>
        <w:t xml:space="preserve">“</w:t>
      </w:r>
      <w:r>
        <w:t xml:space="preserve">Giving Content to Investor Sentiment: The Role of Media in the Stock Market,</w:t>
      </w:r>
      <w:r>
        <w:t xml:space="preserve">”</w:t>
      </w:r>
      <w:r>
        <w:t xml:space="preserve"> </w:t>
      </w:r>
      <w:r>
        <w:rPr>
          <w:iCs/>
          <w:i/>
        </w:rPr>
        <w:t xml:space="preserve">Journal of Finance</w:t>
      </w:r>
      <w:r>
        <w:t xml:space="preserve"> </w:t>
      </w:r>
      <w:r>
        <w:t xml:space="preserve">(62:3), pp. 1139–1168.</w:t>
      </w:r>
    </w:p>
    <w:p>
      <w:pPr>
        <w:pStyle w:val="BodyText"/>
      </w:pPr>
      <w:r>
        <w:t xml:space="preserve">Ziems, C., Held, W., Shaikh, O., Chen, J., Zhang, Z., and Yang, D. 2024.</w:t>
      </w:r>
      <w:r>
        <w:t xml:space="preserve"> </w:t>
      </w:r>
      <w:r>
        <w:t xml:space="preserve">“</w:t>
      </w:r>
      <w:r>
        <w:t xml:space="preserve">Can Large Language Models Transform Computational Social Science?,</w:t>
      </w:r>
      <w:r>
        <w:t xml:space="preserve">”</w:t>
      </w:r>
      <w:r>
        <w:t xml:space="preserve"> </w:t>
      </w:r>
      <w:r>
        <w:rPr>
          <w:iCs/>
          <w:i/>
        </w:rPr>
        <w:t xml:space="preserve">Computational Linguistics</w:t>
      </w:r>
      <w:r>
        <w:t xml:space="preserve"> </w:t>
      </w:r>
      <w:r>
        <w:t xml:space="preserve">(50:1), pp. 237–291, https://doi.org/10.1162/coli_a_00502.</w:t>
      </w:r>
    </w:p>
    <w:bookmarkEnd w:id="50"/>
    <w:bookmarkStart w:id="51" w:name="appendix-a.-analysis-plans-and-outcomes"/>
    <w:p>
      <w:pPr>
        <w:pStyle w:val="Heading2"/>
      </w:pPr>
      <w:r>
        <w:t xml:space="preserve">Appendix A. Analysis plans and outcomes</w:t>
      </w:r>
    </w:p>
    <w:p>
      <w:pPr>
        <w:pStyle w:val="FirstParagraph"/>
      </w:pPr>
      <w:r>
        <w:t xml:space="preserve">Plans are files in the authors’ repository, dated 13–14 October 2026 in the commit history; the status of each result (pre-specified, amended, exploratory) is in Table 8.</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Plan</w:t>
            </w:r>
          </w:p>
        </w:tc>
        <w:tc>
          <w:tcPr/>
          <w:p>
            <w:pPr>
              <w:pStyle w:val="Compact"/>
              <w:jc w:val="left"/>
            </w:pPr>
            <w:r>
              <w:t xml:space="preserve">Outcome</w:t>
            </w:r>
          </w:p>
        </w:tc>
      </w:tr>
      <w:tr>
        <w:tc>
          <w:tcPr/>
          <w:p>
            <w:pPr>
              <w:pStyle w:val="Compact"/>
              <w:jc w:val="left"/>
            </w:pPr>
            <w:r>
              <w:t xml:space="preserve">Arrivals</w:t>
            </w:r>
          </w:p>
        </w:tc>
        <w:tc>
          <w:tcPr/>
          <w:p>
            <w:pPr>
              <w:pStyle w:val="Compact"/>
              <w:jc w:val="left"/>
            </w:pPr>
            <w:r>
              <w:t xml:space="preserve">poisson_posts/ANALYSIS_PLAN.md</w:t>
            </w:r>
          </w:p>
        </w:tc>
        <w:tc>
          <w:tcPr/>
          <w:p>
            <w:pPr>
              <w:pStyle w:val="Compact"/>
              <w:jc w:val="left"/>
            </w:pPr>
            <w:r>
              <w:t xml:space="preserve">Overdispersed; conditionally Poisson</w:t>
            </w:r>
          </w:p>
        </w:tc>
      </w:tr>
      <w:tr>
        <w:tc>
          <w:tcPr/>
          <w:p>
            <w:pPr>
              <w:pStyle w:val="Compact"/>
              <w:jc w:val="left"/>
            </w:pPr>
            <w:r>
              <w:t xml:space="preserve">Weekly market tests</w:t>
            </w:r>
          </w:p>
        </w:tc>
        <w:tc>
          <w:tcPr/>
          <w:p>
            <w:pPr>
              <w:pStyle w:val="Compact"/>
              <w:jc w:val="left"/>
            </w:pPr>
            <w:r>
              <w:t xml:space="preserve">ANALYSIS_PLAN_MARKETS.md</w:t>
            </w:r>
          </w:p>
        </w:tc>
        <w:tc>
          <w:tcPr/>
          <w:p>
            <w:pPr>
              <w:pStyle w:val="Compact"/>
              <w:jc w:val="left"/>
            </w:pPr>
            <w:r>
              <w:t xml:space="preserve">Null</w:t>
            </w:r>
          </w:p>
        </w:tc>
      </w:tr>
      <w:tr>
        <w:tc>
          <w:tcPr/>
          <w:p>
            <w:pPr>
              <w:pStyle w:val="Compact"/>
              <w:jc w:val="left"/>
            </w:pPr>
            <w:r>
              <w:t xml:space="preserve">Intraday core</w:t>
            </w:r>
          </w:p>
        </w:tc>
        <w:tc>
          <w:tcPr/>
          <w:p>
            <w:pPr>
              <w:pStyle w:val="Compact"/>
              <w:jc w:val="left"/>
            </w:pPr>
            <w:r>
              <w:t xml:space="preserve">hf/ANALYSIS_PLAN.md (Amendment 1)</w:t>
            </w:r>
          </w:p>
        </w:tc>
        <w:tc>
          <w:tcPr/>
          <w:p>
            <w:pPr>
              <w:pStyle w:val="Compact"/>
              <w:jc w:val="left"/>
            </w:pPr>
            <w:r>
              <w:t xml:space="preserve">De-escalation co-movement; none for escalation (exploratory after amendment)</w:t>
            </w:r>
          </w:p>
        </w:tc>
      </w:tr>
      <w:tr>
        <w:tc>
          <w:tcPr/>
          <w:p>
            <w:pPr>
              <w:pStyle w:val="Compact"/>
              <w:jc w:val="left"/>
            </w:pPr>
            <w:r>
              <w:t xml:space="preserve">Instrumental variables</w:t>
            </w:r>
          </w:p>
        </w:tc>
        <w:tc>
          <w:tcPr/>
          <w:p>
            <w:pPr>
              <w:pStyle w:val="Compact"/>
              <w:jc w:val="left"/>
            </w:pPr>
            <w:r>
              <w:t xml:space="preserve">ANALYSIS_PLAN_IV.md</w:t>
            </w:r>
          </w:p>
        </w:tc>
        <w:tc>
          <w:tcPr/>
          <w:p>
            <w:pPr>
              <w:pStyle w:val="Compact"/>
              <w:jc w:val="left"/>
            </w:pPr>
            <w:r>
              <w:t xml:space="preserve">Weak first stage (F = 2.8)</w:t>
            </w:r>
          </w:p>
        </w:tc>
      </w:tr>
      <w:tr>
        <w:tc>
          <w:tcPr/>
          <w:p>
            <w:pPr>
              <w:pStyle w:val="Compact"/>
              <w:jc w:val="left"/>
            </w:pPr>
            <w:r>
              <w:t xml:space="preserve">Extension</w:t>
            </w:r>
          </w:p>
        </w:tc>
        <w:tc>
          <w:tcPr/>
          <w:p>
            <w:pPr>
              <w:pStyle w:val="Compact"/>
              <w:jc w:val="left"/>
            </w:pPr>
            <w:r>
              <w:t xml:space="preserve">ANALYSIS_PLAN_EXT.md</w:t>
            </w:r>
          </w:p>
        </w:tc>
        <w:tc>
          <w:tcPr/>
          <w:p>
            <w:pPr>
              <w:pStyle w:val="Compact"/>
              <w:jc w:val="left"/>
            </w:pPr>
            <w:r>
              <w:t xml:space="preserve">Coder-robust; partial pre-war replication; reversal for other oil posts</w:t>
            </w:r>
          </w:p>
        </w:tc>
      </w:tr>
      <w:tr>
        <w:tc>
          <w:tcPr/>
          <w:p>
            <w:pPr>
              <w:pStyle w:val="Compact"/>
              <w:jc w:val="left"/>
            </w:pPr>
            <w:r>
              <w:t xml:space="preserve">Binding constraint</w:t>
            </w:r>
          </w:p>
        </w:tc>
        <w:tc>
          <w:tcPr/>
          <w:p>
            <w:pPr>
              <w:pStyle w:val="Compact"/>
              <w:jc w:val="left"/>
            </w:pPr>
            <w:r>
              <w:t xml:space="preserve">THEORY_AND_PAPER_PLAN.md</w:t>
            </w:r>
          </w:p>
        </w:tc>
        <w:tc>
          <w:tcPr/>
          <w:p>
            <w:pPr>
              <w:pStyle w:val="Compact"/>
              <w:jc w:val="left"/>
            </w:pPr>
            <w:r>
              <w:t xml:space="preserve">Partly supported</w:t>
            </w:r>
          </w:p>
        </w:tc>
      </w:tr>
      <w:tr>
        <w:tc>
          <w:tcPr/>
          <w:p>
            <w:pPr>
              <w:pStyle w:val="Compact"/>
              <w:jc w:val="left"/>
            </w:pPr>
            <w:r>
              <w:t xml:space="preserve">Salience</w:t>
            </w:r>
          </w:p>
        </w:tc>
        <w:tc>
          <w:tcPr/>
          <w:p>
            <w:pPr>
              <w:pStyle w:val="Compact"/>
              <w:jc w:val="left"/>
            </w:pPr>
            <w:r>
              <w:t xml:space="preserve">THEORY_V2_SALIENCE.md</w:t>
            </w:r>
          </w:p>
        </w:tc>
        <w:tc>
          <w:tcPr/>
          <w:p>
            <w:pPr>
              <w:pStyle w:val="Compact"/>
              <w:jc w:val="left"/>
            </w:pPr>
            <w:r>
              <w:t xml:space="preserve">Rejected</w:t>
            </w:r>
          </w:p>
        </w:tc>
      </w:tr>
      <w:tr>
        <w:tc>
          <w:tcPr/>
          <w:p>
            <w:pPr>
              <w:pStyle w:val="Compact"/>
              <w:jc w:val="left"/>
            </w:pPr>
            <w:r>
              <w:t xml:space="preserve">Habituation</w:t>
            </w:r>
          </w:p>
        </w:tc>
        <w:tc>
          <w:tcPr/>
          <w:p>
            <w:pPr>
              <w:pStyle w:val="Compact"/>
              <w:jc w:val="left"/>
            </w:pPr>
            <w:r>
              <w:t xml:space="preserve">THEORY_V3_HABITUATION.md</w:t>
            </w:r>
          </w:p>
        </w:tc>
        <w:tc>
          <w:tcPr/>
          <w:p>
            <w:pPr>
              <w:pStyle w:val="Compact"/>
              <w:jc w:val="left"/>
            </w:pPr>
            <w:r>
              <w:t xml:space="preserve">Underpowered</w:t>
            </w:r>
          </w:p>
        </w:tc>
      </w:tr>
      <w:tr>
        <w:tc>
          <w:tcPr/>
          <w:p>
            <w:pPr>
              <w:pStyle w:val="Compact"/>
              <w:jc w:val="left"/>
            </w:pPr>
            <w:r>
              <w:t xml:space="preserve">Content analysis</w:t>
            </w:r>
          </w:p>
        </w:tc>
        <w:tc>
          <w:tcPr/>
          <w:p>
            <w:pPr>
              <w:pStyle w:val="Compact"/>
              <w:jc w:val="left"/>
            </w:pPr>
            <w:r>
              <w:t xml:space="preserve">ANALYSIS_PLAN_QUAL.md (Amendments 1–2)</w:t>
            </w:r>
          </w:p>
        </w:tc>
        <w:tc>
          <w:tcPr/>
          <w:p>
            <w:pPr>
              <w:pStyle w:val="Compact"/>
              <w:jc w:val="left"/>
            </w:pPr>
            <w:r>
              <w:t xml:space="preserve">Five themes; four propositions</w:t>
            </w:r>
          </w:p>
        </w:tc>
      </w:tr>
      <w:tr>
        <w:tc>
          <w:tcPr/>
          <w:p>
            <w:pPr>
              <w:pStyle w:val="Compact"/>
              <w:jc w:val="left"/>
            </w:pPr>
            <w:r>
              <w:t xml:space="preserve">Held-out tests of propositions</w:t>
            </w:r>
          </w:p>
        </w:tc>
        <w:tc>
          <w:tcPr/>
          <w:p>
            <w:pPr>
              <w:pStyle w:val="Compact"/>
              <w:jc w:val="left"/>
            </w:pPr>
            <w:r>
              <w:t xml:space="preserve">ANALYSIS_PLAN_QUAL_TESTS.md</w:t>
            </w:r>
          </w:p>
        </w:tc>
        <w:tc>
          <w:tcPr/>
          <w:p>
            <w:pPr>
              <w:pStyle w:val="Compact"/>
              <w:jc w:val="left"/>
            </w:pPr>
            <w:r>
              <w:t xml:space="preserve">Not supported</w:t>
            </w:r>
          </w:p>
        </w:tc>
      </w:tr>
      <w:tr>
        <w:tc>
          <w:tcPr/>
          <w:p>
            <w:pPr>
              <w:pStyle w:val="Compact"/>
              <w:jc w:val="left"/>
            </w:pPr>
            <w:r>
              <w:t xml:space="preserve">Pre-trend control</w:t>
            </w:r>
          </w:p>
        </w:tc>
        <w:tc>
          <w:tcPr/>
          <w:p>
            <w:pPr>
              <w:pStyle w:val="Compact"/>
              <w:jc w:val="left"/>
            </w:pPr>
            <w:r>
              <w:t xml:space="preserve">ANALYSIS_PLAN_PRETREND.md</w:t>
            </w:r>
          </w:p>
        </w:tc>
        <w:tc>
          <w:tcPr/>
          <w:p>
            <w:pPr>
              <w:pStyle w:val="Compact"/>
              <w:jc w:val="left"/>
            </w:pPr>
            <w:r>
              <w:t xml:space="preserve">Estimate unchanged; control uninformative</w:t>
            </w:r>
          </w:p>
        </w:tc>
      </w:tr>
      <w:tr>
        <w:tc>
          <w:tcPr/>
          <w:p>
            <w:pPr>
              <w:pStyle w:val="Compact"/>
              <w:jc w:val="left"/>
            </w:pPr>
            <w:r>
              <w:t xml:space="preserve">First source</w:t>
            </w:r>
          </w:p>
        </w:tc>
        <w:tc>
          <w:tcPr/>
          <w:p>
            <w:pPr>
              <w:pStyle w:val="Compact"/>
              <w:jc w:val="left"/>
            </w:pPr>
            <w:r>
              <w:t xml:space="preserve">ANALYSIS_PLAN_WIRE.md</w:t>
            </w:r>
          </w:p>
        </w:tc>
        <w:tc>
          <w:tcPr/>
          <w:p>
            <w:pPr>
              <w:pStyle w:val="Compact"/>
              <w:jc w:val="left"/>
            </w:pPr>
            <w:r>
              <w:t xml:space="preserve">Not supported (p = 0.176)</w:t>
            </w:r>
          </w:p>
        </w:tc>
      </w:tr>
      <w:tr>
        <w:tc>
          <w:tcPr/>
          <w:p>
            <w:pPr>
              <w:pStyle w:val="Compact"/>
              <w:jc w:val="left"/>
            </w:pPr>
            <w:r>
              <w:t xml:space="preserve">Tick-level timing</w:t>
            </w:r>
          </w:p>
        </w:tc>
        <w:tc>
          <w:tcPr/>
          <w:p>
            <w:pPr>
              <w:pStyle w:val="Compact"/>
              <w:jc w:val="left"/>
            </w:pPr>
            <w:r>
              <w:t xml:space="preserve">ANALYSIS_PLAN_5MIN.md</w:t>
            </w:r>
          </w:p>
        </w:tc>
        <w:tc>
          <w:tcPr/>
          <w:p>
            <w:pPr>
              <w:pStyle w:val="Compact"/>
              <w:jc w:val="left"/>
            </w:pPr>
            <w:r>
              <w:t xml:space="preserve">H5a, H5b supported for de-escalation posts</w:t>
            </w:r>
          </w:p>
        </w:tc>
      </w:tr>
      <w:tr>
        <w:tc>
          <w:tcPr/>
          <w:p>
            <w:pPr>
              <w:pStyle w:val="Compact"/>
              <w:jc w:val="left"/>
            </w:pPr>
            <w:r>
              <w:t xml:space="preserve">Matched-hour placebo (H5c) and anticipatory drift (H8)</w:t>
            </w:r>
          </w:p>
        </w:tc>
        <w:tc>
          <w:tcPr/>
          <w:p>
            <w:pPr>
              <w:pStyle w:val="Compact"/>
              <w:jc w:val="left"/>
            </w:pPr>
            <w:r>
              <w:t xml:space="preserve">ANALYSIS_PLAN_H5C_H8.md</w:t>
            </w:r>
          </w:p>
        </w:tc>
        <w:tc>
          <w:tcPr/>
          <w:p>
            <w:pPr>
              <w:pStyle w:val="Compact"/>
              <w:jc w:val="left"/>
            </w:pPr>
            <w:r>
              <w:t xml:space="preserve">H5c supported (de-escalation +0.62 vs placebo 95th pct 0.22; escalation +0.53 vs 0.26); H8a: pre-post drift also exceeds placebo for de-escalation (+0.57, +0.86) and partly for escalation; H8c: no difference by first source (p = 0.90); cause not identified</w:t>
            </w:r>
          </w:p>
        </w:tc>
      </w:tr>
      <w:tr>
        <w:tc>
          <w:tcPr/>
          <w:p>
            <w:pPr>
              <w:pStyle w:val="Compact"/>
              <w:jc w:val="left"/>
            </w:pPr>
            <w:r>
              <w:t xml:space="preserve">Twitter-era oil/Iran sample</w:t>
            </w:r>
          </w:p>
        </w:tc>
        <w:tc>
          <w:tcPr/>
          <w:p>
            <w:pPr>
              <w:pStyle w:val="Compact"/>
              <w:jc w:val="left"/>
            </w:pPr>
            <w:r>
              <w:t xml:space="preserve">twitter/ANALYSIS_PLAN_TWITTER.md (Amendment 1)</w:t>
            </w:r>
          </w:p>
        </w:tc>
        <w:tc>
          <w:tcPr/>
          <w:p>
            <w:pPr>
              <w:pStyle w:val="Compact"/>
              <w:jc w:val="left"/>
            </w:pPr>
            <w:r>
              <w:t xml:space="preserve">HI1–HI3 not supported (Holm p ≥ 0.45); H10 supported for escalation (p = 0.001), not for de-escalation</w:t>
            </w:r>
          </w:p>
        </w:tc>
      </w:tr>
      <w:tr>
        <w:tc>
          <w:tcPr/>
          <w:p>
            <w:pPr>
              <w:pStyle w:val="Compact"/>
              <w:jc w:val="left"/>
            </w:pPr>
            <w:r>
              <w:t xml:space="preserve">Twitter-era tariff/trade sample</w:t>
            </w:r>
          </w:p>
        </w:tc>
        <w:tc>
          <w:tcPr/>
          <w:p>
            <w:pPr>
              <w:pStyle w:val="Compact"/>
              <w:jc w:val="left"/>
            </w:pPr>
            <w:r>
              <w:t xml:space="preserve">twitter/ANALYSIS_PLAN_TARIFF.md (Amendment 1: P6/H12 state-dependent sign)</w:t>
            </w:r>
          </w:p>
        </w:tc>
        <w:tc>
          <w:tcPr/>
          <w:p>
            <w:pPr>
              <w:pStyle w:val="Compact"/>
              <w:jc w:val="left"/>
            </w:pPr>
            <w:r>
              <w:t xml:space="preserve">HI2 supported (Holm p &lt; 0.001; volatility caveat); HI1, HI3 not supported; H10 supported (small); H12 not supported, opposite sign (β = −0.097)</w:t>
            </w:r>
          </w:p>
        </w:tc>
      </w:tr>
      <w:tr>
        <w:tc>
          <w:tcPr/>
          <w:p>
            <w:pPr>
              <w:pStyle w:val="Compact"/>
              <w:jc w:val="left"/>
            </w:pPr>
            <w:r>
              <w:t xml:space="preserve">Human validation, H7 (human-labelled sample)</w:t>
            </w:r>
          </w:p>
        </w:tc>
        <w:tc>
          <w:tcPr/>
          <w:p>
            <w:pPr>
              <w:pStyle w:val="Compact"/>
              <w:jc w:val="left"/>
            </w:pPr>
            <w:r>
              <w:t xml:space="preserve">ANALYSIS_PLAN_HUMAN.md (Amendments 1–2)</w:t>
            </w:r>
          </w:p>
        </w:tc>
        <w:tc>
          <w:tcPr/>
          <w:p>
            <w:pPr>
              <w:pStyle w:val="Compact"/>
              <w:jc w:val="left"/>
            </w:pPr>
            <w:r>
              <w:t xml:space="preserve">H7a, H7b supported for de-escalation (p = 0.0002, 0.030); escalation +0.48% (p = 0.007)</w:t>
            </w:r>
          </w:p>
        </w:tc>
      </w:tr>
      <w:tr>
        <w:tc>
          <w:tcPr/>
          <w:p>
            <w:pPr>
              <w:pStyle w:val="Compact"/>
              <w:jc w:val="left"/>
            </w:pPr>
            <w:r>
              <w:t xml:space="preserve">Human validation (round 2)</w:t>
            </w:r>
          </w:p>
        </w:tc>
        <w:tc>
          <w:tcPr/>
          <w:p>
            <w:pPr>
              <w:pStyle w:val="Compact"/>
              <w:jc w:val="left"/>
            </w:pPr>
            <w:r>
              <w:t xml:space="preserve">ANALYSIS_PLAN_HUMAN.md (Amendment 1)</w:t>
            </w:r>
          </w:p>
        </w:tc>
        <w:tc>
          <w:tcPr/>
          <w:p>
            <w:pPr>
              <w:pStyle w:val="Compact"/>
              <w:jc w:val="left"/>
            </w:pPr>
            <w:r>
              <w:t xml:space="preserve">Round 1 κ 0.43–0.56; round 2 (61 war-period posts, adjudicated) κ 0.29, H6a supported, H6c not supported</w:t>
            </w:r>
          </w:p>
        </w:tc>
      </w:tr>
      <w:tr>
        <w:tc>
          <w:tcPr/>
          <w:p>
            <w:pPr>
              <w:pStyle w:val="Compact"/>
              <w:jc w:val="left"/>
            </w:pPr>
            <w:r>
              <w:t xml:space="preserve">Revision analyses</w:t>
            </w:r>
          </w:p>
        </w:tc>
        <w:tc>
          <w:tcPr/>
          <w:p>
            <w:pPr>
              <w:pStyle w:val="Compact"/>
              <w:jc w:val="left"/>
            </w:pPr>
            <w:r>
              <w:t xml:space="preserve">ANALYSIS_PLAN_REVISION.md</w:t>
            </w:r>
          </w:p>
        </w:tc>
        <w:tc>
          <w:tcPr/>
          <w:p>
            <w:pPr>
              <w:pStyle w:val="Compact"/>
              <w:jc w:val="left"/>
            </w:pPr>
            <w:r>
              <w:t xml:space="preserve">Revised primary not supported; robust inference supports; posting follows volatility</w:t>
            </w:r>
          </w:p>
        </w:tc>
      </w:tr>
      <w:tr>
        <w:tc>
          <w:tcPr/>
          <w:p>
            <w:pPr>
              <w:pStyle w:val="Compact"/>
              <w:jc w:val="left"/>
            </w:pPr>
            <w:r>
              <w:t xml:space="preserve">Timing surprisal (P7)</w:t>
            </w:r>
          </w:p>
        </w:tc>
        <w:tc>
          <w:tcPr/>
          <w:p>
            <w:pPr>
              <w:pStyle w:val="Compact"/>
              <w:jc w:val="left"/>
            </w:pPr>
            <w:r>
              <w:t xml:space="preserve">arrivals/ANALYSIS_PLAN_TIMING.md</w:t>
            </w:r>
          </w:p>
        </w:tc>
        <w:tc>
          <w:tcPr/>
          <w:p>
            <w:pPr>
              <w:pStyle w:val="Compact"/>
              <w:jc w:val="left"/>
            </w:pPr>
            <w:r>
              <w:t xml:space="preserve">Not supported (pooled β = +0.04 SD, p = 0.27; n = 685)</w:t>
            </w:r>
          </w:p>
        </w:tc>
      </w:tr>
      <w:tr>
        <w:tc>
          <w:tcPr/>
          <w:p>
            <w:pPr>
              <w:pStyle w:val="Compact"/>
              <w:jc w:val="left"/>
            </w:pPr>
            <w:r>
              <w:t xml:space="preserve">Arrival models and Musk account</w:t>
            </w:r>
          </w:p>
        </w:tc>
        <w:tc>
          <w:tcPr/>
          <w:p>
            <w:pPr>
              <w:pStyle w:val="Compact"/>
              <w:jc w:val="left"/>
            </w:pPr>
            <w:r>
              <w:t xml:space="preserve">none (descriptive; arrivals/RESULTS_ARRIVALS_MODELS.md)</w:t>
            </w:r>
          </w:p>
        </w:tc>
        <w:tc>
          <w:tcPr/>
          <w:p>
            <w:pPr>
              <w:pStyle w:val="Compact"/>
              <w:jc w:val="left"/>
            </w:pPr>
            <w:r>
              <w:t xml:space="preserve">Poisson rejected; NB ≈ Poisson–lognormal; dynamic NB-INGARCH best in multi-year series</w:t>
            </w:r>
          </w:p>
        </w:tc>
      </w:tr>
      <w:tr>
        <w:tc>
          <w:tcPr/>
          <w:p>
            <w:pPr>
              <w:pStyle w:val="Compact"/>
              <w:jc w:val="left"/>
            </w:pPr>
            <w:r>
              <w:t xml:space="preserve">Event explanation of dispersion</w:t>
            </w:r>
          </w:p>
        </w:tc>
        <w:tc>
          <w:tcPr/>
          <w:p>
            <w:pPr>
              <w:pStyle w:val="Compact"/>
              <w:jc w:val="left"/>
            </w:pPr>
            <w:r>
              <w:t xml:space="preserve">arrivals/ANALYSIS_PLAN_EVENTS.md (exploratory)</w:t>
            </w:r>
          </w:p>
        </w:tc>
        <w:tc>
          <w:tcPr/>
          <w:p>
            <w:pPr>
              <w:pStyle w:val="Compact"/>
              <w:jc w:val="left"/>
            </w:pPr>
            <w:r>
              <w:t xml:space="preserve">Lagged GDELT conflict events significant in all six pairings but remove 9–25% of NB dispersion (never ≥ 50%); event series not Poisson; Calendar-week effects remove 66% (all Twitter)</w:t>
            </w:r>
          </w:p>
        </w:tc>
      </w:tr>
      <w:tr>
        <w:tc>
          <w:tcPr/>
          <w:p>
            <w:pPr>
              <w:pStyle w:val="Compact"/>
              <w:jc w:val="left"/>
            </w:pPr>
            <w:r>
              <w:t xml:space="preserve">LLM release arrival</w:t>
            </w:r>
          </w:p>
        </w:tc>
        <w:tc>
          <w:tcPr/>
          <w:p>
            <w:pPr>
              <w:pStyle w:val="Compact"/>
              <w:jc w:val="left"/>
            </w:pPr>
            <w:r>
              <w:t xml:space="preserve">arrivals/ANALYSIS_PLAN_LLM_RELEASES.md (exploratory)</w:t>
            </w:r>
          </w:p>
        </w:tc>
        <w:tc>
          <w:tcPr/>
          <w:p>
            <w:pPr>
              <w:pStyle w:val="Compact"/>
              <w:jc w:val="left"/>
            </w:pPr>
            <w:r>
              <w:t xml:space="preserve">Over-dispersed after trend (LR p = 0.0001); weekend share 4% vs 29% expected; geometric gaps rejected</w:t>
            </w:r>
          </w:p>
        </w:tc>
      </w:tr>
      <w:tr>
        <w:tc>
          <w:tcPr/>
          <w:p>
            <w:pPr>
              <w:pStyle w:val="Compact"/>
              <w:jc w:val="left"/>
            </w:pPr>
            <w:r>
              <w:t xml:space="preserve">LLM release stock reaction</w:t>
            </w:r>
          </w:p>
        </w:tc>
        <w:tc>
          <w:tcPr/>
          <w:p>
            <w:pPr>
              <w:pStyle w:val="Compact"/>
              <w:jc w:val="left"/>
            </w:pPr>
            <w:r>
              <w:t xml:space="preserve">arrivals/ANALYSIS_PLAN_LLM_STOCK.md (exploratory)</w:t>
            </w:r>
          </w:p>
        </w:tc>
        <w:tc>
          <w:tcPr/>
          <w:p>
            <w:pPr>
              <w:pStyle w:val="Compact"/>
              <w:jc w:val="left"/>
            </w:pPr>
            <w:r>
              <w:t xml:space="preserve">Direction not supported (+0.40 pp, p = 0.55); magnitude larger than random windows (p = 0.008; Holm 0.015); n = 31</w:t>
            </w:r>
          </w:p>
        </w:tc>
      </w:tr>
      <w:tr>
        <w:tc>
          <w:tcPr/>
          <w:p>
            <w:pPr>
              <w:pStyle w:val="Compact"/>
              <w:jc w:val="left"/>
            </w:pPr>
            <w:r>
              <w:t xml:space="preserve">Matched-account comparison (HA1–HA2)</w:t>
            </w:r>
          </w:p>
        </w:tc>
        <w:tc>
          <w:tcPr/>
          <w:p>
            <w:pPr>
              <w:pStyle w:val="Compact"/>
              <w:jc w:val="left"/>
            </w:pPr>
            <w:r>
              <w:t xml:space="preserve">arrivals/ANALYSIS_PLAN_ACCOUNTS.md</w:t>
            </w:r>
          </w:p>
        </w:tc>
        <w:tc>
          <w:tcPr/>
          <w:p>
            <w:pPr>
              <w:pStyle w:val="Compact"/>
              <w:jc w:val="left"/>
            </w:pPr>
            <w:r>
              <w:t xml:space="preserve">Registered, not run; data availability not established</w:t>
            </w:r>
          </w:p>
        </w:tc>
      </w:tr>
      <w:tr>
        <w:tc>
          <w:tcPr/>
          <w:p>
            <w:pPr>
              <w:pStyle w:val="Compact"/>
              <w:jc w:val="left"/>
            </w:pPr>
            <w:r>
              <w:t xml:space="preserve">Information-theoretic hypotheses</w:t>
            </w:r>
          </w:p>
        </w:tc>
        <w:tc>
          <w:tcPr/>
          <w:p>
            <w:pPr>
              <w:pStyle w:val="Compact"/>
              <w:jc w:val="left"/>
            </w:pPr>
            <w:r>
              <w:t xml:space="preserve">ANALYSIS_PLAN_INFO.md</w:t>
            </w:r>
          </w:p>
        </w:tc>
        <w:tc>
          <w:tcPr/>
          <w:p>
            <w:pPr>
              <w:pStyle w:val="Compact"/>
              <w:jc w:val="left"/>
            </w:pPr>
            <w:r>
              <w:t xml:space="preserve">P1–P3 not supported (p = 0.08, 0.07, 0.52); P4 marginal (p = 0.041; Holm over HI1–HI4 would give 0.16) and not counted as support</w:t>
            </w:r>
          </w:p>
        </w:tc>
      </w:tr>
      <w:tr>
        <w:tc>
          <w:tcPr/>
          <w:p>
            <w:pPr>
              <w:pStyle w:val="Compact"/>
              <w:jc w:val="left"/>
            </w:pPr>
            <w:r>
              <w:t xml:space="preserve">Robustness of the human-label headline</w:t>
            </w:r>
          </w:p>
        </w:tc>
        <w:tc>
          <w:tcPr/>
          <w:p>
            <w:pPr>
              <w:pStyle w:val="Compact"/>
              <w:jc w:val="left"/>
            </w:pPr>
            <w:r>
              <w:t xml:space="preserve">hf/ANALYSIS_PLAN_ROBUST_HEADLINE.md</w:t>
            </w:r>
          </w:p>
        </w:tc>
        <w:tc>
          <w:tcPr/>
          <w:p>
            <w:pPr>
              <w:pStyle w:val="Compact"/>
              <w:jc w:val="left"/>
            </w:pPr>
            <w:r>
              <w:t xml:space="preserve">Direction robust in every variant; post − pre excess borderline and window-dependent (Table 6)</w:t>
            </w:r>
          </w:p>
        </w:tc>
      </w:tr>
      <w:tr>
        <w:tc>
          <w:tcPr/>
          <w:p>
            <w:pPr>
              <w:pStyle w:val="Compact"/>
              <w:jc w:val="left"/>
            </w:pPr>
            <w:r>
              <w:t xml:space="preserve">Model re-labelling under codebook v2; label-set comparison; adjudication split; same-sample placebo; two-sided and day-clustered re-statement</w:t>
            </w:r>
          </w:p>
        </w:tc>
        <w:tc>
          <w:tcPr/>
          <w:p>
            <w:pPr>
              <w:pStyle w:val="Compact"/>
              <w:jc w:val="left"/>
            </w:pPr>
            <w:r>
              <w:t xml:space="preserve">hf/ANALYSIS_PLAN_V2RELABEL.md</w:t>
            </w:r>
          </w:p>
        </w:tc>
        <w:tc>
          <w:tcPr/>
          <w:p>
            <w:pPr>
              <w:pStyle w:val="Compact"/>
              <w:jc w:val="left"/>
            </w:pPr>
            <w:r>
              <w:t xml:space="preserve">κ 0.48–0.51 under v2 (no improvement); escalation attenuated under all model label sets (human minus original model +0.31, p = 0.038; minus v2 majority +0.16, p = 0.27); 66% of escalation labels adjudicated (Tables 2, 3, 5)</w:t>
            </w:r>
          </w:p>
        </w:tc>
      </w:tr>
    </w:tbl>
    <w:bookmarkEnd w:id="51"/>
    <w:bookmarkStart w:id="52" w:name="appendix-b.-coding-protocol"/>
    <w:p>
      <w:pPr>
        <w:pStyle w:val="Heading2"/>
      </w:pPr>
      <w:r>
        <w:t xml:space="preserve">Appendix B. Coding protocol</w:t>
      </w:r>
    </w:p>
    <w:p>
      <w:pPr>
        <w:pStyle w:val="FirstParagraph"/>
      </w:pPr>
      <w:r>
        <w:rPr>
          <w:bCs/>
          <w:b/>
        </w:rPr>
        <w:t xml:space="preserve">B.1 Model labelling.</w:t>
      </w:r>
      <w:r>
        <w:t xml:space="preserve"> </w:t>
      </w:r>
      <w:r>
        <w:t xml:space="preserve">Two independent runs of a large language model each received only the text of a post, with no market data, time stamp or other posts, and returned a direction class (escalation, de-escalation, mixed, other) and a type (action or rhetoric). The runs are copies of the same model. Prompts, outputs and the code that merges them are in an anonymized repository. The first run’s labels were adopted as primary in a dated amendment after a first pass with keyword classes proved misleading (the</w:t>
      </w:r>
      <w:r>
        <w:t xml:space="preserve"> </w:t>
      </w:r>
      <w:r>
        <w:t xml:space="preserve">“</w:t>
      </w:r>
      <w:r>
        <w:t xml:space="preserve">threat</w:t>
      </w:r>
      <w:r>
        <w:t xml:space="preserve">”</w:t>
      </w:r>
      <w:r>
        <w:t xml:space="preserve"> </w:t>
      </w:r>
      <w:r>
        <w:t xml:space="preserve">class contained the principal de-escalation posts).</w:t>
      </w:r>
    </w:p>
    <w:p>
      <w:pPr>
        <w:pStyle w:val="BodyText"/>
      </w:pPr>
      <w:r>
        <w:rPr>
          <w:bCs/>
          <w:b/>
        </w:rPr>
        <w:t xml:space="preserve">B.2 Human coders.</w:t>
      </w:r>
      <w:r>
        <w:t xml:space="preserve"> </w:t>
      </w:r>
      <w:r>
        <w:t xml:space="preserve">Two coders, doctoral students in information systems at the authors’ university, coded independently from a spreadsheet that contained the codebook and, for each item, only the post text. They were told to use only the text shown, not to look anything up or look at prices, not to discuss items with each other, and to code the post’s own stance (for a re-post or link, the stance of a quoted headline if clear, otherwise</w:t>
      </w:r>
      <w:r>
        <w:t xml:space="preserve"> </w:t>
      </w:r>
      <w:r>
        <w:t xml:space="preserve">“</w:t>
      </w:r>
      <w:r>
        <w:t xml:space="preserve">other</w:t>
      </w:r>
      <w:r>
        <w:t xml:space="preserve">”</w:t>
      </w:r>
      <w:r>
        <w:t xml:space="preserve">). Items were in a different random order for each coder in round 2. Each item also received a confidence rating (1 = clear, 2 = somewhat unclear). The coders did not know the research question. Disagreements were adjudicated by the principal investigator from the text alone, without market information; a post for which no resolution was reached would have been excluded (sensitivity: treated as mixed).</w:t>
      </w:r>
    </w:p>
    <w:p>
      <w:pPr>
        <w:pStyle w:val="BodyText"/>
      </w:pPr>
      <w:r>
        <w:rPr>
          <w:bCs/>
          <w:b/>
        </w:rPr>
        <w:t xml:space="preserve">B.3 Codebook, round 1 (v1; 150 posts, 2024–2026 posts matching keywords about Iran, oil or oil-producing countries).</w:t>
      </w:r>
      <w:r>
        <w:t xml:space="preserve"> </w:t>
      </w:r>
      <w:r>
        <w:t xml:space="preserve">Exactly one class per post.</w:t>
      </w:r>
      <w:r>
        <w:t xml:space="preserve"> </w:t>
      </w:r>
      <w:r>
        <w:t xml:space="preserve">- ESC: the post raises the risk of military conflict or oil-supply disruption; threatens, warns of, announces or celebrates attacks, strikes, blockade or destruction (for example on Iran); ultimatums; new sanctions or secondary tariffs on oil buyers or oil-exporting countries; threats against such countries or their energy infrastructure.</w:t>
      </w:r>
      <w:r>
        <w:t xml:space="preserve"> </w:t>
      </w:r>
      <w:r>
        <w:t xml:space="preserve">- DEESC: the post lowers that risk; announces or hints at holding off, cancelling or postponing strikes; ceasefire; deal, memorandum or agreement progress; talks; reopening of routes (for example the Strait of Hormuz); peace; sanctions relief; higher oil production or lower oil prices through supply.</w:t>
      </w:r>
      <w:r>
        <w:t xml:space="preserve"> </w:t>
      </w:r>
      <w:r>
        <w:t xml:space="preserve">- MIXED: clear escalation and clear de-escalation in the same post (for example</w:t>
      </w:r>
      <w:r>
        <w:t xml:space="preserve"> </w:t>
      </w:r>
      <w:r>
        <w:t xml:space="preserve">“</w:t>
      </w:r>
      <w:r>
        <w:t xml:space="preserve">deal or we strike</w:t>
      </w:r>
      <w:r>
        <w:t xml:space="preserve">”</w:t>
      </w:r>
      <w:r>
        <w:t xml:space="preserve">).</w:t>
      </w:r>
      <w:r>
        <w:t xml:space="preserve"> </w:t>
      </w:r>
      <w:r>
        <w:t xml:space="preserve">- OTHER: not about the military or diplomatic course of conflicts involving oil-producing countries or about oil supply; polls, domestic politics, attacks on the media, tariffs on non-oil goods, unrelated mentions; re-posts or links of others’ commentary without a clear stance.</w:t>
      </w:r>
    </w:p>
    <w:p>
      <w:pPr>
        <w:pStyle w:val="BodyText"/>
      </w:pPr>
      <w:r>
        <w:rPr>
          <w:bCs/>
          <w:b/>
        </w:rPr>
        <w:t xml:space="preserve">B.4 Codebook, rounds 2 and 3 (v2; 61 and 130 war-period posts).</w:t>
      </w:r>
      <w:r>
        <w:t xml:space="preserve"> </w:t>
      </w:r>
      <w:r>
        <w:t xml:space="preserve">Written after round 1 showed moderate agreement (κ = 0.51) and a dominant model error (a de-escalation label on unrelated posts). Changes from v1:</w:t>
      </w:r>
      <w:r>
        <w:t xml:space="preserve"> </w:t>
      </w:r>
      <w:r>
        <w:t xml:space="preserve">- ESC includes demands or conditions addressed to Iran that are backed by pressure (</w:t>
      </w:r>
      <w:r>
        <w:t xml:space="preserve">“</w:t>
      </w:r>
      <w:r>
        <w:t xml:space="preserve">Iran must …, or …</w:t>
      </w:r>
      <w:r>
        <w:t xml:space="preserve">”</w:t>
      </w:r>
      <w:r>
        <w:t xml:space="preserve">) and criticism that the other side is failing to agree, when no pause, concession or progress is announced; it covers posts that raise or keep up the risk.</w:t>
      </w:r>
      <w:r>
        <w:t xml:space="preserve"> </w:t>
      </w:r>
      <w:r>
        <w:t xml:space="preserve">- DEESC requires an announced or clearly signalled pause, postponement or cancellation of strikes, ceasefire, agreement or deal, progress in talks, reopening of the Strait or lifting of the blockade, sanctions relief or other relief. A post that only describes terms or demands is not DEESC.</w:t>
      </w:r>
      <w:r>
        <w:t xml:space="preserve"> </w:t>
      </w:r>
      <w:r>
        <w:t xml:space="preserve">- MIXED requires a clear announcement of de-escalation and a clear threat or escalation in the same post (</w:t>
      </w:r>
      <w:r>
        <w:t xml:space="preserve">“</w:t>
      </w:r>
      <w:r>
        <w:t xml:space="preserve">we will hold off, but if they do not sign we will strike</w:t>
      </w:r>
      <w:r>
        <w:t xml:space="preserve">”</w:t>
      </w:r>
      <w:r>
        <w:t xml:space="preserve">).</w:t>
      </w:r>
      <w:r>
        <w:t xml:space="preserve"> </w:t>
      </w:r>
      <w:r>
        <w:t xml:space="preserve">- OTHER: domestic politics, attacks on the media or critics without a stance on the conflict, boasts without a stance on what happens next, polls and unrelated topics; re-posts and bare links with no stated stance in the visible text. If the visible text quotes a headline with a clear stance, the stance of that headline is coded.</w:t>
      </w:r>
    </w:p>
    <w:p>
      <w:pPr>
        <w:pStyle w:val="BodyText"/>
      </w:pPr>
      <w:r>
        <w:t xml:space="preserve">Eighteen of the 61 round-2 posts had been coded in round 1 and give a test–retest comparison. Codebook v2 was written after the investigators knew where the model had gone wrong, and it was fixed before the round-2 and round-3 labels returned; this is a researcher degree of freedom that Table 6 partly addresses by repeating the main result on posts where the coders agreed before adjudication.</w:t>
      </w:r>
    </w:p>
    <w:p>
      <w:pPr>
        <w:pStyle w:val="BodyText"/>
      </w:pPr>
      <w:r>
        <w:rPr>
          <w:bCs/>
          <w:b/>
        </w:rPr>
        <w:t xml:space="preserve">B.5 Model re-labelling under codebook v2 (Section 4.4).</w:t>
      </w:r>
      <w:r>
        <w:t xml:space="preserve"> </w:t>
      </w:r>
      <w:r>
        <w:t xml:space="preserve">Four runs (three model sizes of one vendor’s family and a repeat of one) each received the codebook v2 text exactly as the human coders saw it and the 191 post texts as the coders saw them, in a different random order per run, with no ids, times, prices, source labels or earlier labels, and wrote one class and a confidence per item to a file outside the repository; they were instructed not to write keyword rules and not to open any other file. The runs were launched after the plan was committed. The majority of the four runs is the</w:t>
      </w:r>
      <w:r>
        <w:t xml:space="preserve"> </w:t>
      </w:r>
      <w:r>
        <w:t xml:space="preserve">“</w:t>
      </w:r>
      <w:r>
        <w:t xml:space="preserve">v2 majority</w:t>
      </w:r>
      <w:r>
        <w:t xml:space="preserve">”</w:t>
      </w:r>
      <w:r>
        <w:t xml:space="preserve">; ties (15 posts) were resolved by the largest run. [Record model names and versions.]</w:t>
      </w:r>
    </w:p>
    <w:p>
      <w:pPr>
        <w:pStyle w:val="BodyText"/>
      </w:pPr>
      <w:r>
        <w:rPr>
          <w:bCs/>
          <w:b/>
        </w:rPr>
        <w:t xml:space="preserve">B.6 Content analysis (hypothesis generation, Appendix E.2).</w:t>
      </w:r>
      <w:r>
        <w:t xml:space="preserve"> </w:t>
      </w:r>
      <w:r>
        <w:t xml:space="preserve">136 posts were shuffled, stripped of labels and market data, and coded by two model-instance analysts; codebooks were reconciled and fixed before reactions were attached.</w:t>
      </w:r>
    </w:p>
    <w:bookmarkEnd w:id="52"/>
    <w:bookmarkStart w:id="53" w:name="appendix-c.-human-validation"/>
    <w:p>
      <w:pPr>
        <w:pStyle w:val="Heading2"/>
      </w:pPr>
      <w:r>
        <w:t xml:space="preserve">Appendix C. Human validation</w:t>
      </w:r>
    </w:p>
    <w:p>
      <w:pPr>
        <w:pStyle w:val="FirstParagraph"/>
      </w:pPr>
      <w:r>
        <w:t xml:space="preserve">Two human coders coded 150 posts independently from text only (war-period 67, pre-war Iran 23, other oil-geopolitics 60). Four-class kappa: human–human 0.51; model 1–model 2 0.74; human consensus (97 posts) with model 1 0.43 and with model 2 0.56 (three-class 0.48 and 0.59). De-escalation precision against the consensus is 0.52 (model 1) and 0.54 (model 2); recall 0.77 and 0.88. Of the 12 posts in the tick-level de-escalation sample that fall in the round-1 human sample, the human consensus is de-escalation for 3, escalation for 2, other for 1, and absent for 6. In round 2 (all 61 war-period signal posts, codebook v2, κ between humans 0.69, 13 disagreements adjudicated), the final human labels are 25 de-escalation, 11 escalation, 12 mixed, and 13 other; the model agrees at κ = 0.29. On the 25 human-labelled de-escalation posts the 30-minute directional return is +1.03% (p = 0.0015) and its excess over the preceding 30 minutes +0.35% (p = 0.082). Details are in the results file and the results file.</w:t>
      </w:r>
    </w:p>
    <w:bookmarkEnd w:id="53"/>
    <w:bookmarkStart w:id="57" w:name="X7a2b0a026ac61b487ce1e6f8f1f69ad89ee9f8b"/>
    <w:p>
      <w:pPr>
        <w:pStyle w:val="Heading2"/>
      </w:pPr>
      <w:r>
        <w:t xml:space="preserve">Appendix D. Exploratory analyses of arrival, events and other self-timed events</w:t>
      </w:r>
    </w:p>
    <w:p>
      <w:pPr>
        <w:pStyle w:val="FirstParagraph"/>
      </w:pPr>
      <w:r>
        <w:t xml:space="preserve">These analyses were run after the main results were seen. Their definitions were fixed in dated plans before the relevant data were downloaded or parsed (Appendix A), but none is confirmatory.</w:t>
      </w:r>
    </w:p>
    <w:bookmarkStart w:id="54" w:name="X6171eebe8d9ea22583180863955c2a5cf5a73ac"/>
    <w:p>
      <w:pPr>
        <w:pStyle w:val="Heading3"/>
      </w:pPr>
      <w:r>
        <w:t xml:space="preserve">D.1 Alternative arrival models and a second account</w:t>
      </w:r>
    </w:p>
    <w:p>
      <w:pPr>
        <w:pStyle w:val="FirstParagraph"/>
      </w:pPr>
      <w:r>
        <w:t xml:space="preserve">Poisson is not the only candidate, and the negative binomial (a Poisson–Gamma mixture) is a particular one. Table D1 compares daily-count models by AIC for the Truth Social series, for the 2017–2021 Twitter series (all original tweets and the two topic subsets of Appendices E.4–E.5), and for Elon Musk’s account as a second influential poster (a public third-party extract of 3,218 tweets, 2012–2017, whose completeness and time zone we could not verify). A homogeneous Poisson process is rejected everywhere (ΔAIC 150 to 3,700). The negative binomial and a Poisson–lognormal mixture fit equally well (differences within about 13 AIC units), so the data do not support choosing a gamma over a lognormal mixing distribution. In the multi-year Twitter series a dynamic model, a negative-binomial INGARCH(1,1) in which today’s rate depends on yesterday’s count and rate, is far better than every static mixture (ΔAIC 57 to 626); the 227-day Truth Social series is too short for this and the static negative binomial suffices. Waiting times follow no power law (Pareto is worst in every series); the best form is Weibull for all of Trump’s tweets, gamma for the topic subsets, and lognormal for Truth Social and Musk (CV 1.7 to 2.5). Musk’s account shows the same qualitative pattern as the president’s. We read this as evidence that human posting is bursty and self-exciting, not as evidence that the pattern is specific to people whose words carry weight: we have no comparison with ordinary accounts. A pre-specified comparison with matched ordinary accounts is specified but has not been run, because we have not established that data of sufficient quality exist.</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Series</w:t>
            </w:r>
          </w:p>
        </w:tc>
        <w:tc>
          <w:tcPr/>
          <w:p>
            <w:pPr>
              <w:pStyle w:val="Compact"/>
              <w:jc w:val="left"/>
            </w:pPr>
            <w:r>
              <w:t xml:space="preserve">Days</w:t>
            </w:r>
          </w:p>
        </w:tc>
        <w:tc>
          <w:tcPr/>
          <w:p>
            <w:pPr>
              <w:pStyle w:val="Compact"/>
              <w:jc w:val="left"/>
            </w:pPr>
            <w:r>
              <w:t xml:space="preserve">Static NB (ΔAIC)</w:t>
            </w:r>
          </w:p>
        </w:tc>
        <w:tc>
          <w:tcPr/>
          <w:p>
            <w:pPr>
              <w:pStyle w:val="Compact"/>
              <w:jc w:val="left"/>
            </w:pPr>
            <w:r>
              <w:t xml:space="preserve">Poisson–lognormal (ΔAIC)</w:t>
            </w:r>
          </w:p>
        </w:tc>
        <w:tc>
          <w:tcPr/>
          <w:p>
            <w:pPr>
              <w:pStyle w:val="Compact"/>
              <w:jc w:val="left"/>
            </w:pPr>
            <w:r>
              <w:t xml:space="preserve">NB-INGARCH (ΔAIC)</w:t>
            </w:r>
          </w:p>
        </w:tc>
        <w:tc>
          <w:tcPr/>
          <w:p>
            <w:pPr>
              <w:pStyle w:val="Compact"/>
              <w:jc w:val="left"/>
            </w:pPr>
            <w:r>
              <w:t xml:space="preserve">Best waiting-time model</w:t>
            </w:r>
          </w:p>
        </w:tc>
      </w:tr>
      <w:tr>
        <w:tc>
          <w:tcPr/>
          <w:p>
            <w:pPr>
              <w:pStyle w:val="Compact"/>
              <w:jc w:val="left"/>
            </w:pPr>
            <w:r>
              <w:t xml:space="preserve">Trump, Truth Social 2026</w:t>
            </w:r>
          </w:p>
        </w:tc>
        <w:tc>
          <w:tcPr/>
          <w:p>
            <w:pPr>
              <w:pStyle w:val="Compact"/>
              <w:jc w:val="left"/>
            </w:pPr>
            <w:r>
              <w:t xml:space="preserve">227</w:t>
            </w:r>
          </w:p>
        </w:tc>
        <w:tc>
          <w:tcPr/>
          <w:p>
            <w:pPr>
              <w:pStyle w:val="Compact"/>
              <w:jc w:val="left"/>
            </w:pPr>
            <w:r>
              <w:t xml:space="preserve">0</w:t>
            </w:r>
          </w:p>
        </w:tc>
        <w:tc>
          <w:tcPr/>
          <w:p>
            <w:pPr>
              <w:pStyle w:val="Compact"/>
              <w:jc w:val="left"/>
            </w:pPr>
            <w:r>
              <w:t xml:space="preserve">1</w:t>
            </w:r>
          </w:p>
        </w:tc>
        <w:tc>
          <w:tcPr/>
          <w:p>
            <w:pPr>
              <w:pStyle w:val="Compact"/>
              <w:jc w:val="left"/>
            </w:pPr>
            <w:r>
              <w:t xml:space="preserve">0 (collapses to NB)</w:t>
            </w:r>
          </w:p>
        </w:tc>
        <w:tc>
          <w:tcPr/>
          <w:p>
            <w:pPr>
              <w:pStyle w:val="Compact"/>
              <w:jc w:val="left"/>
            </w:pPr>
            <w:r>
              <w:t xml:space="preserve">Lognormal</w:t>
            </w:r>
          </w:p>
        </w:tc>
      </w:tr>
      <w:tr>
        <w:tc>
          <w:tcPr/>
          <w:p>
            <w:pPr>
              <w:pStyle w:val="Compact"/>
              <w:jc w:val="left"/>
            </w:pPr>
            <w:r>
              <w:t xml:space="preserve">Trump, Twitter, all original</w:t>
            </w:r>
          </w:p>
        </w:tc>
        <w:tc>
          <w:tcPr/>
          <w:p>
            <w:pPr>
              <w:pStyle w:val="Compact"/>
              <w:jc w:val="left"/>
            </w:pPr>
            <w:r>
              <w:t xml:space="preserve">1,448</w:t>
            </w:r>
          </w:p>
        </w:tc>
        <w:tc>
          <w:tcPr/>
          <w:p>
            <w:pPr>
              <w:pStyle w:val="Compact"/>
              <w:jc w:val="left"/>
            </w:pPr>
            <w:r>
              <w:t xml:space="preserve">626</w:t>
            </w:r>
          </w:p>
        </w:tc>
        <w:tc>
          <w:tcPr/>
          <w:p>
            <w:pPr>
              <w:pStyle w:val="Compact"/>
              <w:jc w:val="left"/>
            </w:pPr>
            <w:r>
              <w:t xml:space="preserve">639</w:t>
            </w:r>
          </w:p>
        </w:tc>
        <w:tc>
          <w:tcPr/>
          <w:p>
            <w:pPr>
              <w:pStyle w:val="Compact"/>
              <w:jc w:val="left"/>
            </w:pPr>
            <w:r>
              <w:t xml:space="preserve">0</w:t>
            </w:r>
          </w:p>
        </w:tc>
        <w:tc>
          <w:tcPr/>
          <w:p>
            <w:pPr>
              <w:pStyle w:val="Compact"/>
              <w:jc w:val="left"/>
            </w:pPr>
            <w:r>
              <w:t xml:space="preserve">Weibull</w:t>
            </w:r>
          </w:p>
        </w:tc>
      </w:tr>
      <w:tr>
        <w:tc>
          <w:tcPr/>
          <w:p>
            <w:pPr>
              <w:pStyle w:val="Compact"/>
              <w:jc w:val="left"/>
            </w:pPr>
            <w:r>
              <w:t xml:space="preserve">Trump, Twitter, oil/Iran</w:t>
            </w:r>
          </w:p>
        </w:tc>
        <w:tc>
          <w:tcPr/>
          <w:p>
            <w:pPr>
              <w:pStyle w:val="Compact"/>
              <w:jc w:val="left"/>
            </w:pPr>
            <w:r>
              <w:t xml:space="preserve">1,448</w:t>
            </w:r>
          </w:p>
        </w:tc>
        <w:tc>
          <w:tcPr/>
          <w:p>
            <w:pPr>
              <w:pStyle w:val="Compact"/>
              <w:jc w:val="left"/>
            </w:pPr>
            <w:r>
              <w:t xml:space="preserve">57</w:t>
            </w:r>
          </w:p>
        </w:tc>
        <w:tc>
          <w:tcPr/>
          <w:p>
            <w:pPr>
              <w:pStyle w:val="Compact"/>
              <w:jc w:val="left"/>
            </w:pPr>
            <w:r>
              <w:t xml:space="preserve">62</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Trump, Twitter, tariff/trade</w:t>
            </w:r>
          </w:p>
        </w:tc>
        <w:tc>
          <w:tcPr/>
          <w:p>
            <w:pPr>
              <w:pStyle w:val="Compact"/>
              <w:jc w:val="left"/>
            </w:pPr>
            <w:r>
              <w:t xml:space="preserve">1,448</w:t>
            </w:r>
          </w:p>
        </w:tc>
        <w:tc>
          <w:tcPr/>
          <w:p>
            <w:pPr>
              <w:pStyle w:val="Compact"/>
              <w:jc w:val="left"/>
            </w:pPr>
            <w:r>
              <w:t xml:space="preserve">137</w:t>
            </w:r>
          </w:p>
        </w:tc>
        <w:tc>
          <w:tcPr/>
          <w:p>
            <w:pPr>
              <w:pStyle w:val="Compact"/>
              <w:jc w:val="left"/>
            </w:pPr>
            <w:r>
              <w:t xml:space="preserve">129</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Musk, Twitter 2012–17</w:t>
            </w:r>
          </w:p>
        </w:tc>
        <w:tc>
          <w:tcPr/>
          <w:p>
            <w:pPr>
              <w:pStyle w:val="Compact"/>
              <w:jc w:val="left"/>
            </w:pPr>
            <w:r>
              <w:t xml:space="preserve">1,779</w:t>
            </w:r>
          </w:p>
        </w:tc>
        <w:tc>
          <w:tcPr/>
          <w:p>
            <w:pPr>
              <w:pStyle w:val="Compact"/>
              <w:jc w:val="left"/>
            </w:pPr>
            <w:r>
              <w:t xml:space="preserve">238</w:t>
            </w:r>
          </w:p>
        </w:tc>
        <w:tc>
          <w:tcPr/>
          <w:p>
            <w:pPr>
              <w:pStyle w:val="Compact"/>
              <w:jc w:val="left"/>
            </w:pPr>
            <w:r>
              <w:t xml:space="preserve">249</w:t>
            </w:r>
          </w:p>
        </w:tc>
        <w:tc>
          <w:tcPr/>
          <w:p>
            <w:pPr>
              <w:pStyle w:val="Compact"/>
              <w:jc w:val="left"/>
            </w:pPr>
            <w:r>
              <w:t xml:space="preserve">0</w:t>
            </w:r>
          </w:p>
        </w:tc>
        <w:tc>
          <w:tcPr/>
          <w:p>
            <w:pPr>
              <w:pStyle w:val="Compact"/>
              <w:jc w:val="left"/>
            </w:pPr>
            <w:r>
              <w:t xml:space="preserve">Lognormal</w:t>
            </w:r>
          </w:p>
        </w:tc>
      </w:tr>
      <w:tr>
        <w:tc>
          <w:tcPr/>
          <w:p>
            <w:pPr>
              <w:pStyle w:val="Compact"/>
              <w:jc w:val="left"/>
            </w:pPr>
            <w:r>
              <w:t xml:space="preserve">Musk, Twitter 2016–17</w:t>
            </w:r>
          </w:p>
        </w:tc>
        <w:tc>
          <w:tcPr/>
          <w:p>
            <w:pPr>
              <w:pStyle w:val="Compact"/>
              <w:jc w:val="left"/>
            </w:pPr>
            <w:r>
              <w:t xml:space="preserve">638</w:t>
            </w:r>
          </w:p>
        </w:tc>
        <w:tc>
          <w:tcPr/>
          <w:p>
            <w:pPr>
              <w:pStyle w:val="Compact"/>
              <w:jc w:val="left"/>
            </w:pPr>
            <w:r>
              <w:t xml:space="preserve">59</w:t>
            </w:r>
          </w:p>
        </w:tc>
        <w:tc>
          <w:tcPr/>
          <w:p>
            <w:pPr>
              <w:pStyle w:val="Compact"/>
              <w:jc w:val="left"/>
            </w:pPr>
            <w:r>
              <w:t xml:space="preserve">66</w:t>
            </w:r>
          </w:p>
        </w:tc>
        <w:tc>
          <w:tcPr/>
          <w:p>
            <w:pPr>
              <w:pStyle w:val="Compact"/>
              <w:jc w:val="left"/>
            </w:pPr>
            <w:r>
              <w:t xml:space="preserve">0</w:t>
            </w:r>
          </w:p>
        </w:tc>
        <w:tc>
          <w:tcPr/>
          <w:p>
            <w:pPr>
              <w:pStyle w:val="Compact"/>
              <w:jc w:val="left"/>
            </w:pPr>
            <w:r>
              <w:t xml:space="preserve">Lognormal</w:t>
            </w:r>
          </w:p>
        </w:tc>
      </w:tr>
    </w:tbl>
    <w:p>
      <w:pPr>
        <w:pStyle w:val="BodyText"/>
      </w:pPr>
      <w:r>
        <w:rPr>
          <w:iCs/>
          <w:i/>
        </w:rPr>
        <w:t xml:space="preserve">Table D1. Alternative models for the arrival of posts (ΔAIC relative to the best model in each row; Poisson ΔAIC 150 to 3,700 in all rows; descriptive, not pre-specified; the results file).</w:t>
      </w:r>
    </w:p>
    <w:bookmarkEnd w:id="54"/>
    <w:bookmarkStart w:id="55" w:name="X5e738fe1f5b19649f986969470de7b656adee10"/>
    <w:p>
      <w:pPr>
        <w:pStyle w:val="Heading3"/>
      </w:pPr>
      <w:r>
        <w:t xml:space="preserve">D.2 Do external events explain the over-dispersion?</w:t>
      </w:r>
    </w:p>
    <w:p>
      <w:pPr>
        <w:pStyle w:val="FirstParagraph"/>
      </w:pPr>
      <w:r>
        <w:t xml:space="preserve">If a head of state mostly reports external events and those events arrive as a Poisson process, posting would be over-dispersed only because each event spawns several posts. Richardson’s classic result is that the onsets of separate interstate wars are roughly Poisson at an annual scale (Richardson 1960; Clauset 2020), although it has been questioned (Houweling and Kuné 1984), and within a war, violent events are usually modelled as self-exciting (Lewis et al. 2012); a single war that has already begun supplies no such onsets at the daily scale of our data. We therefore tested the idea directly, in an exploratory analysis whose definitions were fixed before the event counts were downloaded. We counted GDELT conflict events per day (Iran-involved conflict events, world conflict, riots, and US–China conflict events; Leetaru and Schrodt 2013) and added the previous day’s count and the average of the previous 2–7 days, together with total event volume, to a negative binomial model of daily posts. The event terms are statistically significant in all six pairings, but they remove only a small part of the dispersion: 9% (Truth Social, all posts), 11% (tariff tweets), 17–20% (all Twitter posts, with riot or world-conflict events) and about 22–25% (oil/Iran tweets; Truth Social Iran posts); in no pairing do they remove half. Calendar-week fixed effects, in contrast, remove 66% of the dispersion of all Twitter posts, so the over-dispersion mostly reflects a slowly moving rate that daily conflict counts do not capture. The event series are themselves far from Poisson (variance-to-mean ratios of about 550 and 900 for Iran-related conflict events, lag-1 autocorrelations of 0.85 and 0.96). The premise that the posts follow Poisson events fails at the daily scale. These counts reflect media coverage, which the posts also influence, so the tests do not identify causal direction, and block-bootstrap intervals rest on only 100 resamples.</w:t>
      </w:r>
    </w:p>
    <w:bookmarkEnd w:id="55"/>
    <w:bookmarkStart w:id="56" w:name="Xd3a713f58492b0b3fdf582419ce0614c038e780"/>
    <w:p>
      <w:pPr>
        <w:pStyle w:val="Heading3"/>
      </w:pPr>
      <w:r>
        <w:t xml:space="preserve">D.3 A probe beyond politics: other actors who time their own events</w:t>
      </w:r>
    </w:p>
    <w:p>
      <w:pPr>
        <w:pStyle w:val="FirstParagraph"/>
      </w:pPr>
      <w:r>
        <w:t xml:space="preserve">A head of state who announces a war and a company that releases a model both choose when the event happens. If the account generalizes, the arrival of such events should not be Poisson, and the market should react more strongly on event days. We probed both in an exploratory analysis registered before the data were parsed. The source is Wikipedia’s list of large language models (fetched on 14 October 2026; 187 rows with at least a month, 126 with a full date, nearly all from 2025–2026); it is crowd-edited and includes models by notability, so the tests are descriptive.</w:t>
      </w:r>
    </w:p>
    <w:p>
      <w:pPr>
        <w:pStyle w:val="BodyText"/>
      </w:pPr>
      <w:r>
        <w:rPr>
          <w:iCs/>
          <w:i/>
        </w:rPr>
        <w:t xml:space="preserve">Arrival.</w:t>
      </w:r>
      <w:r>
        <w:t xml:space="preserve"> </w:t>
      </w:r>
      <w:r>
        <w:t xml:space="preserve">Monthly release counts rise steeply over 2018–2026, and with a log-trend they remain over-dispersed (Pearson χ²/df 1.7; negative-binomial α = 0.25; likelihood-ratio p = 0.0001); in the shorter 2024–2026 window the evidence is weaker with a quadratic trend (α = 0.10; one-sided p = 0.028). Of 125 releases with a full date since 2023, 4% fell on a weekend, against 29% expected under a homogeneous process (χ² = 62.1, 6 df; Holm p &lt; 10⁻¹⁰). Gaps between releases (119 gaps since 2024; coefficient of variation 1.55) are fitted best by a negative binomial; the memoryless geometric is worse by 22 AIC units. Individual developers release more regularly than a Poisson process (coefficients of variation 0.67 for Anthropic, 0.81 for OpenAI, 1.12 for Google DeepMind), so the clustering appears only after pooling. Release dates follow the business calendar, a clear departure from a Poisson process.</w:t>
      </w:r>
    </w:p>
    <w:p>
      <w:pPr>
        <w:pStyle w:val="BodyText"/>
      </w:pPr>
      <w:r>
        <w:rPr>
          <w:iCs/>
          <w:i/>
        </w:rPr>
        <w:t xml:space="preserve">Market reaction.</w:t>
      </w:r>
      <w:r>
        <w:t xml:space="preserve"> </w:t>
      </w:r>
      <w:r>
        <w:t xml:space="preserve">For the 31 releases by listed developers (Alphabet 9, Alibaba 8, Meta 4, Microsoft, Xiaomi and Tencent 3 each, Nvidia 1), the mean abnormal return over the release day and the next trading day, from a market model, is +0.40 percentage points (SE 0.68; Wilcoxon p = 0.76). The standardized absolute abnormal return is larger than in random two-day windows of the same firms (1.11 against 0.75; permutation p = 0.008; Holm p = 0.015). In other words, there is a magnitude effect without a direction. It shrinks by about 40% when three events likely to coincide with other news are removed (Gemini 2.0 on 5 February 2025, Qwen2.5 on 26–27 January 2025 and Llama 4 on 5–7 April 2025; the coincidences are our recollection, not checked here). Release times of day are not in the list, so daily windows were used; unlisted developers, about half of the 2025–2026 rows, are excluded by design; and a few firms contribute only 3–4 events each, with opposite signs across firms.</w:t>
      </w:r>
    </w:p>
    <w:p>
      <w:pPr>
        <w:pStyle w:val="BodyText"/>
      </w:pPr>
      <w:r>
        <w:t xml:space="preserve">Taken together with the war-period results, the two settings agree on one point, that timing is chosen by the actor and arrival is not Poisson. They do not agree on the market reaction: with the matched-hour placebo (Section 4.5) the posts show a directional move beyond fake times in comparable hours, whereas releases show larger absolute moves without a direction. Because the two statistics differ, and because we have no comparison group of externally caused events, we do not claim that self-caused events are a common class with a common market signature.</w:t>
      </w:r>
    </w:p>
    <w:bookmarkEnd w:id="56"/>
    <w:bookmarkEnd w:id="57"/>
    <w:bookmarkStart w:id="69" w:name="X7117f966726966b25e68a4ee9c3836f3668b7b4"/>
    <w:p>
      <w:pPr>
        <w:pStyle w:val="Heading2"/>
      </w:pPr>
      <w:r>
        <w:t xml:space="preserve">Appendix E. Supplementary analyses (model-labelled or exploratory)</w:t>
      </w:r>
    </w:p>
    <w:p>
      <w:pPr>
        <w:pStyle w:val="FirstParagraph"/>
      </w:pPr>
      <w:r>
        <w:t xml:space="preserve">The analyses in this appendix use model labels that humans accept for only about half of the model-agreed signals (Section 4.3; E.5), or were generated from the cases they describe, or were run after the main results were seen. They are not evidence for the information-theoretic account. In particular, the opposite signs of the oil responses in 2026 and 2017–2021 are an unvalidated observation: the 2017–2021 oil sample has model labels only, and the pre-specified test of the proposition that would have made sense of it (P6) was rejected in the opposite direction (E.5).</w:t>
      </w:r>
    </w:p>
    <w:p>
      <w:pPr>
        <w:pStyle w:val="CaptionedFigure"/>
      </w:pPr>
      <w:r>
        <w:drawing>
          <wp:inline>
            <wp:extent cx="5334000" cy="2200275"/>
            <wp:effectExtent b="0" l="0" r="0" t="0"/>
            <wp:docPr descr="Figure E1" title="" id="59" name="Picture"/>
            <a:graphic>
              <a:graphicData uri="http://schemas.openxmlformats.org/drawingml/2006/picture">
                <pic:pic>
                  <pic:nvPicPr>
                    <pic:cNvPr descr="figs/fig2_event_time.png" id="60" name="Picture"/>
                    <pic:cNvPicPr>
                      <a:picLocks noChangeArrowheads="1" noChangeAspect="1"/>
                    </pic:cNvPicPr>
                  </pic:nvPicPr>
                  <pic:blipFill>
                    <a:blip r:embed="rId58"/>
                    <a:stretch>
                      <a:fillRect/>
                    </a:stretch>
                  </pic:blipFill>
                  <pic:spPr bwMode="auto">
                    <a:xfrm>
                      <a:off x="0" y="0"/>
                      <a:ext cx="5334000" cy="2200275"/>
                    </a:xfrm>
                    <a:prstGeom prst="rect">
                      <a:avLst/>
                    </a:prstGeom>
                    <a:noFill/>
                    <a:ln w="9525">
                      <a:noFill/>
                      <a:headEnd/>
                      <a:tailEnd/>
                    </a:ln>
                  </pic:spPr>
                </pic:pic>
              </a:graphicData>
            </a:graphic>
          </wp:inline>
        </w:drawing>
      </w:r>
    </w:p>
    <w:p>
      <w:pPr>
        <w:pStyle w:val="ImageCaption"/>
      </w:pPr>
      <w:r>
        <w:t xml:space="preserve">Figure E1</w:t>
      </w:r>
    </w:p>
    <w:p>
      <w:pPr>
        <w:pStyle w:val="BodyText"/>
      </w:pPr>
      <w:r>
        <w:rPr>
          <w:iCs/>
          <w:i/>
        </w:rPr>
        <w:t xml:space="preserve">Figure E1. WTI path around war-period posts, model labels (first stage): de-escalation n = 33; escalation n = 27 with complete windows. A: mean ± 1 SE. B: median.</w:t>
      </w:r>
    </w:p>
    <w:p>
      <w:pPr>
        <w:pStyle w:val="CaptionedFigure"/>
      </w:pPr>
      <w:r>
        <w:drawing>
          <wp:inline>
            <wp:extent cx="5334000" cy="2753032"/>
            <wp:effectExtent b="0" l="0" r="0" t="0"/>
            <wp:docPr descr="Figure E2" title="" id="62" name="Picture"/>
            <a:graphic>
              <a:graphicData uri="http://schemas.openxmlformats.org/drawingml/2006/picture">
                <pic:pic>
                  <pic:nvPicPr>
                    <pic:cNvPr descr="figs/fig3_bar_decomposition.png" id="63" name="Picture"/>
                    <pic:cNvPicPr>
                      <a:picLocks noChangeArrowheads="1" noChangeAspect="1"/>
                    </pic:cNvPicPr>
                  </pic:nvPicPr>
                  <pic:blipFill>
                    <a:blip r:embed="rId61"/>
                    <a:stretch>
                      <a:fillRect/>
                    </a:stretch>
                  </pic:blipFill>
                  <pic:spPr bwMode="auto">
                    <a:xfrm>
                      <a:off x="0" y="0"/>
                      <a:ext cx="5334000" cy="2753032"/>
                    </a:xfrm>
                    <a:prstGeom prst="rect">
                      <a:avLst/>
                    </a:prstGeom>
                    <a:noFill/>
                    <a:ln w="9525">
                      <a:noFill/>
                      <a:headEnd/>
                      <a:tailEnd/>
                    </a:ln>
                  </pic:spPr>
                </pic:pic>
              </a:graphicData>
            </a:graphic>
          </wp:inline>
        </w:drawing>
      </w:r>
    </w:p>
    <w:p>
      <w:pPr>
        <w:pStyle w:val="ImageCaption"/>
      </w:pPr>
      <w:r>
        <w:t xml:space="preserve">Figure E2</w:t>
      </w:r>
    </w:p>
    <w:p>
      <w:pPr>
        <w:pStyle w:val="BodyText"/>
      </w:pPr>
      <w:r>
        <w:rPr>
          <w:iCs/>
          <w:i/>
        </w:rPr>
        <w:t xml:space="preserve">Figure E2. Directional WTI return by hour relative to the bar k containing the post, model-labelled de-escalation posts (mean ± 1 SE); the hour before the post bar already carries +0.36%.</w:t>
      </w:r>
    </w:p>
    <w:bookmarkStart w:id="64" w:name="e.1-earlier-pre-specified-mechanisms"/>
    <w:p>
      <w:pPr>
        <w:pStyle w:val="Heading3"/>
      </w:pPr>
      <w:r>
        <w:t xml:space="preserve">E.1 Earlier pre-specified mechanisms</w:t>
      </w:r>
    </w:p>
    <w:p>
      <w:pPr>
        <w:pStyle w:val="FirstParagraph"/>
      </w:pPr>
      <w:r>
        <w:t xml:space="preserve">Three mechanisms were pre-specified before the information-theoretic account.</w:t>
      </w:r>
      <w:r>
        <w:t xml:space="preserve"> </w:t>
      </w:r>
      <w:r>
        <w:rPr>
          <w:iCs/>
          <w:i/>
        </w:rPr>
        <w:t xml:space="preserve">Binding constraint:</w:t>
      </w:r>
      <w:r>
        <w:t xml:space="preserve"> </w:t>
      </w:r>
      <w:r>
        <w:t xml:space="preserve">oil de-escalation posts moved WTI by a directional 1.40% during the war and 0.01% before it (p = 0.014; Holm-adjusted 0.056); the other three primary comparisons did not support the prediction (oil escalation p = 0.86; tariff escalation, opposite sign, p = 0.09; tariff relief, three pre-period posts).</w:t>
      </w:r>
      <w:r>
        <w:t xml:space="preserve"> </w:t>
      </w:r>
      <w:r>
        <w:rPr>
          <w:iCs/>
          <w:i/>
        </w:rPr>
        <w:t xml:space="preserve">Salience:</w:t>
      </w:r>
      <w:r>
        <w:t xml:space="preserve"> </w:t>
      </w:r>
      <w:r>
        <w:t xml:space="preserve">in hold-out topics the coefficient of log posts in the previous seven days is +0.045 (p = 0.44), and those topics show no hourly reaction at all.</w:t>
      </w:r>
      <w:r>
        <w:t xml:space="preserve"> </w:t>
      </w:r>
      <w:r>
        <w:rPr>
          <w:iCs/>
          <w:i/>
        </w:rPr>
        <w:t xml:space="preserve">Habituation:</w:t>
      </w:r>
      <w:r>
        <w:t xml:space="preserve"> </w:t>
      </w:r>
      <w:r>
        <w:t xml:space="preserve">−0.24 pooled in-sample (p = 0.036, exploratory); −0.09 (SE 0.29) in the pre-specified 2022–2024 test, whose minimum detectable effect (0.82) is more than three times the in-sample estimate, so the test can neither confirm nor refute it. The action-versus-rhetoric difference (a verifiability premium) was +0.56 points for oil (p = 0.12) and not significant pooled (p = 0.20). Under the information-theoretic account, habituation is the redundancy implication and the binding constraint the prior-uncertainty implication, but the evidence for each is no stronger when stated that way.</w:t>
      </w:r>
    </w:p>
    <w:bookmarkEnd w:id="64"/>
    <w:bookmarkStart w:id="65" w:name="X66cd5ee863ab5a1a78bfd9fd7d21d1587b03d84"/>
    <w:p>
      <w:pPr>
        <w:pStyle w:val="Heading3"/>
      </w:pPr>
      <w:r>
        <w:t xml:space="preserve">E.2 Content analysis (hypothesis generation)</w:t>
      </w:r>
    </w:p>
    <w:p>
      <w:pPr>
        <w:pStyle w:val="FirstParagraph"/>
      </w:pPr>
      <w:r>
        <w:t xml:space="preserve">To generate hypotheses about which posts were consequential, 136 posts were shuffled, stripped of labels and market data, and coded by two model-instance analysts; codebooks were reconciled and fixed before reactions were attached; 20 cases (the eight largest reactions, six moves opposite to the post’s direction, and six near-zero de-escalation posts) were compared with contemporaneous market-wire coverage collected without access to our reaction values. Because the analysts are model instances and the study involves no human interpreter, we describe this as LLM-assisted content analysis for hypothesis generation, not as interpretive or critical research.</w:t>
      </w:r>
    </w:p>
    <w:p>
      <w:pPr>
        <w:pStyle w:val="BodyText"/>
      </w:pPr>
      <w:r>
        <w:t xml:space="preserve">The two analysts’ codebooks mapped onto each other on all six themes of one analyst’s list (some merged); post-level agreement on shared concepts ranged from kappa 0.37 (claims of agreement) and 0.42 (boasts) to 0.96 (amplification). Five themes were retained: pressure-then-pause cycles; concrete acts versus atmospheric statements; counterparty denial and partial retracement (after the 23 March postponement, the Iranian state denied that talks had occurred and oil rebounded the next session); posts that are themselves the first announcement of a decision (four of the eight largest reactions); and multi-causality (all 20 triangulated cases show other reported drivers; seven were not mentioned in market coverage). Two propositions derived from these themes were tested on held-out data and not supported: that re-posts and links produce no reaction while originals do (difference −0.13 standard deviations, CI −0.57 to +0.31, minimum detectable effect 0.75; in that sample original posts also showed almost no reaction), and that after-hours posts are better measured at the next open (−0.10 points, p = 0.63). The themes of counterparty denial and the carrying of decisions correspond to the channel-reliability and surprisal implications of the account, but they were generated from the same cases they describe and are not independent support.</w:t>
      </w:r>
    </w:p>
    <w:bookmarkEnd w:id="65"/>
    <w:bookmarkStart w:id="66" w:name="Xc55d518a044bbf75c734e1bbadad911bba60243"/>
    <w:p>
      <w:pPr>
        <w:pStyle w:val="Heading3"/>
      </w:pPr>
      <w:r>
        <w:t xml:space="preserve">E.3 Timing surprisal (P7), first source and redundancy (P5)</w:t>
      </w:r>
    </w:p>
    <w:p>
      <w:pPr>
        <w:pStyle w:val="FirstParagraph"/>
      </w:pPr>
      <w:r>
        <w:rPr>
          <w:iCs/>
          <w:i/>
        </w:rPr>
        <w:t xml:space="preserve">Timing surprisal (P7).</w:t>
      </w:r>
      <w:r>
        <w:t xml:space="preserve"> </w:t>
      </w:r>
      <w:r>
        <w:t xml:space="preserve">The account’s second information channel is the time at which a post arrives. We computed, for each post, the surprisal of its waiting time under a lognormal predictive model fitted to the poster’s own gaps in the preceding 60 days, separately by trading-session bucket (the analysis plan, registered before the measure was computed). Pooled over the three tick-level samples, a one-SD increase in timing surprisal is associated with 0.04 SD higher |z| (SE 0.065; one-sided p = 0.27; n = 685), with N_c, U, the preceding 30-minute |z|, the prior-hour post count, session and sample controlled. The estimates are +0.08 in the tariff tweets, −0.02 in the oil tweets and −0.01 in the 2026 posts (Holm p ≥ 0.60); a count-based surprisal, winsorizing, a log outcome, dropping bursts and dropping weekends give the same answer. Timing surprisal is nearly uncorrelated with the volatility preceding the post (Spearman 0.05), so the null is not a control artifact. The confidence interval (about −0.09 to +0.17 SD) excludes a medium effect but not a small one. P7 is not supported.</w:t>
      </w:r>
    </w:p>
    <w:p>
      <w:pPr>
        <w:pStyle w:val="BodyText"/>
      </w:pPr>
      <w:r>
        <w:rPr>
          <w:iCs/>
          <w:i/>
        </w:rPr>
        <w:t xml:space="preserve">First source.</w:t>
      </w:r>
      <w:r>
        <w:t xml:space="preserve"> </w:t>
      </w:r>
      <w:r>
        <w:t xml:space="preserve">Because the account treats the platform as a possible first source of a decision, we classified all 61 war-period signal posts by whether an outside public source had reported the decision earlier (searchers saw only the post’s time and text). Thirty-two were POST_FIRST, 14 OTHER_FIRST, 10 SIMULTANEOUS (six of them 6–9 minutes after the post), and five undeterminable; nine of the 14 OTHER_FIRST posts were links to articles or re-posts. The mean directional reaction was +0.73% for POST_FIRST and +0.04% for OTHER_FIRST (difference 0.70; permutation p = 0.176; not supported).</w:t>
      </w:r>
      <w:r>
        <w:t xml:space="preserve"> </w:t>
      </w:r>
      <w:r>
        <w:t xml:space="preserve">“</w:t>
      </w:r>
      <w:r>
        <w:t xml:space="preserve">Post first</w:t>
      </w:r>
      <w:r>
        <w:t xml:space="preserve">”</w:t>
      </w:r>
      <w:r>
        <w:t xml:space="preserve"> </w:t>
      </w:r>
      <w:r>
        <w:t xml:space="preserve">means that no earlier report was found by keyword-based search; several outlets could not be opened, and the classification should be read as an upper bound on how often the post was first.</w:t>
      </w:r>
    </w:p>
    <w:p>
      <w:pPr>
        <w:pStyle w:val="BodyText"/>
      </w:pPr>
      <w:r>
        <w:t xml:space="preserve">The redundancy proposition (P5) was examined as the correlation between novelty and the number of same-topic posts in the previous 24 hours (−0.10, direction as expected, uninformative) and in the held-out re-post test of E.2. For the 30 events that overlap the first-source classification, the mean directional return in the 30 minutes before the post was +0.28% (POST_FIRST, n = 10), +0.66% (OTHER_FIRST, 9), +1.57% (SIMULTANEOUS, 6) and +0.30% (undeterminable, 5); POST_FIRST versus OTHER_FIRST p = 0.90, so the drift does not differ by who reported first.</w:t>
      </w:r>
    </w:p>
    <w:bookmarkEnd w:id="66"/>
    <w:bookmarkStart w:id="67" w:name="X7f75c071481e4d1a882ce628d2a70625f7aea76"/>
    <w:p>
      <w:pPr>
        <w:pStyle w:val="Heading3"/>
      </w:pPr>
      <w:r>
        <w:t xml:space="preserve">E.4 Twitter-era oil and Iran tweets (model labels)</w:t>
      </w:r>
    </w:p>
    <w:p>
      <w:pPr>
        <w:pStyle w:val="FirstParagraph"/>
      </w:pPr>
      <w:r>
        <w:t xml:space="preserve">To test the propositions on data not used to form them, we pre-specified (a plan written before any label, price or return was examined) a confirmatory analysis of the same author’s original tweets from 20 January 2017 to 8 January 2021 that mention Iran, oil, OPEC, Saudi Arabia, or related energy terms (341 tweets; exact times from the tweet identifiers). Two independent model instances labelled direction (κ = 0.77). After the three-hour cluster filter, 278 tweets remained, and 191 had a tick window (market open 30 minutes before and after); 87, mostly weekend and overnight tweets, did not. The outcome is the 30-minute absolute return divided by a scale derived from the prior 60 daily volatilities, so the test of the three propositions does not depend on any label.</w:t>
      </w:r>
    </w:p>
    <w:p>
      <w:pPr>
        <w:pStyle w:val="BodyText"/>
      </w:pPr>
      <w:r>
        <w:t xml:space="preserve">The propositions are not supported. The coefficient of novelty (conditional compression) on the standardized absolute reaction is −0.27 (SE 0.74; one-sided p = 0.64), that of prior uncertainty +0.18 (SE 0.18; p = 0.15), and that of their interaction −0.37 (SE 1.81; p = 0.58); the Holm-adjusted p-values are 1.00, 0.45, and 1.00. A lexical novelty measure registered as a robustness check is positive (+1.14, SE 0.44; p = 0.005), so the two measures of novelty disagree, and because the plan designated the compression measure as the test we do not read the lexical result as confirmation. The standard error of the novelty coefficient is large, so effects smaller than about 1.5 standardized units cannot be excluded.</w:t>
      </w:r>
    </w:p>
    <w:p>
      <w:pPr>
        <w:pStyle w:val="BodyText"/>
      </w:pPr>
      <w:r>
        <w:t xml:space="preserve">The directional response differs from 2026 in sign. Among tweets that both model instances label escalation (n = 32), oil rose by 0.51% in the 30 minutes after the tweet (median +0.09%; one-sided Wilcoxon p = 0.001); the preceding 30 minutes show +0.04%, and the excess is +0.50 points (p = 0.010). Among tweets labelled de-escalation (n = 11) the response is +0.18% in the expected direction and not significant (p = 0.22), too few to conclude. With the strait closed in 2026 the pattern differed: de-escalation moved oil, and escalation did so when humans, not the model, labelled it. An information-theoretic account can accommodate this (a message is informative when it changes beliefs about the state to which the market assigns little probability: relief when closure is the prior, threat when peace is), but we had not pre-specified the sign flip, and we offer it as a post hoc reading. P6 turns it into a prediction that is tested on the tariff and trade tweets of the same period, with a plan registered before their returns were examined (the analysis plan, Amendment 1); human labels for the oil sample were not collected. Finally, the standardized reaction is larger in the 2026 posts (mean 1.39 against 0.84; exploratory permutation p = 0.002); the comparison is confounded with the war and cannot isolate the platform.</w:t>
      </w:r>
    </w:p>
    <w:bookmarkEnd w:id="67"/>
    <w:bookmarkStart w:id="68" w:name="Xfc180e0341532553c9b889b0cbfc6ae9be261b8"/>
    <w:p>
      <w:pPr>
        <w:pStyle w:val="Heading3"/>
      </w:pPr>
      <w:r>
        <w:t xml:space="preserve">E.5 Tariff and trade tweets (model labels; state-dependent sign)</w:t>
      </w:r>
    </w:p>
    <w:p>
      <w:pPr>
        <w:pStyle w:val="FirstParagraph"/>
      </w:pPr>
      <w:r>
        <w:t xml:space="preserve">The state-dependence reading of Appendix E.4 was formed after the oil results, so it could not be tested on them. For the tariff, trade, and China tweets of 2017–2021 (937 original tweets; 632 after the three-hour filter; 410 with a tick window of the S&amp;P 500 index CFD; labels from two model instances, κ = 0.80, human labels for only 150 tweets) we registered the test before any price or return was examined (the analysis plan and its Amendment 1).</w:t>
      </w:r>
    </w:p>
    <w:p>
      <w:pPr>
        <w:pStyle w:val="BodyText"/>
      </w:pPr>
      <w:r>
        <w:rPr>
          <w:iCs/>
          <w:i/>
        </w:rPr>
        <w:t xml:space="preserve">Novelty, uncertainty, and their interaction.</w:t>
      </w:r>
      <w:r>
        <w:t xml:space="preserve"> </w:t>
      </w:r>
      <w:r>
        <w:t xml:space="preserve">Prior uncertainty is supported: the coefficient of U on the standardized absolute 30-minute reaction is +0.40 (SE 0.10; one-sided p &lt; 0.001; Holm-adjusted 0.0001). Novelty (−0.05, SE 0.68; Holm-adjusted p = 0.74) and the interaction (+0.32, SE 0.97; 0.74) are not. The result for U needs a caveat that restricts its meaning: U is the log ratio of recent to long-run daily volatility and the outcome is scaled by long-run volatility, so the coefficient is what the persistence of volatility predicts without any account of information. It is consistent with our account but does not distinguish it from volatility clustering, and in the oil sample the same coefficient was not significant (p = 0.15).</w:t>
      </w:r>
    </w:p>
    <w:p>
      <w:pPr>
        <w:pStyle w:val="BodyText"/>
      </w:pPr>
      <w:r>
        <w:rPr>
          <w:iCs/>
          <w:i/>
        </w:rPr>
        <w:t xml:space="preserve">Direction.</w:t>
      </w:r>
      <w:r>
        <w:t xml:space="preserve"> </w:t>
      </w:r>
      <w:r>
        <w:t xml:space="preserve">Among tweets with an agreed label, the S&amp;P 500 rose by 0.085% in the 30 minutes after de-escalation tweets (n = 70; one-sided Wilcoxon p = 0.0007) and fell by 0.046% after escalation tweets (n = 50; p = 0.024); the excess over the preceding 30 minutes is significant for escalation (p = 0.048) and not for de-escalation (p = 0.099). Both responses have the expected sign and are small in index terms.</w:t>
      </w:r>
    </w:p>
    <w:p>
      <w:pPr>
        <w:pStyle w:val="BodyText"/>
      </w:pPr>
      <w:r>
        <w:rPr>
          <w:iCs/>
          <w:i/>
        </w:rPr>
        <w:t xml:space="preserve">Human validation.</w:t>
      </w:r>
      <w:r>
        <w:t xml:space="preserve"> </w:t>
      </w:r>
      <w:r>
        <w:t xml:space="preserve">Two coders labelled 150 of these tweets (a stratified sample of model-agreed signals, model-disagreed candidates, and model-agreed other tweets; κ between the coders 0.54; 44 disagreements adjudicated from the text). The model labels agree with the final human labels only weakly (κ = 0.39 and 0.34): of the 60 tweets that both models call escalation or de-escalation, humans give the same label to 33 (55%), call 19 other, and reverse the sign of 8; the models almost never miss a signal (1 of 30 model-other tweets is a human signal). On the human labels the directional 30-minute S&amp;P 500 return is −0.10% after de-escalation tweets (n = 20 with a window; one-sided p = 0.49) and +0.058% after escalation tweets (n = 30; p = 0.069; excess over the preceding 30 minutes +0.056, p = 0.026). The response to de-escalation seen with model labels is therefore not reproduced on the human-labelled subset, which is small and not random, and the escalation response is borderline.</w:t>
      </w:r>
    </w:p>
    <w:p>
      <w:pPr>
        <w:pStyle w:val="BodyText"/>
      </w:pPr>
      <w:r>
        <w:rPr>
          <w:iCs/>
          <w:i/>
        </w:rPr>
        <w:t xml:space="preserve">State-dependent sign.</w:t>
      </w:r>
      <w:r>
        <w:t xml:space="preserve"> </w:t>
      </w:r>
      <w:r>
        <w:t xml:space="preserve">A regime variable R, computed from labels alone as the balance of escalatory and de-escalatory trade tweets in the preceding 30 days, was used to test P6: a message that runs against the regime should move prices more than one that continues it (H12). Among 108 tweets with a defined regime the coefficient is −0.097 (SE 0.032; one-sided p = 0.9987; two-sided p = 0.003). The effect is in the opposite direction: messages that continued the recent regime moved the index more (mean directional returns of +0.119% for aligned and +0.045% for opposed de-escalation; +0.150% and −0.084% for escalation). The test on the human-labelled subset (46 tweets with a window and a regime) gives the same answer (β = −0.041, SE 0.079; one-sided p = 0.70). By the rule we fixed in advance, P6 is not supported and the sign flip in the oil samples remains a post hoc observation that carries no theoretical weight. A reader should therefore not take the opposite signs of the 2026 and 2017–2021 oil responses as evidence for the account. USD/CNH ticks for the China-related subset were not analysed.</w:t>
      </w:r>
    </w:p>
    <w:bookmarkEnd w:id="68"/>
    <w:bookmarkEnd w:id="69"/>
    <w:bookmarkEnd w:id="70"/>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1"/>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line="240" w:lineRule="auto"/>
    </w:pPr>
    <w:rPr>
      <w:rFonts w:ascii="Times New Roman" w:cs="Times New Roman" w:eastAsia="Times New Roman" w:hAnsi="Times New Roman"/>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58" Type="http://schemas.openxmlformats.org/officeDocument/2006/relationships/image" Target="media/rId58.png"/><Relationship Id="rId61" Type="http://schemas.openxmlformats.org/officeDocument/2006/relationships/image" Target="media/rId61.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2026-10-14T23:20:26Z</dcterms:created>
  <dcterms:modified xsi:type="dcterms:W3CDTF">2026-10-14T23:20:26Z</dcterms:modified>
</cp:coreProperties>
</file>

<file path=docProps/custom.xml><?xml version="1.0" encoding="utf-8"?>
<Properties xmlns="http://schemas.openxmlformats.org/officeDocument/2006/custom-properties" xmlns:vt="http://schemas.openxmlformats.org/officeDocument/2006/docPropsVTypes"/>
</file>