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jc w:val="center"/>
      </w:pPr>
      <w:r>
        <w:rPr>
          <w:rFonts w:ascii="Times New Roman" w:hAnsi="Times New Roman"/>
          <w:b/>
          <w:color w:val="002060"/>
          <w:sz w:val="32"/>
        </w:rPr>
        <w:t>CHAPTER FIVE</w:t>
        <w:br/>
        <w:t>SUMMARY, CONCLUSION, AND RECOMMENDATIONS</w:t>
      </w:r>
    </w:p>
    <w:p>
      <w:pPr>
        <w:spacing w:before="280" w:after="120"/>
        <w:jc w:val="left"/>
      </w:pPr>
      <w:r>
        <w:rPr>
          <w:rFonts w:ascii="Times New Roman" w:hAnsi="Times New Roman"/>
          <w:b/>
          <w:color w:val="002060"/>
          <w:sz w:val="27"/>
        </w:rPr>
        <w:t>5.1 Summary of the Study</w:t>
      </w:r>
    </w:p>
    <w:p>
      <w:pPr>
        <w:spacing w:after="120" w:line="360" w:lineRule="auto"/>
        <w:jc w:val="both"/>
      </w:pPr>
      <w:r>
        <w:rPr>
          <w:rFonts w:ascii="Times New Roman" w:hAnsi="Times New Roman"/>
          <w:b w:val="0"/>
          <w:i w:val="0"/>
        </w:rPr>
        <w:t>This research project set out to design, develop, and empirically evaluate RecruitIQ—an intelligent, de-biased, and explainable web-based Decision Support System (DSS) engineered to transform modern talent acquisition and candidate resume evaluation within the technology sector.</w:t>
      </w:r>
    </w:p>
    <w:p>
      <w:pPr>
        <w:spacing w:after="120" w:line="360" w:lineRule="auto"/>
        <w:jc w:val="both"/>
      </w:pPr>
      <w:r>
        <w:rPr>
          <w:rFonts w:ascii="Times New Roman" w:hAnsi="Times New Roman"/>
          <w:b w:val="0"/>
          <w:i w:val="0"/>
        </w:rPr>
        <w:t>Traditional recruitment operations are beset by two critical failure modes: First, human recruitment teams handling hundreds or thousands of applicants per vacancy experience acute cognitive fatigue, leading to inconsistent evaluations and well-documented demographic biases based on candidate names, gender indicators, geographic locations, and institutional prestige. Second, existing commercial Applicant Tracking Systems (ATS) rely predominantly on superficial exact-match keyword matching—penalizing highly qualified candidates who employ semantic synonyms—or deploy 'black-box' machine learning classifiers that lack transparency, obscure decision rationales, and frequently propagate historical hiring disparities.</w:t>
      </w:r>
    </w:p>
    <w:p>
      <w:pPr>
        <w:spacing w:after="120" w:line="360" w:lineRule="auto"/>
        <w:jc w:val="both"/>
      </w:pPr>
      <w:r>
        <w:rPr>
          <w:rFonts w:ascii="Times New Roman" w:hAnsi="Times New Roman"/>
          <w:b w:val="0"/>
          <w:i w:val="0"/>
        </w:rPr>
        <w:t>To resolve these challenges, RecruitIQ was conceptualized and realized as an integrated, multi-tier decision framework operating across five foundational pillars:</w:t>
      </w:r>
    </w:p>
    <w:p>
      <w:pPr>
        <w:spacing w:after="120" w:line="360" w:lineRule="auto"/>
        <w:jc w:val="both"/>
      </w:pPr>
      <w:r>
        <w:rPr>
          <w:rFonts w:ascii="Times New Roman" w:hAnsi="Times New Roman"/>
          <w:b w:val="0"/>
          <w:i w:val="0"/>
        </w:rPr>
        <w:t>• Layout-Aware Ingestion and PII Sanitization: Ingestion of multi-format resumes (PDF, DOCX, TXT, and bulk ZIP archives) with strict layout integrity preservation (pdfplumber), language compliance filtering (English 'en'), and high-precision Personally Identifiable Information (PII) redaction.</w:t>
      </w:r>
    </w:p>
    <w:p>
      <w:pPr>
        <w:spacing w:after="120" w:line="360" w:lineRule="auto"/>
        <w:jc w:val="both"/>
      </w:pPr>
      <w:r>
        <w:rPr>
          <w:rFonts w:ascii="Times New Roman" w:hAnsi="Times New Roman"/>
          <w:b w:val="0"/>
          <w:i w:val="0"/>
        </w:rPr>
        <w:t>• 5-Dimensional (5D) Multi-Criteria Evaluation Pipeline: Comprehensive candidate scoring aggregating Hard Technical Skills (S_hard), Interpersonal/People Skills (S_soft), Experience Tenure Fit (S_tenure), Minimum Academic Level (S_education), and Role/Domain Relevance (S_domain) through dense Sentence-BERT (sentence-transformers/all-MiniLM-L6-v2) embeddings and non-linear penalty formulations.</w:t>
      </w:r>
    </w:p>
    <w:p>
      <w:pPr>
        <w:spacing w:after="120" w:line="360" w:lineRule="auto"/>
        <w:jc w:val="both"/>
      </w:pPr>
      <w:r>
        <w:rPr>
          <w:rFonts w:ascii="Times New Roman" w:hAnsi="Times New Roman"/>
          <w:b w:val="0"/>
          <w:i w:val="0"/>
        </w:rPr>
        <w:t>• 3-Stage Progressive Halving Talent Funnel: A scalable multi-stage pruning mechanism that systematically filters candidate cohorts from Total Ingestion (100%) down to Semi-Finalists (50%) and Finalist Interview Slates (25%), dramatically reducing recruiter screening latency while intensifying qualitative analysis at each stage.</w:t>
      </w:r>
    </w:p>
    <w:p>
      <w:pPr>
        <w:spacing w:after="120" w:line="360" w:lineRule="auto"/>
        <w:jc w:val="both"/>
      </w:pPr>
      <w:r>
        <w:rPr>
          <w:rFonts w:ascii="Times New Roman" w:hAnsi="Times New Roman"/>
          <w:b w:val="0"/>
          <w:i w:val="0"/>
        </w:rPr>
        <w:t>• Local Interpretability and Explainable AI (XAI): Integration of cooperative game theory via SHAP (SHapley Additive exPlanations) to decompose overall candidate scores into additive feature contributions, accompanied by itemized skill-gap analysis and actionable counterfactual career guidance.</w:t>
      </w:r>
    </w:p>
    <w:p>
      <w:pPr>
        <w:spacing w:after="120" w:line="360" w:lineRule="auto"/>
        <w:jc w:val="both"/>
      </w:pPr>
      <w:r>
        <w:rPr>
          <w:rFonts w:ascii="Times New Roman" w:hAnsi="Times New Roman"/>
          <w:b w:val="0"/>
          <w:i w:val="0"/>
        </w:rPr>
        <w:t>• Auditable Algorithmic Fairness: Automated demographic parity evaluation using the Fairlearn library to measure selection rates across demographic groups, enforcing compliance with the internationally recognized four-fifths (80%) rule and mitigating disparate impact before final interview slates are confirmed.</w:t>
      </w:r>
    </w:p>
    <w:p>
      <w:pPr>
        <w:spacing w:after="120" w:line="360" w:lineRule="auto"/>
        <w:jc w:val="both"/>
      </w:pPr>
      <w:r>
        <w:rPr>
          <w:rFonts w:ascii="Times New Roman" w:hAnsi="Times New Roman"/>
          <w:b w:val="0"/>
          <w:i w:val="0"/>
        </w:rPr>
        <w:t>The empirical findings documented in Chapter Four established that RecruitIQ achieved a 100% precision rate in redacting sensitive personal attributes across benchmark resumes, delivered an average inference latency below 45 ms per candidate on commodity CPU hardware, and successfully elevated the demographic parity ratio from a biased baseline of 0.316 to an equitable 0.923 (92.3%).</w:t>
      </w:r>
    </w:p>
    <w:p>
      <w:pPr>
        <w:spacing w:before="280" w:after="120"/>
        <w:jc w:val="left"/>
      </w:pPr>
      <w:r>
        <w:rPr>
          <w:rFonts w:ascii="Times New Roman" w:hAnsi="Times New Roman"/>
          <w:b/>
          <w:color w:val="002060"/>
          <w:sz w:val="27"/>
        </w:rPr>
        <w:t>5.2 Conclusions</w:t>
      </w:r>
    </w:p>
    <w:p>
      <w:pPr>
        <w:spacing w:after="120" w:line="360" w:lineRule="auto"/>
        <w:jc w:val="both"/>
      </w:pPr>
      <w:r>
        <w:rPr>
          <w:rFonts w:ascii="Times New Roman" w:hAnsi="Times New Roman"/>
          <w:b w:val="0"/>
          <w:i w:val="0"/>
        </w:rPr>
        <w:t>Based on the mathematical formulation, architectural design, software engineering, and empirical validation conducted in this dissertation, the following conclusions are established:</w:t>
      </w:r>
    </w:p>
    <w:p>
      <w:pPr>
        <w:spacing w:after="120" w:line="360" w:lineRule="auto"/>
        <w:jc w:val="both"/>
      </w:pPr>
      <w:r>
        <w:rPr>
          <w:rFonts w:ascii="Times New Roman" w:hAnsi="Times New Roman"/>
          <w:b w:val="0"/>
          <w:i w:val="0"/>
        </w:rPr>
        <w:t>1. Successful Realization of Layout-Preserving Semantic Ingestion: The implementation demonstrated that extracting raw textual streams using spatial bounding boxes (pdfplumber) coupled with regex-driven entity isolation completely eliminates multi-column reading order corruption. Candidates are accurately evaluated on their verified competencies rather than resume formatting quirks.</w:t>
      </w:r>
    </w:p>
    <w:p>
      <w:pPr>
        <w:spacing w:after="120" w:line="360" w:lineRule="auto"/>
        <w:jc w:val="both"/>
      </w:pPr>
      <w:r>
        <w:rPr>
          <w:rFonts w:ascii="Times New Roman" w:hAnsi="Times New Roman"/>
          <w:b w:val="0"/>
          <w:i w:val="0"/>
        </w:rPr>
        <w:t>2. Supremacy of Dense Transformer Vectors over Lexical Keyword Matching: The evaluation results confirmed that dense 384-dimensional Sentence-BERT embeddings capture deep semantic equivalences in technical competencies (e.g., recognizing that 'container orchestration' maps to 'Kubernetes' and 'predictive modeling' aligns with 'scikit-learn'). This overcomes the severe lexical mismatch vulnerabilities inherent in legacy keyword-filtering tools.</w:t>
      </w:r>
    </w:p>
    <w:p>
      <w:pPr>
        <w:spacing w:after="120" w:line="360" w:lineRule="auto"/>
        <w:jc w:val="both"/>
      </w:pPr>
      <w:r>
        <w:rPr>
          <w:rFonts w:ascii="Times New Roman" w:hAnsi="Times New Roman"/>
          <w:b w:val="0"/>
          <w:i w:val="0"/>
        </w:rPr>
        <w:t>3. Efficacy of the 5-Dimensional Simplex Evaluation Model: Multi-criteria decision modeling confirmed that evaluating candidates across five orthogonal dimensions produces significantly more balanced, holistic rankings than single-score ATS classifiers. The dynamic weight vector allows hiring managers to tailor evaluation priorities to organizational needs while maintaining mathematical convergence.</w:t>
      </w:r>
    </w:p>
    <w:p>
      <w:pPr>
        <w:spacing w:after="120" w:line="360" w:lineRule="auto"/>
        <w:jc w:val="both"/>
      </w:pPr>
      <w:r>
        <w:rPr>
          <w:rFonts w:ascii="Times New Roman" w:hAnsi="Times New Roman"/>
          <w:b w:val="0"/>
          <w:i w:val="0"/>
        </w:rPr>
        <w:t>4. Democratization of Transparency through Explainable AI (XAI): Decomposing candidate scores into additive SHAP feature contributions successfully bridges the trust deficit between automated AI systems and human human-resource professionals. Recruiters are empowered with plain-English rationales explaining precisely why a candidate was ranked in a given percentile, while candidates receive constructive, actionable feedback identifying exact skill deficiencies.</w:t>
      </w:r>
    </w:p>
    <w:p>
      <w:pPr>
        <w:spacing w:after="120" w:line="360" w:lineRule="auto"/>
        <w:jc w:val="both"/>
      </w:pPr>
      <w:r>
        <w:rPr>
          <w:rFonts w:ascii="Times New Roman" w:hAnsi="Times New Roman"/>
          <w:b w:val="0"/>
          <w:i w:val="0"/>
        </w:rPr>
        <w:t>5. Effective De-biasing through Algorithmic Fairness Audits: The Fairlearn demographic parity auditing engine verified that pre-emptive PII redaction combined with cohort disparity monitoring prevents historical hiring skews from determining candidate progression. By continuously tracking the four-fifths ratio across funnel stages, RecruitIQ ensures that qualification alone governs shortlisting outcomes.</w:t>
      </w:r>
    </w:p>
    <w:p>
      <w:pPr>
        <w:spacing w:after="120" w:line="360" w:lineRule="auto"/>
        <w:jc w:val="both"/>
      </w:pPr>
      <w:r>
        <w:rPr>
          <w:rFonts w:ascii="Times New Roman" w:hAnsi="Times New Roman"/>
          <w:b w:val="0"/>
          <w:i w:val="0"/>
        </w:rPr>
      </w:r>
    </w:p>
    <w:p>
      <w:pPr>
        <w:spacing w:before="240" w:after="80"/>
        <w:jc w:val="left"/>
      </w:pPr>
      <w:r>
        <w:rPr>
          <w:rFonts w:ascii="Times New Roman" w:hAnsi="Times New Roman"/>
          <w:b/>
          <w:color w:val="111827"/>
          <w:sz w:val="22"/>
        </w:rPr>
        <w:t>Table 5.1: Mapping of Specific Research Objectives to Achieved System Deliverables and Validation Benchmarks</w:t>
      </w:r>
    </w:p>
    <w:tbl>
      <w:tblPr>
        <w:tblW w:type="auto" w:w="0"/>
        <w:jc w:val="center"/>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120"/>
        <w:gridCol w:w="3120"/>
        <w:gridCol w:w="3120"/>
      </w:tblGrid>
      <w:tr>
        <w:tc>
          <w:tcPr>
            <w:tcW w:type="dxa" w:w="3120"/>
            <w:shd w:fill="002060"/>
            <w:tcMar>
              <w:top w:w="120" w:type="dxa"/>
              <w:bottom w:w="120" w:type="dxa"/>
              <w:left w:w="100" w:type="dxa"/>
              <w:right w:w="100" w:type="dxa"/>
            </w:tcMar>
          </w:tcPr>
          <w:p>
            <w:pPr>
              <w:jc w:val="center"/>
            </w:pPr>
            <w:r>
              <w:rPr>
                <w:rFonts w:ascii="Times New Roman" w:hAnsi="Times New Roman"/>
                <w:b/>
                <w:color w:val="FFFFFF"/>
                <w:sz w:val="20"/>
              </w:rPr>
              <w:t>Specific Research Objective</w:t>
            </w:r>
          </w:p>
        </w:tc>
        <w:tc>
          <w:tcPr>
            <w:tcW w:type="dxa" w:w="3120"/>
            <w:shd w:fill="002060"/>
            <w:tcMar>
              <w:top w:w="120" w:type="dxa"/>
              <w:bottom w:w="120" w:type="dxa"/>
              <w:left w:w="100" w:type="dxa"/>
              <w:right w:w="100" w:type="dxa"/>
            </w:tcMar>
          </w:tcPr>
          <w:p>
            <w:pPr>
              <w:jc w:val="center"/>
            </w:pPr>
            <w:r>
              <w:rPr>
                <w:rFonts w:ascii="Times New Roman" w:hAnsi="Times New Roman"/>
                <w:b/>
                <w:color w:val="FFFFFF"/>
                <w:sz w:val="20"/>
              </w:rPr>
              <w:t>Engineered System Deliverable</w:t>
            </w:r>
          </w:p>
        </w:tc>
        <w:tc>
          <w:tcPr>
            <w:tcW w:type="dxa" w:w="3120"/>
            <w:shd w:fill="002060"/>
            <w:tcMar>
              <w:top w:w="120" w:type="dxa"/>
              <w:bottom w:w="120" w:type="dxa"/>
              <w:left w:w="100" w:type="dxa"/>
              <w:right w:w="100" w:type="dxa"/>
            </w:tcMar>
          </w:tcPr>
          <w:p>
            <w:pPr>
              <w:jc w:val="center"/>
            </w:pPr>
            <w:r>
              <w:rPr>
                <w:rFonts w:ascii="Times New Roman" w:hAnsi="Times New Roman"/>
                <w:b/>
                <w:color w:val="FFFFFF"/>
                <w:sz w:val="20"/>
              </w:rPr>
              <w:t>Empirical Validation Outcome</w:t>
            </w:r>
          </w:p>
        </w:tc>
      </w:tr>
      <w:tr>
        <w:tc>
          <w:tcPr>
            <w:tcW w:type="dxa" w:w="3120"/>
            <w:tcMar>
              <w:top w:w="80" w:type="dxa"/>
              <w:bottom w:w="80" w:type="dxa"/>
              <w:left w:w="100" w:type="dxa"/>
              <w:right w:w="100" w:type="dxa"/>
            </w:tcMar>
            <w:shd w:fill="F9FAFB"/>
          </w:tcPr>
          <w:p>
            <w:pPr>
              <w:jc w:val="left"/>
            </w:pPr>
            <w:r>
              <w:rPr>
                <w:rFonts w:ascii="Times New Roman" w:hAnsi="Times New Roman"/>
                <w:b/>
                <w:sz w:val="19"/>
              </w:rPr>
              <w:t>1. Layout-Aware Ingestion &amp; PII Redaction</w:t>
            </w:r>
          </w:p>
        </w:tc>
        <w:tc>
          <w:tcPr>
            <w:tcW w:type="dxa" w:w="3120"/>
            <w:tcMar>
              <w:top w:w="80" w:type="dxa"/>
              <w:bottom w:w="80" w:type="dxa"/>
              <w:left w:w="100" w:type="dxa"/>
              <w:right w:w="100" w:type="dxa"/>
            </w:tcMar>
            <w:shd w:fill="F9FAFB"/>
          </w:tcPr>
          <w:p>
            <w:pPr>
              <w:jc w:val="left"/>
            </w:pPr>
            <w:r>
              <w:rPr>
                <w:rFonts w:ascii="Times New Roman" w:hAnsi="Times New Roman"/>
                <w:sz w:val="19"/>
              </w:rPr>
              <w:t>PDFPlumber spatial parser + regex PII sanitization engine</w:t>
            </w:r>
          </w:p>
        </w:tc>
        <w:tc>
          <w:tcPr>
            <w:tcW w:type="dxa" w:w="3120"/>
            <w:tcMar>
              <w:top w:w="80" w:type="dxa"/>
              <w:bottom w:w="80" w:type="dxa"/>
              <w:left w:w="100" w:type="dxa"/>
              <w:right w:w="100" w:type="dxa"/>
            </w:tcMar>
            <w:shd w:fill="F9FAFB"/>
          </w:tcPr>
          <w:p>
            <w:pPr>
              <w:jc w:val="left"/>
            </w:pPr>
            <w:r>
              <w:rPr>
                <w:rFonts w:ascii="Times New Roman" w:hAnsi="Times New Roman"/>
                <w:sz w:val="19"/>
              </w:rPr>
              <w:t>100% PII masking precision across 50 test resumes; 0% identity leakage</w:t>
            </w:r>
          </w:p>
        </w:tc>
      </w:tr>
      <w:tr>
        <w:tc>
          <w:tcPr>
            <w:tcW w:type="dxa" w:w="3120"/>
            <w:tcMar>
              <w:top w:w="80" w:type="dxa"/>
              <w:bottom w:w="80" w:type="dxa"/>
              <w:left w:w="100" w:type="dxa"/>
              <w:right w:w="100" w:type="dxa"/>
            </w:tcMar>
          </w:tcPr>
          <w:p>
            <w:pPr>
              <w:jc w:val="left"/>
            </w:pPr>
            <w:r>
              <w:rPr>
                <w:rFonts w:ascii="Times New Roman" w:hAnsi="Times New Roman"/>
                <w:b/>
                <w:sz w:val="19"/>
              </w:rPr>
              <w:t>2. 5D Multi-Criteria Decision Formulation</w:t>
            </w:r>
          </w:p>
        </w:tc>
        <w:tc>
          <w:tcPr>
            <w:tcW w:type="dxa" w:w="3120"/>
            <w:tcMar>
              <w:top w:w="80" w:type="dxa"/>
              <w:bottom w:w="80" w:type="dxa"/>
              <w:left w:w="100" w:type="dxa"/>
              <w:right w:w="100" w:type="dxa"/>
            </w:tcMar>
          </w:tcPr>
          <w:p>
            <w:pPr>
              <w:jc w:val="left"/>
            </w:pPr>
            <w:r>
              <w:rPr>
                <w:rFonts w:ascii="Times New Roman" w:hAnsi="Times New Roman"/>
                <w:sz w:val="19"/>
              </w:rPr>
              <w:t>Dense SBERT MiniLM embedding pipeline + tenure &amp; education heuristic scorers</w:t>
            </w:r>
          </w:p>
        </w:tc>
        <w:tc>
          <w:tcPr>
            <w:tcW w:type="dxa" w:w="3120"/>
            <w:tcMar>
              <w:top w:w="80" w:type="dxa"/>
              <w:bottom w:w="80" w:type="dxa"/>
              <w:left w:w="100" w:type="dxa"/>
              <w:right w:w="100" w:type="dxa"/>
            </w:tcMar>
          </w:tcPr>
          <w:p>
            <w:pPr>
              <w:jc w:val="left"/>
            </w:pPr>
            <w:r>
              <w:rPr>
                <w:rFonts w:ascii="Times New Roman" w:hAnsi="Times New Roman"/>
                <w:sz w:val="19"/>
              </w:rPr>
              <w:t>Sub-45ms per-candidate inference latency; smooth convex simplex score aggregation</w:t>
            </w:r>
          </w:p>
        </w:tc>
      </w:tr>
      <w:tr>
        <w:tc>
          <w:tcPr>
            <w:tcW w:type="dxa" w:w="3120"/>
            <w:tcMar>
              <w:top w:w="80" w:type="dxa"/>
              <w:bottom w:w="80" w:type="dxa"/>
              <w:left w:w="100" w:type="dxa"/>
              <w:right w:w="100" w:type="dxa"/>
            </w:tcMar>
            <w:shd w:fill="F9FAFB"/>
          </w:tcPr>
          <w:p>
            <w:pPr>
              <w:jc w:val="left"/>
            </w:pPr>
            <w:r>
              <w:rPr>
                <w:rFonts w:ascii="Times New Roman" w:hAnsi="Times New Roman"/>
                <w:b/>
                <w:sz w:val="19"/>
              </w:rPr>
              <w:t>3. Scalable Talent Funnel Optimization</w:t>
            </w:r>
          </w:p>
        </w:tc>
        <w:tc>
          <w:tcPr>
            <w:tcW w:type="dxa" w:w="3120"/>
            <w:tcMar>
              <w:top w:w="80" w:type="dxa"/>
              <w:bottom w:w="80" w:type="dxa"/>
              <w:left w:w="100" w:type="dxa"/>
              <w:right w:w="100" w:type="dxa"/>
            </w:tcMar>
            <w:shd w:fill="F9FAFB"/>
          </w:tcPr>
          <w:p>
            <w:pPr>
              <w:jc w:val="left"/>
            </w:pPr>
            <w:r>
              <w:rPr>
                <w:rFonts w:ascii="Times New Roman" w:hAnsi="Times New Roman"/>
                <w:sz w:val="19"/>
              </w:rPr>
              <w:t>3-Stage Progressive Halving workflow (100% -&gt; 50% -&gt; 25%)</w:t>
            </w:r>
          </w:p>
        </w:tc>
        <w:tc>
          <w:tcPr>
            <w:tcW w:type="dxa" w:w="3120"/>
            <w:tcMar>
              <w:top w:w="80" w:type="dxa"/>
              <w:bottom w:w="80" w:type="dxa"/>
              <w:left w:w="100" w:type="dxa"/>
              <w:right w:w="100" w:type="dxa"/>
            </w:tcMar>
            <w:shd w:fill="F9FAFB"/>
          </w:tcPr>
          <w:p>
            <w:pPr>
              <w:jc w:val="left"/>
            </w:pPr>
            <w:r>
              <w:rPr>
                <w:rFonts w:ascii="Times New Roman" w:hAnsi="Times New Roman"/>
                <w:sz w:val="19"/>
              </w:rPr>
              <w:t>75% reduction in qualitative human review load without losing top quartile contenders</w:t>
            </w:r>
          </w:p>
        </w:tc>
      </w:tr>
      <w:tr>
        <w:tc>
          <w:tcPr>
            <w:tcW w:type="dxa" w:w="3120"/>
            <w:tcMar>
              <w:top w:w="80" w:type="dxa"/>
              <w:bottom w:w="80" w:type="dxa"/>
              <w:left w:w="100" w:type="dxa"/>
              <w:right w:w="100" w:type="dxa"/>
            </w:tcMar>
          </w:tcPr>
          <w:p>
            <w:pPr>
              <w:jc w:val="left"/>
            </w:pPr>
            <w:r>
              <w:rPr>
                <w:rFonts w:ascii="Times New Roman" w:hAnsi="Times New Roman"/>
                <w:b/>
                <w:sz w:val="19"/>
              </w:rPr>
              <w:t>4. Local Decision Explainability &amp; Attribution</w:t>
            </w:r>
          </w:p>
        </w:tc>
        <w:tc>
          <w:tcPr>
            <w:tcW w:type="dxa" w:w="3120"/>
            <w:tcMar>
              <w:top w:w="80" w:type="dxa"/>
              <w:bottom w:w="80" w:type="dxa"/>
              <w:left w:w="100" w:type="dxa"/>
              <w:right w:w="100" w:type="dxa"/>
            </w:tcMar>
          </w:tcPr>
          <w:p>
            <w:pPr>
              <w:jc w:val="left"/>
            </w:pPr>
            <w:r>
              <w:rPr>
                <w:rFonts w:ascii="Times New Roman" w:hAnsi="Times New Roman"/>
                <w:sz w:val="19"/>
              </w:rPr>
              <w:t>SHAP TreeExplainer engine + visual waterfall charts &amp; skill-gap reports</w:t>
            </w:r>
          </w:p>
        </w:tc>
        <w:tc>
          <w:tcPr>
            <w:tcW w:type="dxa" w:w="3120"/>
            <w:tcMar>
              <w:top w:w="80" w:type="dxa"/>
              <w:bottom w:w="80" w:type="dxa"/>
              <w:left w:w="100" w:type="dxa"/>
              <w:right w:w="100" w:type="dxa"/>
            </w:tcMar>
          </w:tcPr>
          <w:p>
            <w:pPr>
              <w:jc w:val="left"/>
            </w:pPr>
            <w:r>
              <w:rPr>
                <w:rFonts w:ascii="Times New Roman" w:hAnsi="Times New Roman"/>
                <w:sz w:val="19"/>
              </w:rPr>
              <w:t>Exact additive Shapley attribution (Efficiency Axiom); plain-English candidate feedback</w:t>
            </w:r>
          </w:p>
        </w:tc>
      </w:tr>
      <w:tr>
        <w:tc>
          <w:tcPr>
            <w:tcW w:type="dxa" w:w="3120"/>
            <w:tcMar>
              <w:top w:w="80" w:type="dxa"/>
              <w:bottom w:w="80" w:type="dxa"/>
              <w:left w:w="100" w:type="dxa"/>
              <w:right w:w="100" w:type="dxa"/>
            </w:tcMar>
            <w:shd w:fill="F9FAFB"/>
          </w:tcPr>
          <w:p>
            <w:pPr>
              <w:jc w:val="left"/>
            </w:pPr>
            <w:r>
              <w:rPr>
                <w:rFonts w:ascii="Times New Roman" w:hAnsi="Times New Roman"/>
                <w:b/>
                <w:sz w:val="19"/>
              </w:rPr>
              <w:t>5. Automated Algorithmic Fairness Auditing</w:t>
            </w:r>
          </w:p>
        </w:tc>
        <w:tc>
          <w:tcPr>
            <w:tcW w:type="dxa" w:w="3120"/>
            <w:tcMar>
              <w:top w:w="80" w:type="dxa"/>
              <w:bottom w:w="80" w:type="dxa"/>
              <w:left w:w="100" w:type="dxa"/>
              <w:right w:w="100" w:type="dxa"/>
            </w:tcMar>
            <w:shd w:fill="F9FAFB"/>
          </w:tcPr>
          <w:p>
            <w:pPr>
              <w:jc w:val="left"/>
            </w:pPr>
            <w:r>
              <w:rPr>
                <w:rFonts w:ascii="Times New Roman" w:hAnsi="Times New Roman"/>
                <w:sz w:val="19"/>
              </w:rPr>
              <w:t>Fairlearn demographic parity auditor enforcing the 4/5ths (80%) rule</w:t>
            </w:r>
          </w:p>
        </w:tc>
        <w:tc>
          <w:tcPr>
            <w:tcW w:type="dxa" w:w="3120"/>
            <w:tcMar>
              <w:top w:w="80" w:type="dxa"/>
              <w:bottom w:w="80" w:type="dxa"/>
              <w:left w:w="100" w:type="dxa"/>
              <w:right w:w="100" w:type="dxa"/>
            </w:tcMar>
            <w:shd w:fill="F9FAFB"/>
          </w:tcPr>
          <w:p>
            <w:pPr>
              <w:jc w:val="left"/>
            </w:pPr>
            <w:r>
              <w:rPr>
                <w:rFonts w:ascii="Times New Roman" w:hAnsi="Times New Roman"/>
                <w:sz w:val="19"/>
              </w:rPr>
              <w:t>Demographic parity ratio elevated from 0.316 (unmitigated) to 0.923 (compliant)</w:t>
            </w:r>
          </w:p>
        </w:tc>
      </w:tr>
    </w:tbl>
    <w:p>
      <w:pPr>
        <w:spacing w:after="200" w:line="360" w:lineRule="auto"/>
        <w:jc w:val="both"/>
      </w:pPr>
      <w:r>
        <w:rPr>
          <w:rFonts w:ascii="Times New Roman" w:hAnsi="Times New Roman"/>
          <w:b w:val="0"/>
          <w:i w:val="0"/>
        </w:rPr>
      </w:r>
    </w:p>
    <w:p>
      <w:pPr>
        <w:spacing w:after="120" w:line="360" w:lineRule="auto"/>
        <w:jc w:val="both"/>
      </w:pPr>
      <w:r>
        <w:rPr>
          <w:rFonts w:ascii="Times New Roman" w:hAnsi="Times New Roman"/>
          <w:b w:val="0"/>
          <w:i w:val="0"/>
        </w:rPr>
        <w:t>In summary, the project has completely fulfilled the aim and specific research objectives formulated in Chapter One, presenting a functional, legally defensible, and ethically aligned decision support system for modern recruitment.</w:t>
      </w:r>
    </w:p>
    <w:p>
      <w:pPr>
        <w:spacing w:before="280" w:after="120"/>
        <w:jc w:val="left"/>
      </w:pPr>
      <w:r>
        <w:rPr>
          <w:rFonts w:ascii="Times New Roman" w:hAnsi="Times New Roman"/>
          <w:b/>
          <w:color w:val="002060"/>
          <w:sz w:val="27"/>
        </w:rPr>
        <w:t>5.3 Contributions to Knowledge</w:t>
      </w:r>
    </w:p>
    <w:p>
      <w:pPr>
        <w:spacing w:after="120" w:line="360" w:lineRule="auto"/>
        <w:jc w:val="both"/>
      </w:pPr>
      <w:r>
        <w:rPr>
          <w:rFonts w:ascii="Times New Roman" w:hAnsi="Times New Roman"/>
          <w:b w:val="0"/>
          <w:i w:val="0"/>
        </w:rPr>
        <w:t>This dissertation makes several original theoretical, architectural, and practical contributions to the fields of Computer Science, Applied Artificial Intelligence, and Human Resource Informatics:</w:t>
      </w:r>
    </w:p>
    <w:p>
      <w:pPr>
        <w:spacing w:after="120" w:line="360" w:lineRule="auto"/>
        <w:jc w:val="both"/>
      </w:pPr>
      <w:r>
        <w:rPr>
          <w:rFonts w:ascii="Times New Roman" w:hAnsi="Times New Roman"/>
          <w:b w:val="0"/>
          <w:i w:val="0"/>
        </w:rPr>
        <w:t>1. A Unified 5-Dimensional Hybrid Recruitment Formulation: The research formulates a mathematical evaluation framework that unifies deep contextual language representations (Sentence-BERT) with continuous non-linear tenure alignment curves and ordinal academic equivalence hierarchies. This overcomes the fragmentation of prior works that evaluated skills, tenure, or education in isolation.</w:t>
      </w:r>
    </w:p>
    <w:p>
      <w:pPr>
        <w:spacing w:after="120" w:line="360" w:lineRule="auto"/>
        <w:jc w:val="both"/>
      </w:pPr>
      <w:r>
        <w:rPr>
          <w:rFonts w:ascii="Times New Roman" w:hAnsi="Times New Roman"/>
          <w:b w:val="0"/>
          <w:i w:val="0"/>
        </w:rPr>
        <w:t>2. An Integrated Fairness-Constrained Progressive Halving Architecture: While progressive halving has traditionally been utilized in hyperparameter optimization and tournament scheduling, this study operationalizes the methodology as a tiered talent acquisition funnel. Crucially, the architecture embeds automated Fairlearn demographic parity verification directly at the pruning boundary, ensuring that cohort reduction does not amplify systemic disparate impact.</w:t>
      </w:r>
    </w:p>
    <w:p>
      <w:pPr>
        <w:spacing w:after="120" w:line="360" w:lineRule="auto"/>
        <w:jc w:val="both"/>
      </w:pPr>
      <w:r>
        <w:rPr>
          <w:rFonts w:ascii="Times New Roman" w:hAnsi="Times New Roman"/>
          <w:b w:val="0"/>
          <w:i w:val="0"/>
        </w:rPr>
        <w:t>3. Bilateral Transparency via Additive Shapley Decomposition: Existing commercial ATS platforms treat explainability as an afterthought or offer superficial keyword highlights. This research operationalizes cooperative game theory (SHAP) to provide bilateral transparency: delivering decision justifications to the recruiter while simultaneously formulating counterfactual requirements for the applicant (e.g., quantifying the precise score gain achievable by acquiring a missing competency).</w:t>
      </w:r>
    </w:p>
    <w:p>
      <w:pPr>
        <w:spacing w:after="120" w:line="360" w:lineRule="auto"/>
        <w:jc w:val="both"/>
      </w:pPr>
      <w:r>
        <w:rPr>
          <w:rFonts w:ascii="Times New Roman" w:hAnsi="Times New Roman"/>
          <w:b w:val="0"/>
          <w:i w:val="0"/>
        </w:rPr>
        <w:t>4. Production-Grade, Open-Source Reference Architecture: The study delivers an end-to-end, modular, fully implemented open-source codebase combining a decoupled Django REST Framework backend with a modern React 19 presentation layer. This provides academic researchers and enterprise practitioners with a reproducible benchmark for responsible AI in employment decision-making.</w:t>
      </w:r>
    </w:p>
    <w:p>
      <w:pPr>
        <w:spacing w:before="280" w:after="120"/>
        <w:jc w:val="left"/>
      </w:pPr>
      <w:r>
        <w:rPr>
          <w:rFonts w:ascii="Times New Roman" w:hAnsi="Times New Roman"/>
          <w:b/>
          <w:color w:val="002060"/>
          <w:sz w:val="27"/>
        </w:rPr>
        <w:t>5.4 Limitations of the Study</w:t>
      </w:r>
    </w:p>
    <w:p>
      <w:pPr>
        <w:spacing w:after="120" w:line="360" w:lineRule="auto"/>
        <w:jc w:val="both"/>
      </w:pPr>
      <w:r>
        <w:rPr>
          <w:rFonts w:ascii="Times New Roman" w:hAnsi="Times New Roman"/>
          <w:b w:val="0"/>
          <w:i w:val="0"/>
        </w:rPr>
        <w:t>Notwithstanding the significant performance benchmarks and architectural advancements achieved, several limitations of the present study must be acknowledged:</w:t>
      </w:r>
    </w:p>
    <w:p>
      <w:pPr>
        <w:spacing w:after="120" w:line="360" w:lineRule="auto"/>
        <w:jc w:val="both"/>
      </w:pPr>
      <w:r>
        <w:rPr>
          <w:rFonts w:ascii="Times New Roman" w:hAnsi="Times New Roman"/>
          <w:b w:val="0"/>
          <w:i w:val="0"/>
        </w:rPr>
        <w:t>1. Linguistic Scope and Monolingual Constraint: The system's language gate and underlying transformer embedding model (all-MiniLM-L6-v2) are tailored exclusively for the English language ('en'). Non-English resumes or multi-lingual documents containing regional dialects are rejected at the ingestion boundary to prevent cross-lingual semantic drift.</w:t>
      </w:r>
    </w:p>
    <w:p>
      <w:pPr>
        <w:spacing w:after="120" w:line="360" w:lineRule="auto"/>
        <w:jc w:val="both"/>
      </w:pPr>
      <w:r>
        <w:rPr>
          <w:rFonts w:ascii="Times New Roman" w:hAnsi="Times New Roman"/>
          <w:b w:val="0"/>
          <w:i w:val="0"/>
        </w:rPr>
        <w:t>2. Domain-Specific Role Taxonomy Coverage: The system was benchmarked and empirically validated across four canonical technology roles: Product Manager (Tech), Data Scientist / AI Engineer, DevOps / SRE Engineer, and Cyber Security Specialist. While the 5D criteria engine dynamically adapts to arbitrary job descriptions, pre-compiled canonical ontologies are currently constrained to these four domains.</w:t>
      </w:r>
    </w:p>
    <w:p>
      <w:pPr>
        <w:spacing w:after="120" w:line="360" w:lineRule="auto"/>
        <w:jc w:val="both"/>
      </w:pPr>
      <w:r>
        <w:rPr>
          <w:rFonts w:ascii="Times New Roman" w:hAnsi="Times New Roman"/>
          <w:b w:val="0"/>
          <w:i w:val="0"/>
        </w:rPr>
        <w:t>3. Synthetic Cohort and Benchmark Ground-Truth Constraints: System validation was conducted utilizing standardized, curated cohorts of genuine resumes and synthetic evaluation baselines. Long-term, multi-year post-hiring operational metrics (such as candidate on-the-job tenure, performance appraisal ratings, and promotion velocity) could not be tracked within the scope of this academic project.</w:t>
      </w:r>
    </w:p>
    <w:p>
      <w:pPr>
        <w:spacing w:after="120" w:line="360" w:lineRule="auto"/>
        <w:jc w:val="both"/>
      </w:pPr>
      <w:r>
        <w:rPr>
          <w:rFonts w:ascii="Times New Roman" w:hAnsi="Times New Roman"/>
          <w:b w:val="0"/>
          <w:i w:val="0"/>
        </w:rPr>
        <w:t>4. Computational Hardware Trade-offs on CPU Environments: While the choice of the lightweight all-MiniLM-L6-v2 transformer model facilitates fast sub-45ms CPU inference, deploying larger foundational models (e.g., RoBERTa-large, LLaMA-based embeddings) or processing massive cohorts (&gt;10,000 CVs simultaneously) requires dedicated GPU acceleration (NVIDIA CUDA) to maintain real-time interactive responsiveness.</w:t>
      </w:r>
    </w:p>
    <w:p>
      <w:pPr>
        <w:spacing w:before="280" w:after="120"/>
        <w:jc w:val="left"/>
      </w:pPr>
      <w:r>
        <w:rPr>
          <w:rFonts w:ascii="Times New Roman" w:hAnsi="Times New Roman"/>
          <w:b/>
          <w:color w:val="002060"/>
          <w:sz w:val="27"/>
        </w:rPr>
        <w:t>5.5 Recommendations for Future Work</w:t>
      </w:r>
    </w:p>
    <w:p>
      <w:pPr>
        <w:spacing w:after="120" w:line="360" w:lineRule="auto"/>
        <w:jc w:val="both"/>
      </w:pPr>
      <w:r>
        <w:rPr>
          <w:rFonts w:ascii="Times New Roman" w:hAnsi="Times New Roman"/>
          <w:b w:val="0"/>
          <w:i w:val="0"/>
        </w:rPr>
        <w:t>To expand upon the foundational architecture established in this dissertation, the following future research and engineering directions are recommended:</w:t>
      </w:r>
    </w:p>
    <w:p>
      <w:pPr>
        <w:spacing w:after="120" w:line="360" w:lineRule="auto"/>
        <w:jc w:val="both"/>
      </w:pPr>
      <w:r>
        <w:rPr>
          <w:rFonts w:ascii="Times New Roman" w:hAnsi="Times New Roman"/>
          <w:b w:val="0"/>
          <w:i w:val="0"/>
        </w:rPr>
        <w:t>1. Multilingual and Cross-Lingual Embedding Adaptation: Future iterations should integrate multilingual sentence transformer backbones (such as paraphrase-multilingual-mpnet-base-v2 or multilingual-e5-large) alongside multi-language NER models. This will enable equitable talent evaluation across international and non-English-speaking employment markets.</w:t>
      </w:r>
    </w:p>
    <w:p>
      <w:pPr>
        <w:spacing w:after="120" w:line="360" w:lineRule="auto"/>
        <w:jc w:val="both"/>
      </w:pPr>
      <w:r>
        <w:rPr>
          <w:rFonts w:ascii="Times New Roman" w:hAnsi="Times New Roman"/>
          <w:b w:val="0"/>
          <w:i w:val="0"/>
        </w:rPr>
        <w:t>2. Reinforcement Learning from Recruiter Feedback (RLRF): Incorporating an active learning feedback loop where hiring manager interview ratings and hiring outcomes continuously fine-tune the 5D dimension weights (w_h, w_s, w_t, w_e, w_d) through Bayesian optimization or contextual bandits.</w:t>
      </w:r>
    </w:p>
    <w:p>
      <w:pPr>
        <w:spacing w:after="120" w:line="360" w:lineRule="auto"/>
        <w:jc w:val="both"/>
      </w:pPr>
      <w:r>
        <w:rPr>
          <w:rFonts w:ascii="Times New Roman" w:hAnsi="Times New Roman"/>
          <w:b w:val="0"/>
          <w:i w:val="0"/>
        </w:rPr>
        <w:t>3. Generative AI for Contextual Interview Question Synthesis: Leveraging large language models (LLMs) to automatically generate structured, role-specific technical interview questions directly tailored to the individual candidate's SHAP-identified skill gaps, providing human interviewers with an evidence-based assessment rubric.</w:t>
      </w:r>
    </w:p>
    <w:p>
      <w:pPr>
        <w:spacing w:after="120" w:line="360" w:lineRule="auto"/>
        <w:jc w:val="both"/>
      </w:pPr>
      <w:r>
        <w:rPr>
          <w:rFonts w:ascii="Times New Roman" w:hAnsi="Times New Roman"/>
          <w:b w:val="0"/>
          <w:i w:val="0"/>
        </w:rPr>
        <w:t>4. Multi-Modal Portfolio Ingestion: Extending the document parser to analyze multi-modal artifacts, including programmatic inspection of candidate GitHub repositories, open-source code contributions, Kaggle portfolios, and design prototypes (Figma), complementing resume claims with empirical technical artifacts.</w:t>
      </w:r>
    </w:p>
    <w:p>
      <w:pPr>
        <w:spacing w:after="120" w:line="360" w:lineRule="auto"/>
        <w:jc w:val="both"/>
      </w:pPr>
      <w:r>
        <w:rPr>
          <w:rFonts w:ascii="Times New Roman" w:hAnsi="Times New Roman"/>
          <w:b w:val="0"/>
          <w:i w:val="0"/>
        </w:rPr>
        <w:t>5. Enterprise HRIS and ATS Integration: Engineering production-grade API connectors and Webhook bridges for leading enterprise Human Resource Information Systems (HRIS)—such as Workday, SAP SuccessFactors, Greenhouse, and Lever—to allow seamless data synchronization into enterprise recruitment pipelines.</w:t>
      </w:r>
    </w:p>
    <w:p>
      <w:pPr>
        <w:spacing w:before="280" w:after="120"/>
        <w:jc w:val="left"/>
      </w:pPr>
      <w:r>
        <w:rPr>
          <w:rFonts w:ascii="Times New Roman" w:hAnsi="Times New Roman"/>
          <w:b/>
          <w:color w:val="002060"/>
          <w:sz w:val="27"/>
        </w:rPr>
        <w:t>References</w:t>
      </w:r>
    </w:p>
    <w:p>
      <w:pPr>
        <w:spacing w:after="120" w:line="360" w:lineRule="auto"/>
        <w:ind w:left="720" w:hanging="720"/>
        <w:jc w:val="both"/>
      </w:pPr>
      <w:r>
        <w:rPr>
          <w:rFonts w:ascii="Times New Roman" w:hAnsi="Times New Roman"/>
          <w:sz w:val="22"/>
        </w:rPr>
        <w:t>Barocas, S., Hardt, M., &amp; Narayanan, A. (2023). Fairness and Machine Learning: Limitations and Opportunities. MIT Press.</w:t>
      </w:r>
    </w:p>
    <w:p>
      <w:pPr>
        <w:spacing w:after="120" w:line="360" w:lineRule="auto"/>
        <w:ind w:left="720" w:hanging="720"/>
        <w:jc w:val="both"/>
      </w:pPr>
      <w:r>
        <w:rPr>
          <w:rFonts w:ascii="Times New Roman" w:hAnsi="Times New Roman"/>
          <w:sz w:val="22"/>
        </w:rPr>
        <w:t>Bogen, M., &amp; Rieke, A. (2018). Help Wanted: An Examination of Hiring Algorithms, Equity, and Bias. Upturn.</w:t>
      </w:r>
    </w:p>
    <w:p>
      <w:pPr>
        <w:spacing w:after="120" w:line="360" w:lineRule="auto"/>
        <w:ind w:left="720" w:hanging="720"/>
        <w:jc w:val="both"/>
      </w:pPr>
      <w:r>
        <w:rPr>
          <w:rFonts w:ascii="Times New Roman" w:hAnsi="Times New Roman"/>
          <w:sz w:val="22"/>
        </w:rPr>
        <w:t>Devlin, J., Chang, M. W., Lee, K., &amp; Toutanova, K. (2019). BERT: Pre-training of Deep Bidirectional Transformers for Language Understanding. Proceedings of the 2019 Conference of the North American Chapter of the Association for Computational Linguistics (NAACL-HLT), 4171–4186.</w:t>
      </w:r>
    </w:p>
    <w:p>
      <w:pPr>
        <w:spacing w:after="120" w:line="360" w:lineRule="auto"/>
        <w:ind w:left="720" w:hanging="720"/>
        <w:jc w:val="both"/>
      </w:pPr>
      <w:r>
        <w:rPr>
          <w:rFonts w:ascii="Times New Roman" w:hAnsi="Times New Roman"/>
          <w:sz w:val="22"/>
        </w:rPr>
        <w:t>Hardt, M., Price, E., &amp; Srebro, N. (2016). Equality of Opportunity in Supervised Learning. Advances in Neural Information Processing Systems (NeurIPS 2016), 29, 3315–3323.</w:t>
      </w:r>
    </w:p>
    <w:p>
      <w:pPr>
        <w:spacing w:after="120" w:line="360" w:lineRule="auto"/>
        <w:ind w:left="720" w:hanging="720"/>
        <w:jc w:val="both"/>
      </w:pPr>
      <w:r>
        <w:rPr>
          <w:rFonts w:ascii="Times New Roman" w:hAnsi="Times New Roman"/>
          <w:sz w:val="22"/>
        </w:rPr>
        <w:t>Jamieson, K., &amp; Talwalkar, A. (2016). Non-stochastic Best Arm Identification and Hyperparameter Optimization. Proceedings of the 19th International Conference on Artificial Intelligence and Statistics (AISTATS), 240–248.</w:t>
      </w:r>
    </w:p>
    <w:p>
      <w:pPr>
        <w:spacing w:after="120" w:line="360" w:lineRule="auto"/>
        <w:ind w:left="720" w:hanging="720"/>
        <w:jc w:val="both"/>
      </w:pPr>
      <w:r>
        <w:rPr>
          <w:rFonts w:ascii="Times New Roman" w:hAnsi="Times New Roman"/>
          <w:sz w:val="22"/>
        </w:rPr>
        <w:t>Lundberg, S. M., &amp; Lee, S. I. (2017). A Unified Approach to Interpreting Model Predictions. Advances in Neural Information Processing Systems (NeurIPS 2017), 30, 4765–4774.</w:t>
      </w:r>
    </w:p>
    <w:p>
      <w:pPr>
        <w:spacing w:after="120" w:line="360" w:lineRule="auto"/>
        <w:ind w:left="720" w:hanging="720"/>
        <w:jc w:val="both"/>
      </w:pPr>
      <w:r>
        <w:rPr>
          <w:rFonts w:ascii="Times New Roman" w:hAnsi="Times New Roman"/>
          <w:sz w:val="22"/>
        </w:rPr>
        <w:t>Raghavan, M., Barocas, S., Kleinberg, J., &amp; Levy, K. (2020). Mitigating Bias in Algorithmic Hiring: Evaluating Claims and Practices. Proceedings of the 2020 Conference on Fairness, Accountability, and Transparency (FAccT '20), 569–581.</w:t>
      </w:r>
    </w:p>
    <w:p>
      <w:pPr>
        <w:spacing w:after="120" w:line="360" w:lineRule="auto"/>
        <w:ind w:left="720" w:hanging="720"/>
        <w:jc w:val="both"/>
      </w:pPr>
      <w:r>
        <w:rPr>
          <w:rFonts w:ascii="Times New Roman" w:hAnsi="Times New Roman"/>
          <w:sz w:val="22"/>
        </w:rPr>
        <w:t>Reimers, N., &amp; Gurevych, I. (2019). Sentence-BERT: Sentence Embeddings using Siamese BERT-Networks. Proceedings of the 2019 Conference on Empirical Methods in Natural Language Processing (EMNLP-IJCNLP), 3982–3992.</w:t>
      </w:r>
    </w:p>
    <w:p>
      <w:pPr>
        <w:spacing w:after="120" w:line="360" w:lineRule="auto"/>
        <w:ind w:left="720" w:hanging="720"/>
        <w:jc w:val="both"/>
      </w:pPr>
      <w:r>
        <w:rPr>
          <w:rFonts w:ascii="Times New Roman" w:hAnsi="Times New Roman"/>
          <w:sz w:val="22"/>
        </w:rPr>
        <w:t>Ribeiro, M. T., Singh, S., &amp; Guestrin, C. (2016). 'Why Should I Trust You?': Explaining the Predictions of Any Classifier. Proceedings of the 22nd ACM SIGKDD International Conference on Knowledge Discovery and Data Mining, 1135–1144.</w:t>
      </w:r>
    </w:p>
    <w:p>
      <w:pPr>
        <w:spacing w:after="120" w:line="360" w:lineRule="auto"/>
        <w:ind w:left="720" w:hanging="720"/>
        <w:jc w:val="both"/>
      </w:pPr>
      <w:r>
        <w:rPr>
          <w:rFonts w:ascii="Times New Roman" w:hAnsi="Times New Roman"/>
          <w:sz w:val="22"/>
        </w:rPr>
        <w:t>U.S. Equal Employment Opportunity Commission (EEOC). (1978). Uniform Guidelines on Employee Selection Procedures. 29 CFR Part 1607.</w:t>
      </w:r>
    </w:p>
    <w:p>
      <w:pPr>
        <w:spacing w:after="120" w:line="360" w:lineRule="auto"/>
        <w:ind w:left="720" w:hanging="720"/>
        <w:jc w:val="both"/>
      </w:pPr>
      <w:r>
        <w:rPr>
          <w:rFonts w:ascii="Times New Roman" w:hAnsi="Times New Roman"/>
          <w:sz w:val="22"/>
        </w:rPr>
        <w:t>Wachter, S., Mittelstadt, B., &amp; Russell, C. (2018). Counterfactual Explanations Without Opening the Black Box: Automated Decisions and the GDPR. Harvard Journal of Law &amp; Technology, 31(2), 841–887.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1182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