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Silac Production Applications – Encryption Standards and Current-State Findings</w:t>
      </w:r>
    </w:p>
    <w:p>
      <w:r>
        <w:t>Environment: 100% On-Premises</w:t>
        <w:br/>
        <w:t>Purpose: This document captures the current-state encryption posture of Silac production applications. The content is based on internal technical review, direct analysis of application configurations, platform behavior, and validation of how encryption controls are implemented across the environment.</w:t>
      </w:r>
    </w:p>
    <w:p>
      <w:pPr>
        <w:pStyle w:val="Heading2"/>
      </w:pPr>
      <w:r>
        <w:t>1. Scope and Methodology</w:t>
      </w:r>
    </w:p>
    <w:p>
      <w:r>
        <w:t>This document covers all Silac production applications identified in the production service inventory, including Admin/APAS, Intake, Portal, WindAPI, ARMS, Sentry, and all associated APIs and background services.</w:t>
        <w:br/>
        <w:br/>
        <w:t>The findings documented here are derived from:</w:t>
        <w:br/>
        <w:t>- Review of application architecture and data flows</w:t>
        <w:br/>
        <w:t>- Analysis of database, storage, and host-level encryption controls</w:t>
        <w:br/>
        <w:t>- Validation of network encryption and certificate usage</w:t>
        <w:br/>
        <w:t>- Review of platform configurations and operational practices</w:t>
        <w:br/>
        <w:br/>
        <w:t>All systems operate in a fully on-premises environment. No cloud services are involved.</w:t>
      </w:r>
    </w:p>
    <w:p>
      <w:pPr>
        <w:pStyle w:val="Heading2"/>
      </w:pPr>
      <w:r>
        <w:t>2. Data Classification Standard</w:t>
      </w:r>
    </w:p>
    <w:p>
      <w:r>
        <w:t>Public: Information approved for public release.</w:t>
        <w:br/>
        <w:br/>
        <w:t>Internal: Non-public operational or business data.</w:t>
        <w:br/>
        <w:br/>
        <w:t>Confidential: Sensitive data including PII, financial records, policy data, agent compensation, client transactions, and privileged administrative information.</w:t>
      </w:r>
    </w:p>
    <w:p>
      <w:pPr>
        <w:pStyle w:val="Heading2"/>
      </w:pPr>
      <w:r>
        <w:t>3. Encryption Controls – Current State</w:t>
      </w:r>
    </w:p>
    <w:p>
      <w:pPr>
        <w:pStyle w:val="Heading3"/>
      </w:pPr>
      <w:r>
        <w:t>3.1 Encryption in Transit</w:t>
      </w:r>
    </w:p>
    <w:p>
      <w:r>
        <w:t>All reviewed applications enforce encrypted communications using HTTPS/TLS for data in transit. This applies to both user-facing interfaces and internal service-to-service communication. Publicly trusted certificates are used where external access is required.</w:t>
      </w:r>
    </w:p>
    <w:p>
      <w:pPr>
        <w:pStyle w:val="Heading3"/>
      </w:pPr>
      <w:r>
        <w:t>3.2 Encryption at Rest – Databases and Storage</w:t>
      </w:r>
    </w:p>
    <w:p>
      <w:r>
        <w:t>Persistent application data stored in SQL Server databases is protected using Transparent Data Encryption (TDE). At the operating system level, full-disk encryption is enforced using BitLocker on Windows systems and FileVault on macOS systems managed via Jamf.</w:t>
      </w:r>
    </w:p>
    <w:p>
      <w:pPr>
        <w:pStyle w:val="Heading3"/>
      </w:pPr>
      <w:r>
        <w:t>3.3 Application-Level Data Protections</w:t>
      </w:r>
    </w:p>
    <w:p>
      <w:r>
        <w:t>Application-level data protection mechanisms are limited. Tokenization is not currently implemented. Certain sensitive fields, such as SSNs, are masked at the user interface level but are not encrypted at rest once records are fully accessed. ACH-related banking data is encrypted within database storage.</w:t>
      </w:r>
    </w:p>
    <w:p>
      <w:pPr>
        <w:pStyle w:val="Heading3"/>
      </w:pPr>
      <w:r>
        <w:t>3.4 Key and Secret Management</w:t>
      </w:r>
    </w:p>
    <w:p>
      <w:r>
        <w:t>Encryption keys and certificates are managed at the system and platform level. There is no centralized enterprise key management system in place. Access to certificates and application secrets is restricted but key lifecycle processes (generation, rotation, retirement, and auditability) are not yet fully mature.</w:t>
      </w:r>
    </w:p>
    <w:p>
      <w:pPr>
        <w:pStyle w:val="Heading2"/>
      </w:pPr>
      <w:r>
        <w:t>4. Application Grouping by Data Sensitivity</w:t>
      </w:r>
    </w:p>
    <w:p>
      <w:pPr>
        <w:pStyle w:val="Heading3"/>
      </w:pPr>
      <w:r>
        <w:t>4.1 Confidential Applications</w:t>
      </w:r>
    </w:p>
    <w:p>
      <w:r>
        <w:t>Admin/APAS, Admin-API</w:t>
        <w:br/>
        <w:t>Intake, Intake-API</w:t>
        <w:br/>
        <w:t>Portal, Portal-API</w:t>
        <w:br/>
        <w:t>WindAPI</w:t>
        <w:br/>
        <w:t>ACH-API</w:t>
        <w:br/>
        <w:t>General-Ledger-API</w:t>
        <w:br/>
        <w:t>Agent-Rewards, Agent-Rewards-API</w:t>
        <w:br/>
        <w:t>Agent-Info-API</w:t>
        <w:br/>
        <w:t>Action-Note-API</w:t>
        <w:br/>
        <w:t>Check-API</w:t>
        <w:br/>
        <w:t>Document-API</w:t>
        <w:br/>
        <w:t>Email-API</w:t>
        <w:br/>
        <w:t>Insights</w:t>
        <w:br/>
        <w:t>Chorus-Exposed-API</w:t>
        <w:br/>
        <w:t>ARMS</w:t>
        <w:br/>
        <w:t>Sentry</w:t>
        <w:br/>
        <w:br/>
        <w:t>These applications process sensitive business, financial, transactional, or personally identifiable data and therefore require the highest level of encryption controls.</w:t>
      </w:r>
    </w:p>
    <w:p>
      <w:pPr>
        <w:pStyle w:val="Heading3"/>
      </w:pPr>
      <w:r>
        <w:t>4.2 Internal Applications</w:t>
      </w:r>
    </w:p>
    <w:p>
      <w:r>
        <w:t>Celery</w:t>
        <w:br/>
        <w:t>Celery-Beat</w:t>
        <w:br/>
        <w:t>Market-Index-API</w:t>
        <w:br/>
        <w:t>Requirements-API</w:t>
        <w:br/>
        <w:t>Flower (pending confirmation if informational only)</w:t>
        <w:br/>
        <w:br/>
        <w:t>These services primarily support internal operations and inherit encryption controls from the underlying platform.</w:t>
      </w:r>
    </w:p>
    <w:p>
      <w:pPr>
        <w:pStyle w:val="Heading2"/>
      </w:pPr>
      <w:r>
        <w:t>5. Application-Specific Highlights</w:t>
      </w:r>
    </w:p>
    <w:p>
      <w:r>
        <w:t>ARMS:</w:t>
        <w:br/>
        <w:t>- Encrypted network communications (TLS)</w:t>
        <w:br/>
        <w:t>- SQL Server TDE for data at rest</w:t>
        <w:br/>
        <w:t>- Full-disk encryption on hosts</w:t>
        <w:br/>
        <w:br/>
        <w:t>Sentry:</w:t>
        <w:br/>
        <w:t>- HTTPS/TLS for all client and server communications</w:t>
        <w:br/>
        <w:t>- On-premises, containerized deployment</w:t>
        <w:br/>
        <w:t>- Log and transaction data stored on encrypted storage</w:t>
        <w:br/>
        <w:t>- Defined data retention window</w:t>
        <w:br/>
      </w:r>
    </w:p>
    <w:p>
      <w:pPr>
        <w:pStyle w:val="Heading2"/>
      </w:pPr>
      <w:r>
        <w:t>6. Key Observations and Gaps</w:t>
      </w:r>
    </w:p>
    <w:p>
      <w:r>
        <w:t>- Strong baseline encryption exists at the network, database, and disk layers</w:t>
        <w:br/>
        <w:t>- Application-level encryption (field-level and tokenization) is limited</w:t>
        <w:br/>
        <w:t>- Sensitive fields are not consistently encrypted at rest</w:t>
        <w:br/>
        <w:t>- Centralized key management is not currently implemented</w:t>
        <w:br/>
        <w:t>- Backup and data disposal processes require additional formalization</w:t>
      </w:r>
    </w:p>
    <w:p>
      <w:pPr>
        <w:pStyle w:val="Heading2"/>
      </w:pPr>
      <w:r>
        <w:t>7. Statement of Attribution</w:t>
      </w:r>
    </w:p>
    <w:p>
      <w:r>
        <w:t>This document reflects findings based on internal technical review and analysis of the Silac production environment. It represents the current-state implementation of encryption controls and does not describe future or target-state enhancements.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