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49E82" w14:textId="30AAB4D5" w:rsidR="00E975FA" w:rsidRDefault="0098721D" w:rsidP="0098721D">
      <w:pPr>
        <w:pStyle w:val="Heading1"/>
      </w:pPr>
      <w:r>
        <w:t>Exploring Explainability (XAI)</w:t>
      </w:r>
    </w:p>
    <w:p w14:paraId="376B7C89" w14:textId="047FD21D" w:rsidR="00633E8D" w:rsidRPr="00633E8D" w:rsidRDefault="00633E8D" w:rsidP="00633E8D">
      <w:r w:rsidRPr="00633E8D">
        <w:rPr>
          <w:b/>
          <w:bCs/>
        </w:rPr>
        <w:t>Note on SHAP-Based Interpretability:</w:t>
      </w:r>
      <w:r w:rsidRPr="00633E8D">
        <w:br/>
        <w:t xml:space="preserve">The SHAP analysis presented in this report is based on a relatively small dataset comprising 25 annual observations. While SHAP values offer valuable insights into feature-level contributions to individual predictions, caution must be exercised in interpreting global patterns and rankings. In small samples, SHAP values may be sensitive to outliers, limited permutations, and potential multicollinearity, which can lead to inflated or unstable attributions. The visualizations and explanations provided here should therefore be viewed as </w:t>
      </w:r>
      <w:r w:rsidRPr="00633E8D">
        <w:rPr>
          <w:b/>
          <w:bCs/>
        </w:rPr>
        <w:t>exploratory aids</w:t>
      </w:r>
      <w:r w:rsidRPr="00633E8D">
        <w:t xml:space="preserve"> rather than definitive indicators of causal relationships or feature importance.</w:t>
      </w:r>
    </w:p>
    <w:p w14:paraId="28F7F5B7" w14:textId="5BAB2FE7" w:rsidR="0098721D" w:rsidRDefault="00EB5343" w:rsidP="00EB5343">
      <w:pPr>
        <w:pStyle w:val="Heading2"/>
      </w:pPr>
      <w:r>
        <w:t>Generalized Additive Models (GAM)</w:t>
      </w:r>
    </w:p>
    <w:p w14:paraId="72F6689A" w14:textId="7762CBC0" w:rsidR="00EB5343" w:rsidRPr="007D00D9" w:rsidRDefault="004703A4" w:rsidP="007D00D9">
      <w:pPr>
        <w:pStyle w:val="Heading3"/>
      </w:pPr>
      <w:r w:rsidRPr="007D00D9">
        <w:t xml:space="preserve">Inherent </w:t>
      </w:r>
      <w:r w:rsidR="00835F1B">
        <w:t>I</w:t>
      </w:r>
      <w:r w:rsidR="00D1288A">
        <w:t>nterpret</w:t>
      </w:r>
      <w:r w:rsidRPr="007D00D9">
        <w:t xml:space="preserve">ability </w:t>
      </w:r>
      <w:r w:rsidR="00BB25C5">
        <w:t>via</w:t>
      </w:r>
      <w:r w:rsidR="00E024E7">
        <w:t xml:space="preserve"> Smooth Plots</w:t>
      </w:r>
    </w:p>
    <w:p w14:paraId="7D5CC907" w14:textId="751839CA" w:rsidR="004703A4" w:rsidRDefault="00CD24EA" w:rsidP="00CD24EA">
      <w:pPr>
        <w:pStyle w:val="ListParagraph"/>
      </w:pPr>
      <w:r>
        <w:t xml:space="preserve">GAMs are inherently explainable due to their additive structure: </w:t>
      </w:r>
    </w:p>
    <w:p w14:paraId="3EAEE430" w14:textId="275703D6" w:rsidR="00CD24EA" w:rsidRPr="00DA64DD" w:rsidRDefault="00CD24EA" w:rsidP="00DA64DD">
      <w:pPr>
        <w:pStyle w:val="ListParagraph"/>
        <w:numPr>
          <w:ilvl w:val="0"/>
          <w:numId w:val="41"/>
        </w:numPr>
        <w:rPr>
          <w:rFonts w:eastAsiaTheme="minorEastAsia"/>
          <w:i/>
        </w:rPr>
      </w:pPr>
      <m:oMath>
        <m:r>
          <w:rPr>
            <w:rFonts w:ascii="Cambria Math" w:hAnsi="Cambria Math"/>
          </w:rPr>
          <m:t>Floo</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Negative Binomial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θ)</m:t>
        </m:r>
      </m:oMath>
    </w:p>
    <w:p w14:paraId="7F0B4C5A" w14:textId="77777777" w:rsidR="00202CC2" w:rsidRPr="00202CC2" w:rsidRDefault="00DA64DD" w:rsidP="00DA64DD">
      <w:pPr>
        <w:pStyle w:val="ListParagraph"/>
        <w:numPr>
          <w:ilvl w:val="0"/>
          <w:numId w:val="41"/>
        </w:numPr>
        <w:rPr>
          <w:rFonts w:eastAsiaTheme="minorEastAsia"/>
          <w:i/>
          <w:sz w:val="16"/>
          <w:szCs w:val="16"/>
          <w:lang w:val="en-US"/>
        </w:rPr>
      </w:pPr>
      <w:r w:rsidRPr="00DA64DD">
        <w:rPr>
          <w:rFonts w:eastAsiaTheme="minorEastAsia"/>
          <w:iCs/>
          <w:lang w:val="en-US"/>
        </w:rPr>
        <w:t>Where</w:t>
      </w:r>
      <w:r w:rsidRPr="0001747A">
        <w:rPr>
          <w:rFonts w:eastAsiaTheme="minorEastAsia"/>
          <w:iCs/>
          <w:sz w:val="16"/>
          <w:szCs w:val="16"/>
          <w:lang w:val="en-US"/>
        </w:rPr>
        <w:t>,</w:t>
      </w:r>
      <w:r w:rsidRPr="0001747A">
        <w:rPr>
          <w:rFonts w:eastAsiaTheme="minorEastAsia"/>
          <w:i/>
          <w:sz w:val="16"/>
          <w:szCs w:val="16"/>
          <w:lang w:val="en-US"/>
        </w:rPr>
        <w:t xml:space="preserve">  </w:t>
      </w:r>
      <m:oMath>
        <m:func>
          <m:funcPr>
            <m:ctrlPr>
              <w:rPr>
                <w:rFonts w:ascii="Cambria Math" w:hAnsi="Cambria Math"/>
                <w:i/>
                <w:sz w:val="16"/>
                <w:szCs w:val="16"/>
                <w:lang w:val="en-US"/>
              </w:rPr>
            </m:ctrlPr>
          </m:funcPr>
          <m:fName>
            <m:r>
              <m:rPr>
                <m:sty m:val="p"/>
              </m:rPr>
              <w:rPr>
                <w:rFonts w:ascii="Cambria Math" w:hAnsi="Cambria Math"/>
                <w:sz w:val="16"/>
                <w:szCs w:val="16"/>
                <w:lang w:val="en-US"/>
              </w:rPr>
              <m:t>log</m:t>
            </m:r>
          </m:fName>
          <m:e>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μ</m:t>
                    </m:r>
                  </m:e>
                  <m:sub>
                    <m:r>
                      <w:rPr>
                        <w:rFonts w:ascii="Cambria Math" w:hAnsi="Cambria Math"/>
                        <w:sz w:val="16"/>
                        <w:szCs w:val="16"/>
                        <w:lang w:val="en-US"/>
                      </w:rPr>
                      <m:t>i</m:t>
                    </m:r>
                  </m:sub>
                </m:sSub>
              </m:e>
            </m:d>
          </m:e>
        </m:func>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β</m:t>
            </m:r>
          </m:e>
          <m:sub>
            <m:r>
              <w:rPr>
                <w:rFonts w:ascii="Cambria Math" w:hAnsi="Cambria Math"/>
                <w:sz w:val="16"/>
                <w:szCs w:val="16"/>
                <w:lang w:val="en-US"/>
              </w:rPr>
              <m:t>0</m:t>
            </m:r>
          </m:sub>
        </m:sSub>
        <m:r>
          <w:rPr>
            <w:rFonts w:ascii="Cambria Math" w:hAnsi="Cambria Math"/>
            <w:sz w:val="16"/>
            <w:szCs w:val="16"/>
            <w:lang w:val="en-US"/>
          </w:rPr>
          <m:t>+s</m:t>
        </m:r>
        <m:d>
          <m:dPr>
            <m:ctrlPr>
              <w:rPr>
                <w:rFonts w:ascii="Cambria Math" w:hAnsi="Cambria Math"/>
                <w:i/>
                <w:sz w:val="16"/>
                <w:szCs w:val="16"/>
                <w:lang w:val="en-US"/>
              </w:rPr>
            </m:ctrlPr>
          </m:dPr>
          <m:e>
            <m:r>
              <w:rPr>
                <w:rFonts w:ascii="Cambria Math" w:hAnsi="Cambria Math"/>
                <w:sz w:val="16"/>
                <w:szCs w:val="16"/>
                <w:lang w:val="en-US"/>
              </w:rPr>
              <m:t>State.GD</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i</m:t>
                </m:r>
              </m:sub>
            </m:sSub>
          </m:e>
        </m:d>
        <m:r>
          <w:rPr>
            <w:rFonts w:ascii="Cambria Math" w:hAnsi="Cambria Math"/>
            <w:sz w:val="16"/>
            <w:szCs w:val="16"/>
            <w:lang w:val="en-US"/>
          </w:rPr>
          <m:t>+s</m:t>
        </m:r>
        <m:d>
          <m:dPr>
            <m:ctrlPr>
              <w:rPr>
                <w:rFonts w:ascii="Cambria Math" w:hAnsi="Cambria Math"/>
                <w:i/>
                <w:sz w:val="16"/>
                <w:szCs w:val="16"/>
                <w:lang w:val="en-US"/>
              </w:rPr>
            </m:ctrlPr>
          </m:dPr>
          <m:e>
            <m:r>
              <w:rPr>
                <w:rFonts w:ascii="Cambria Math" w:hAnsi="Cambria Math"/>
                <w:sz w:val="16"/>
                <w:szCs w:val="16"/>
                <w:lang w:val="en-US"/>
              </w:rPr>
              <m:t>Domestic.Electricity.Consumption</m:t>
            </m:r>
          </m:e>
        </m:d>
        <m:r>
          <w:rPr>
            <w:rFonts w:ascii="Cambria Math" w:hAnsi="Cambria Math"/>
            <w:sz w:val="16"/>
            <w:szCs w:val="16"/>
            <w:lang w:val="en-US"/>
          </w:rPr>
          <m:t>+s</m:t>
        </m:r>
        <m:d>
          <m:dPr>
            <m:ctrlPr>
              <w:rPr>
                <w:rFonts w:ascii="Cambria Math" w:hAnsi="Cambria Math"/>
                <w:i/>
                <w:sz w:val="16"/>
                <w:szCs w:val="16"/>
                <w:lang w:val="en-US"/>
              </w:rPr>
            </m:ctrlPr>
          </m:dPr>
          <m:e>
            <m:r>
              <w:rPr>
                <w:rFonts w:ascii="Cambria Math" w:hAnsi="Cambria Math"/>
                <w:sz w:val="16"/>
                <w:szCs w:val="16"/>
                <w:lang w:val="en-US"/>
              </w:rPr>
              <m:t>Drainage.Channels</m:t>
            </m:r>
          </m:e>
        </m:d>
        <m:r>
          <w:rPr>
            <w:rFonts w:ascii="Cambria Math" w:hAnsi="Cambria Math"/>
            <w:sz w:val="16"/>
            <w:szCs w:val="16"/>
            <w:lang w:val="en-US"/>
          </w:rPr>
          <m:t>+</m:t>
        </m:r>
      </m:oMath>
    </w:p>
    <w:p w14:paraId="30FBC4BD" w14:textId="7924422A" w:rsidR="00CD24EA" w:rsidRPr="0001747A" w:rsidRDefault="0001747A" w:rsidP="00202CC2">
      <w:pPr>
        <w:pStyle w:val="ListParagraph"/>
        <w:ind w:left="360"/>
        <w:rPr>
          <w:rFonts w:eastAsiaTheme="minorEastAsia"/>
          <w:i/>
          <w:sz w:val="16"/>
          <w:szCs w:val="16"/>
          <w:lang w:val="en-US"/>
        </w:rPr>
      </w:pPr>
      <m:oMathPara>
        <m:oMath>
          <m:r>
            <w:rPr>
              <w:rFonts w:ascii="Cambria Math" w:hAnsi="Cambria Math"/>
              <w:sz w:val="16"/>
              <w:szCs w:val="16"/>
              <w:lang w:val="en-US"/>
            </w:rPr>
            <m:t>s</m:t>
          </m:r>
          <m:d>
            <m:dPr>
              <m:ctrlPr>
                <w:rPr>
                  <w:rFonts w:ascii="Cambria Math" w:hAnsi="Cambria Math"/>
                  <w:i/>
                  <w:sz w:val="16"/>
                  <w:szCs w:val="16"/>
                  <w:lang w:val="en-US"/>
                </w:rPr>
              </m:ctrlPr>
            </m:dPr>
            <m:e>
              <m:r>
                <w:rPr>
                  <w:rFonts w:ascii="Cambria Math" w:hAnsi="Cambria Math"/>
                  <w:sz w:val="16"/>
                  <w:szCs w:val="16"/>
                  <w:lang w:val="en-US"/>
                </w:rPr>
                <m:t>Non.Agricultural.Lands</m:t>
              </m:r>
            </m:e>
          </m:d>
          <m:r>
            <w:rPr>
              <w:rFonts w:ascii="Cambria Math" w:hAnsi="Cambria Math"/>
              <w:sz w:val="16"/>
              <w:szCs w:val="16"/>
              <w:lang w:val="en-US"/>
            </w:rPr>
            <m:t>+s</m:t>
          </m:r>
          <m:d>
            <m:dPr>
              <m:ctrlPr>
                <w:rPr>
                  <w:rFonts w:ascii="Cambria Math" w:hAnsi="Cambria Math"/>
                  <w:i/>
                  <w:sz w:val="16"/>
                  <w:szCs w:val="16"/>
                  <w:lang w:val="en-US"/>
                </w:rPr>
              </m:ctrlPr>
            </m:dPr>
            <m:e>
              <m:r>
                <w:rPr>
                  <w:rFonts w:ascii="Cambria Math" w:hAnsi="Cambria Math"/>
                  <w:sz w:val="16"/>
                  <w:szCs w:val="16"/>
                  <w:lang w:val="en-US"/>
                </w:rPr>
                <m:t>Urban.Roads</m:t>
              </m:r>
            </m:e>
          </m:d>
        </m:oMath>
      </m:oMathPara>
    </w:p>
    <w:p w14:paraId="6EA23E41" w14:textId="268DC7F3" w:rsidR="00DA64DD" w:rsidRPr="00E523FB" w:rsidRDefault="00DA64DD" w:rsidP="00DA64DD">
      <w:pPr>
        <w:pStyle w:val="ListParagraph"/>
        <w:numPr>
          <w:ilvl w:val="0"/>
          <w:numId w:val="41"/>
        </w:numPr>
        <w:rPr>
          <w:rFonts w:eastAsiaTheme="minorEastAsia"/>
          <w:i/>
          <w:lang w:val="en-US"/>
        </w:rPr>
      </w:pPr>
      <m:oMath>
        <m:r>
          <w:rPr>
            <w:rFonts w:ascii="Cambria Math" w:eastAsiaTheme="minorEastAsia" w:hAnsi="Cambria Math"/>
            <w:lang w:val="en-US"/>
          </w:rPr>
          <m:t xml:space="preserve"> θ=1.57</m:t>
        </m:r>
      </m:oMath>
    </w:p>
    <w:p w14:paraId="2C6530E2" w14:textId="49BD90D9" w:rsidR="00E523FB" w:rsidRPr="00E523FB" w:rsidRDefault="00E523FB" w:rsidP="00DA64DD">
      <w:pPr>
        <w:pStyle w:val="ListParagraph"/>
        <w:numPr>
          <w:ilvl w:val="0"/>
          <w:numId w:val="41"/>
        </w:numPr>
        <w:rPr>
          <w:rFonts w:eastAsiaTheme="minorEastAsia"/>
          <w:i/>
          <w:lang w:val="en-US"/>
        </w:rPr>
      </w:pPr>
      <w:r>
        <w:rPr>
          <w:rFonts w:eastAsiaTheme="minorEastAsia"/>
          <w:iCs/>
          <w:lang w:val="en-US"/>
        </w:rPr>
        <w:t xml:space="preserve">Each </w:t>
      </w:r>
      <m:oMath>
        <m:r>
          <w:rPr>
            <w:rFonts w:ascii="Cambria Math" w:eastAsiaTheme="minorEastAsia" w:hAnsi="Cambria Math"/>
            <w:lang w:val="en-US"/>
          </w:rPr>
          <m:t>s</m:t>
        </m:r>
        <m:d>
          <m:dPr>
            <m:ctrlPr>
              <w:rPr>
                <w:rFonts w:ascii="Cambria Math" w:eastAsiaTheme="minorEastAsia" w:hAnsi="Cambria Math"/>
                <w:i/>
                <w:iCs/>
                <w:lang w:val="en-US"/>
              </w:rPr>
            </m:ctrlPr>
          </m:dPr>
          <m:e>
            <m:r>
              <w:rPr>
                <w:rFonts w:ascii="Cambria Math" w:eastAsiaTheme="minorEastAsia" w:hAnsi="Cambria Math"/>
                <w:lang w:val="en-US"/>
              </w:rPr>
              <m:t>.</m:t>
            </m:r>
          </m:e>
        </m:d>
      </m:oMath>
      <w:r>
        <w:rPr>
          <w:rFonts w:eastAsiaTheme="minorEastAsia"/>
          <w:iCs/>
          <w:lang w:val="en-US"/>
        </w:rPr>
        <w:t xml:space="preserve"> is a non-parametric smooth function estimated from </w:t>
      </w:r>
      <w:r w:rsidR="00A314D6">
        <w:rPr>
          <w:rFonts w:eastAsiaTheme="minorEastAsia"/>
          <w:iCs/>
          <w:lang w:val="en-US"/>
        </w:rPr>
        <w:t>data</w:t>
      </w:r>
      <w:r>
        <w:rPr>
          <w:rFonts w:eastAsiaTheme="minorEastAsia"/>
          <w:iCs/>
          <w:lang w:val="en-US"/>
        </w:rPr>
        <w:t xml:space="preserve"> using splines.</w:t>
      </w:r>
    </w:p>
    <w:p w14:paraId="27479300" w14:textId="3D7BE97F" w:rsidR="00E523FB" w:rsidRPr="00E523FB" w:rsidRDefault="00E523FB" w:rsidP="00DA64DD">
      <w:pPr>
        <w:pStyle w:val="ListParagraph"/>
        <w:numPr>
          <w:ilvl w:val="0"/>
          <w:numId w:val="41"/>
        </w:numPr>
        <w:rPr>
          <w:rFonts w:eastAsiaTheme="minorEastAsia"/>
          <w:iCs/>
          <w:lang w:val="en-US"/>
        </w:rPr>
      </w:pPr>
      <m:oMath>
        <m:r>
          <m:rPr>
            <m:sty m:val="p"/>
          </m:rPr>
          <w:rPr>
            <w:rFonts w:ascii="Cambria Math" w:eastAsiaTheme="minorEastAsia" w:hAnsi="Cambria Math"/>
            <w:lang w:val="en-US"/>
          </w:rPr>
          <m:t>log⁡</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r>
          <w:rPr>
            <w:rFonts w:ascii="Cambria Math" w:eastAsiaTheme="minorEastAsia" w:hAnsi="Cambria Math"/>
            <w:lang w:val="en-US"/>
          </w:rPr>
          <m:t>)</m:t>
        </m:r>
      </m:oMath>
      <w:r>
        <w:rPr>
          <w:rFonts w:eastAsiaTheme="minorEastAsia"/>
          <w:i/>
          <w:lang w:val="en-US"/>
        </w:rPr>
        <w:t xml:space="preserve"> </w:t>
      </w:r>
      <w:r w:rsidRPr="00E523FB">
        <w:rPr>
          <w:rFonts w:eastAsiaTheme="minorEastAsia"/>
          <w:iCs/>
          <w:lang w:val="en-US"/>
        </w:rPr>
        <w:t xml:space="preserve">is the linear predictor </w:t>
      </w:r>
      <w:r>
        <w:rPr>
          <w:rFonts w:eastAsiaTheme="minorEastAsia"/>
          <w:iCs/>
          <w:lang w:val="en-US"/>
        </w:rPr>
        <w:t>on log-scale due to the canonical link for the NB family.</w:t>
      </w:r>
    </w:p>
    <w:p w14:paraId="3A4A8D2A" w14:textId="5A3D7A1C" w:rsidR="00CD24EA" w:rsidRDefault="0018099F" w:rsidP="00CD24EA">
      <w:pPr>
        <w:pStyle w:val="ListParagraph"/>
        <w:rPr>
          <w:rFonts w:eastAsiaTheme="minorEastAsia"/>
          <w:iCs/>
          <w:lang w:val="en-US"/>
        </w:rPr>
      </w:pPr>
      <w:r>
        <w:rPr>
          <w:noProof/>
        </w:rPr>
        <w:drawing>
          <wp:inline distT="0" distB="0" distL="0" distR="0" wp14:anchorId="53165448" wp14:editId="5D04552F">
            <wp:extent cx="5008418" cy="2586422"/>
            <wp:effectExtent l="0" t="0" r="1905" b="4445"/>
            <wp:docPr id="1663521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3969" cy="2594453"/>
                    </a:xfrm>
                    <a:prstGeom prst="rect">
                      <a:avLst/>
                    </a:prstGeom>
                    <a:noFill/>
                  </pic:spPr>
                </pic:pic>
              </a:graphicData>
            </a:graphic>
          </wp:inline>
        </w:drawing>
      </w:r>
    </w:p>
    <w:p w14:paraId="435C3432" w14:textId="6A72F7ED" w:rsidR="002E4A26" w:rsidRPr="002E4A26" w:rsidRDefault="002E4A26" w:rsidP="0018099F">
      <w:pPr>
        <w:pStyle w:val="ListParagraph"/>
        <w:numPr>
          <w:ilvl w:val="0"/>
          <w:numId w:val="41"/>
        </w:numPr>
      </w:pPr>
      <w:r>
        <w:t xml:space="preserve">The </w:t>
      </w:r>
      <w:r w:rsidRPr="003D2BA3">
        <w:rPr>
          <w:b/>
          <w:bCs/>
        </w:rPr>
        <w:t>x-axis</w:t>
      </w:r>
      <w:r>
        <w:t xml:space="preserve"> has normalized values of predictors, </w:t>
      </w:r>
      <w:r w:rsidRPr="003D2BA3">
        <w:rPr>
          <w:b/>
          <w:bCs/>
        </w:rPr>
        <w:t>y-axis</w:t>
      </w:r>
      <w:r>
        <w:t xml:space="preserve"> has centred smooth effect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eastAsiaTheme="minorEastAsia"/>
        </w:rPr>
        <w:t xml:space="preserve"> of the predictor.</w:t>
      </w:r>
      <w:r w:rsidRPr="002E4A26">
        <w:t xml:space="preserve"> </w:t>
      </w:r>
      <w:r w:rsidRPr="002E4A26">
        <w:rPr>
          <w:rFonts w:eastAsiaTheme="minorEastAsia"/>
        </w:rPr>
        <w:t>These are additive contributions to the log of expected flood counts.</w:t>
      </w:r>
      <w:r>
        <w:rPr>
          <w:rFonts w:eastAsiaTheme="minorEastAsia"/>
        </w:rPr>
        <w:t xml:space="preserve"> </w:t>
      </w:r>
      <w:r w:rsidRPr="002E4A26">
        <w:rPr>
          <w:rFonts w:eastAsiaTheme="minorEastAsia"/>
        </w:rPr>
        <w:t xml:space="preserve">The </w:t>
      </w:r>
      <w:r w:rsidRPr="002E4A26">
        <w:rPr>
          <w:rFonts w:eastAsiaTheme="minorEastAsia"/>
          <w:b/>
          <w:bCs/>
        </w:rPr>
        <w:t>rug marks</w:t>
      </w:r>
      <w:r w:rsidRPr="002E4A26">
        <w:rPr>
          <w:rFonts w:eastAsiaTheme="minorEastAsia"/>
        </w:rPr>
        <w:t xml:space="preserve"> on the x-axis indicate data density — where actual observations lie</w:t>
      </w:r>
      <w:r>
        <w:rPr>
          <w:rFonts w:eastAsiaTheme="minorEastAsia"/>
        </w:rPr>
        <w:t>.</w:t>
      </w:r>
    </w:p>
    <w:p w14:paraId="3ABA8A8B" w14:textId="708D2F04" w:rsidR="0018099F" w:rsidRPr="008C42C7" w:rsidRDefault="0018099F" w:rsidP="0018099F">
      <w:pPr>
        <w:pStyle w:val="ListParagraph"/>
        <w:numPr>
          <w:ilvl w:val="0"/>
          <w:numId w:val="41"/>
        </w:numPr>
      </w:pPr>
      <w:r w:rsidRPr="008C42C7">
        <w:rPr>
          <w:b/>
          <w:bCs/>
        </w:rPr>
        <w:t xml:space="preserve">State GDP: </w:t>
      </w:r>
      <w:r w:rsidRPr="008C42C7">
        <w:t>Decreasing effect → Higher GDP = Lower flood count?</w:t>
      </w:r>
      <w:r>
        <w:t xml:space="preserve"> </w:t>
      </w:r>
      <w:r w:rsidR="00434B95">
        <w:t>This is counter-intuitive, it may reflect non-linear effects or dominance of other correlated predictors.</w:t>
      </w:r>
    </w:p>
    <w:p w14:paraId="3A4809FC" w14:textId="337BE815" w:rsidR="00434B95" w:rsidRPr="00434B95" w:rsidRDefault="00434B95" w:rsidP="002126B3">
      <w:pPr>
        <w:pStyle w:val="ListParagraph"/>
        <w:numPr>
          <w:ilvl w:val="0"/>
          <w:numId w:val="41"/>
        </w:numPr>
      </w:pPr>
      <w:r w:rsidRPr="00434B95">
        <w:rPr>
          <w:b/>
          <w:bCs/>
        </w:rPr>
        <w:t xml:space="preserve">Domestic </w:t>
      </w:r>
      <w:r w:rsidR="0018099F" w:rsidRPr="00434B95">
        <w:rPr>
          <w:b/>
          <w:bCs/>
        </w:rPr>
        <w:t xml:space="preserve">Electricity Consumption: </w:t>
      </w:r>
      <w:r w:rsidRPr="00434B95">
        <w:t>The smooth is sharply increasing, especially for normalized values between 0.2 to 0.6. Suggests that higher electricity consumption (a proxy for urbanization) is associated with a higher flood risk, possibly due to increased impermeable surfaces.</w:t>
      </w:r>
    </w:p>
    <w:p w14:paraId="4CD9F8D0" w14:textId="53889770" w:rsidR="00434B95" w:rsidRPr="00434B95" w:rsidRDefault="0018099F" w:rsidP="00F554C0">
      <w:pPr>
        <w:pStyle w:val="ListParagraph"/>
        <w:numPr>
          <w:ilvl w:val="0"/>
          <w:numId w:val="41"/>
        </w:numPr>
      </w:pPr>
      <w:r w:rsidRPr="00434B95">
        <w:rPr>
          <w:b/>
          <w:bCs/>
        </w:rPr>
        <w:t xml:space="preserve">Drainage Channels: </w:t>
      </w:r>
      <w:r w:rsidRPr="008C42C7">
        <w:t>Declining curve → Better drainage may reduce floods.</w:t>
      </w:r>
      <w:r w:rsidR="00434B95" w:rsidRPr="00434B95">
        <w:rPr>
          <w:rFonts w:ascii="Times New Roman" w:eastAsia="Times New Roman" w:hAnsi="Symbol" w:cs="Times New Roman"/>
          <w:sz w:val="24"/>
          <w:szCs w:val="24"/>
          <w:lang w:eastAsia="en-GB"/>
        </w:rPr>
        <w:t xml:space="preserve"> </w:t>
      </w:r>
      <w:r w:rsidR="00434B95" w:rsidRPr="00434B95">
        <w:t>Makes physical sense, though the effect is subtle and not statistically significant.</w:t>
      </w:r>
    </w:p>
    <w:p w14:paraId="496A964F" w14:textId="74BCD701" w:rsidR="0018099F" w:rsidRPr="008C42C7" w:rsidRDefault="0018099F" w:rsidP="0018099F">
      <w:pPr>
        <w:pStyle w:val="ListParagraph"/>
        <w:numPr>
          <w:ilvl w:val="0"/>
          <w:numId w:val="41"/>
        </w:numPr>
      </w:pPr>
      <w:r w:rsidRPr="008C42C7">
        <w:rPr>
          <w:b/>
          <w:bCs/>
        </w:rPr>
        <w:lastRenderedPageBreak/>
        <w:t>Non-Agricultural</w:t>
      </w:r>
      <w:r>
        <w:rPr>
          <w:b/>
          <w:bCs/>
        </w:rPr>
        <w:t xml:space="preserve"> </w:t>
      </w:r>
      <w:r w:rsidRPr="008C42C7">
        <w:rPr>
          <w:b/>
          <w:bCs/>
        </w:rPr>
        <w:t xml:space="preserve">Land: </w:t>
      </w:r>
      <w:r w:rsidR="009D29BF" w:rsidRPr="009D29BF">
        <w:t>Nonlinear "hill-shaped" relationship</w:t>
      </w:r>
      <w:r w:rsidR="009D29BF">
        <w:t>.</w:t>
      </w:r>
      <w:r w:rsidR="009D29BF" w:rsidRPr="009D29BF">
        <w:t xml:space="preserve"> Moderate values (0.05 to 0.15) increase flood risk, but both very low and very high values reduce it.</w:t>
      </w:r>
      <w:r w:rsidR="009D29BF">
        <w:t xml:space="preserve"> </w:t>
      </w:r>
      <w:r w:rsidR="009D29BF" w:rsidRPr="009D29BF">
        <w:t>Possible interpretation: urban fringe zones (moderately converted land) are more flood-prone than either fully rural or fully urbanized areas.</w:t>
      </w:r>
    </w:p>
    <w:p w14:paraId="0FADC28A" w14:textId="01047897" w:rsidR="0018099F" w:rsidRPr="00C502F8" w:rsidRDefault="0018099F" w:rsidP="0018099F">
      <w:pPr>
        <w:pStyle w:val="ListParagraph"/>
        <w:numPr>
          <w:ilvl w:val="0"/>
          <w:numId w:val="41"/>
        </w:numPr>
        <w:rPr>
          <w:rFonts w:eastAsiaTheme="minorEastAsia"/>
          <w:iCs/>
          <w:lang w:val="en-US"/>
        </w:rPr>
      </w:pPr>
      <w:r w:rsidRPr="008C42C7">
        <w:rPr>
          <w:b/>
          <w:bCs/>
        </w:rPr>
        <w:t>Urban Road Construction</w:t>
      </w:r>
      <w:r>
        <w:rPr>
          <w:b/>
          <w:bCs/>
        </w:rPr>
        <w:t xml:space="preserve">: </w:t>
      </w:r>
      <w:r w:rsidRPr="008C42C7">
        <w:t>Increasing till a peak → Moderate infrastructure worsens flooding, but levels off</w:t>
      </w:r>
      <w:r>
        <w:t>.</w:t>
      </w:r>
      <w:r w:rsidR="009D29BF">
        <w:t xml:space="preserve"> </w:t>
      </w:r>
      <w:r w:rsidR="009D29BF" w:rsidRPr="009D29BF">
        <w:t>Again, reasonable — roads can worsen water runoff, but after a threshold, the marginal impact diminishes.</w:t>
      </w:r>
    </w:p>
    <w:p w14:paraId="06BA178D" w14:textId="77777777" w:rsidR="0001747A" w:rsidRDefault="0001747A" w:rsidP="0001747A">
      <w:pPr>
        <w:pStyle w:val="Heading3"/>
        <w:rPr>
          <w:rFonts w:eastAsiaTheme="minorEastAsia"/>
          <w:lang w:val="en-US"/>
        </w:rPr>
      </w:pPr>
      <w:r>
        <w:rPr>
          <w:rFonts w:eastAsiaTheme="minorEastAsia"/>
          <w:lang w:val="en-US"/>
        </w:rPr>
        <w:t>GAM Waterfall Breakdown</w:t>
      </w:r>
    </w:p>
    <w:p w14:paraId="2C2628F5" w14:textId="77777777" w:rsidR="0001747A" w:rsidRDefault="0001747A" w:rsidP="0001747A">
      <w:r>
        <w:rPr>
          <w:noProof/>
        </w:rPr>
        <w:drawing>
          <wp:inline distT="0" distB="0" distL="0" distR="0" wp14:anchorId="049DE03F" wp14:editId="37B07BF9">
            <wp:extent cx="5731510" cy="4601210"/>
            <wp:effectExtent l="19050" t="19050" r="21590" b="27940"/>
            <wp:docPr id="1521868133"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68133" name="Picture 1" descr="A white paper with black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01210"/>
                    </a:xfrm>
                    <a:prstGeom prst="rect">
                      <a:avLst/>
                    </a:prstGeom>
                    <a:noFill/>
                    <a:ln>
                      <a:solidFill>
                        <a:schemeClr val="accent1"/>
                      </a:solidFill>
                    </a:ln>
                  </pic:spPr>
                </pic:pic>
              </a:graphicData>
            </a:graphic>
          </wp:inline>
        </w:drawing>
      </w:r>
      <w:r>
        <w:t xml:space="preserve"> </w:t>
      </w:r>
    </w:p>
    <w:p w14:paraId="4EFE0357" w14:textId="24B33B41" w:rsidR="0001747A" w:rsidRDefault="0001747A" w:rsidP="0001747A">
      <w:pPr>
        <w:rPr>
          <w:lang w:val="en-US"/>
        </w:rPr>
      </w:pPr>
      <w:r>
        <w:rPr>
          <w:noProof/>
          <w:lang w:val="en-US"/>
        </w:rPr>
        <w:lastRenderedPageBreak/>
        <w:drawing>
          <wp:inline distT="0" distB="0" distL="0" distR="0" wp14:anchorId="0890C3F2" wp14:editId="13696E5F">
            <wp:extent cx="5760000" cy="3850435"/>
            <wp:effectExtent l="19050" t="19050" r="12700" b="17145"/>
            <wp:docPr id="1477071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3850435"/>
                    </a:xfrm>
                    <a:prstGeom prst="rect">
                      <a:avLst/>
                    </a:prstGeom>
                    <a:noFill/>
                    <a:ln>
                      <a:solidFill>
                        <a:schemeClr val="accent1"/>
                      </a:solidFill>
                    </a:ln>
                  </pic:spPr>
                </pic:pic>
              </a:graphicData>
            </a:graphic>
          </wp:inline>
        </w:drawing>
      </w:r>
    </w:p>
    <w:p w14:paraId="01D2ED43" w14:textId="77777777" w:rsidR="0001747A" w:rsidRDefault="0001747A" w:rsidP="0001747A">
      <w:pPr>
        <w:pStyle w:val="ListParagraph"/>
        <w:numPr>
          <w:ilvl w:val="0"/>
          <w:numId w:val="41"/>
        </w:numPr>
        <w:rPr>
          <w:lang w:val="en-US"/>
        </w:rPr>
      </w:pPr>
      <w:r>
        <w:rPr>
          <w:lang w:val="en-US"/>
        </w:rPr>
        <w:t xml:space="preserve">We start with the model’s baseline prediction of 53 floods. </w:t>
      </w:r>
    </w:p>
    <w:p w14:paraId="13E4CFDA" w14:textId="77777777" w:rsidR="0001747A" w:rsidRPr="00894760" w:rsidRDefault="0001747A" w:rsidP="0001747A">
      <w:pPr>
        <w:pStyle w:val="ListParagraph"/>
        <w:numPr>
          <w:ilvl w:val="0"/>
          <w:numId w:val="41"/>
        </w:numPr>
        <w:rPr>
          <w:lang w:val="en-US"/>
        </w:rPr>
      </w:pPr>
      <w:r w:rsidRPr="00894760">
        <w:rPr>
          <w:lang w:val="en-US"/>
        </w:rPr>
        <w:t>Domestic Electricity Consumption is very large and positive (∆ +1115).</w:t>
      </w:r>
    </w:p>
    <w:p w14:paraId="4C068DA0" w14:textId="77777777" w:rsidR="0001747A" w:rsidRPr="00894760" w:rsidRDefault="0001747A" w:rsidP="0001747A">
      <w:pPr>
        <w:pStyle w:val="ListParagraph"/>
        <w:ind w:left="360"/>
        <w:rPr>
          <w:lang w:val="en-US"/>
        </w:rPr>
      </w:pPr>
      <w:r w:rsidRPr="00894760">
        <w:rPr>
          <w:lang w:val="en-US"/>
        </w:rPr>
        <w:t xml:space="preserve">– In 2020 electricity usage was high; the model interprets this as dense urban growth </w:t>
      </w:r>
      <w:r w:rsidRPr="00894760">
        <w:rPr>
          <w:rFonts w:ascii="Cambria Math" w:hAnsi="Cambria Math" w:cs="Cambria Math"/>
          <w:lang w:val="en-US"/>
        </w:rPr>
        <w:t>⇒</w:t>
      </w:r>
      <w:r w:rsidRPr="00894760">
        <w:rPr>
          <w:lang w:val="en-US"/>
        </w:rPr>
        <w:t xml:space="preserve"> more impervious area </w:t>
      </w:r>
      <w:r w:rsidRPr="00894760">
        <w:rPr>
          <w:rFonts w:ascii="Cambria Math" w:hAnsi="Cambria Math" w:cs="Cambria Math"/>
          <w:lang w:val="en-US"/>
        </w:rPr>
        <w:t>⇒</w:t>
      </w:r>
      <w:r w:rsidRPr="00894760">
        <w:rPr>
          <w:lang w:val="en-US"/>
        </w:rPr>
        <w:t xml:space="preserve"> a big upward push in expected floods.</w:t>
      </w:r>
    </w:p>
    <w:p w14:paraId="32742325" w14:textId="3CCE55A6" w:rsidR="0001747A" w:rsidRPr="00894760" w:rsidRDefault="008170EA" w:rsidP="0001747A">
      <w:pPr>
        <w:pStyle w:val="ListParagraph"/>
        <w:numPr>
          <w:ilvl w:val="0"/>
          <w:numId w:val="41"/>
        </w:numPr>
        <w:rPr>
          <w:lang w:val="en-US"/>
        </w:rPr>
      </w:pPr>
      <w:r>
        <w:rPr>
          <w:lang w:val="en-US"/>
        </w:rPr>
        <w:t xml:space="preserve">Impact of </w:t>
      </w:r>
      <w:r w:rsidR="0001747A" w:rsidRPr="00894760">
        <w:rPr>
          <w:lang w:val="en-US"/>
        </w:rPr>
        <w:t>State GDP is strongly negative (∆ </w:t>
      </w:r>
      <w:r w:rsidR="0001747A" w:rsidRPr="00894760">
        <w:rPr>
          <w:rFonts w:ascii="Cambria Math" w:hAnsi="Cambria Math" w:cs="Cambria Math"/>
          <w:lang w:val="en-US"/>
        </w:rPr>
        <w:t>‑</w:t>
      </w:r>
      <w:r w:rsidR="0001747A" w:rsidRPr="00894760">
        <w:rPr>
          <w:lang w:val="en-US"/>
        </w:rPr>
        <w:t>588).</w:t>
      </w:r>
    </w:p>
    <w:p w14:paraId="2C750B20" w14:textId="77777777" w:rsidR="0001747A" w:rsidRPr="00894760" w:rsidRDefault="0001747A" w:rsidP="0001747A">
      <w:pPr>
        <w:pStyle w:val="ListParagraph"/>
        <w:ind w:left="360"/>
        <w:rPr>
          <w:lang w:val="en-US"/>
        </w:rPr>
      </w:pPr>
      <w:r w:rsidRPr="00894760">
        <w:rPr>
          <w:lang w:val="en-US"/>
        </w:rPr>
        <w:t>– High GDP dampens flood risk in the model (perhaps reflecting better infrastructure spending).</w:t>
      </w:r>
    </w:p>
    <w:p w14:paraId="21388572" w14:textId="77777777" w:rsidR="0001747A" w:rsidRPr="00894760" w:rsidRDefault="0001747A" w:rsidP="0001747A">
      <w:pPr>
        <w:pStyle w:val="ListParagraph"/>
        <w:numPr>
          <w:ilvl w:val="0"/>
          <w:numId w:val="41"/>
        </w:numPr>
        <w:rPr>
          <w:lang w:val="en-US"/>
        </w:rPr>
      </w:pPr>
      <w:r w:rsidRPr="00894760">
        <w:rPr>
          <w:lang w:val="en-US"/>
        </w:rPr>
        <w:t>Urban Road Construction adds +365, reinforcing flood risk.</w:t>
      </w:r>
    </w:p>
    <w:p w14:paraId="10643072" w14:textId="77777777" w:rsidR="0001747A" w:rsidRPr="00894760" w:rsidRDefault="0001747A" w:rsidP="0001747A">
      <w:pPr>
        <w:pStyle w:val="ListParagraph"/>
        <w:numPr>
          <w:ilvl w:val="0"/>
          <w:numId w:val="41"/>
        </w:numPr>
        <w:rPr>
          <w:lang w:val="en-US"/>
        </w:rPr>
      </w:pPr>
      <w:r w:rsidRPr="00894760">
        <w:rPr>
          <w:lang w:val="en-US"/>
        </w:rPr>
        <w:t>Drainage Channels remove </w:t>
      </w:r>
      <w:r w:rsidRPr="00894760">
        <w:rPr>
          <w:rFonts w:ascii="Cambria Math" w:hAnsi="Cambria Math" w:cs="Cambria Math"/>
          <w:lang w:val="en-US"/>
        </w:rPr>
        <w:t>‑</w:t>
      </w:r>
      <w:r w:rsidRPr="00894760">
        <w:rPr>
          <w:lang w:val="en-US"/>
        </w:rPr>
        <w:t>341 because better drainage mitigates flooding.</w:t>
      </w:r>
    </w:p>
    <w:p w14:paraId="6EA34A92" w14:textId="77777777" w:rsidR="0001747A" w:rsidRDefault="0001747A" w:rsidP="0001747A">
      <w:pPr>
        <w:pStyle w:val="ListParagraph"/>
        <w:numPr>
          <w:ilvl w:val="0"/>
          <w:numId w:val="41"/>
        </w:numPr>
        <w:rPr>
          <w:lang w:val="en-US"/>
        </w:rPr>
      </w:pPr>
      <w:r w:rsidRPr="00894760">
        <w:rPr>
          <w:lang w:val="en-US"/>
        </w:rPr>
        <w:t>Non</w:t>
      </w:r>
      <w:r w:rsidRPr="00894760">
        <w:rPr>
          <w:rFonts w:ascii="Cambria Math" w:hAnsi="Cambria Math" w:cs="Cambria Math"/>
          <w:lang w:val="en-US"/>
        </w:rPr>
        <w:t>‑</w:t>
      </w:r>
      <w:r w:rsidRPr="00894760">
        <w:rPr>
          <w:lang w:val="en-US"/>
        </w:rPr>
        <w:t>Agricultural</w:t>
      </w:r>
      <w:r w:rsidRPr="00894760">
        <w:rPr>
          <w:rFonts w:ascii="Calibri" w:hAnsi="Calibri" w:cs="Calibri"/>
          <w:lang w:val="en-US"/>
        </w:rPr>
        <w:t> </w:t>
      </w:r>
      <w:r w:rsidRPr="00894760">
        <w:rPr>
          <w:lang w:val="en-US"/>
        </w:rPr>
        <w:t>Land removes</w:t>
      </w:r>
      <w:r w:rsidRPr="00894760">
        <w:rPr>
          <w:rFonts w:ascii="Calibri" w:hAnsi="Calibri" w:cs="Calibri"/>
          <w:lang w:val="en-US"/>
        </w:rPr>
        <w:t> </w:t>
      </w:r>
      <w:r w:rsidRPr="00894760">
        <w:rPr>
          <w:rFonts w:ascii="Cambria Math" w:hAnsi="Cambria Math" w:cs="Cambria Math"/>
          <w:lang w:val="en-US"/>
        </w:rPr>
        <w:t>‑</w:t>
      </w:r>
      <w:r w:rsidRPr="00894760">
        <w:rPr>
          <w:lang w:val="en-US"/>
        </w:rPr>
        <w:t>102 (a modest buffer effect).</w:t>
      </w:r>
    </w:p>
    <w:p w14:paraId="0970B5FC" w14:textId="77777777" w:rsidR="0001747A" w:rsidRPr="00380C8C" w:rsidRDefault="0001747A" w:rsidP="0001747A">
      <w:pPr>
        <w:rPr>
          <w:lang w:val="en-US"/>
        </w:rPr>
      </w:pPr>
      <w:r w:rsidRPr="00380C8C">
        <w:t>Urban pressure (electricity + roads) drove floods up; GDP and drainage moderated but not enough to offset the surge, so the net outcome was still well above the baseline.</w:t>
      </w:r>
    </w:p>
    <w:p w14:paraId="44022A3C" w14:textId="6D1CF7EA" w:rsidR="0001747A" w:rsidRDefault="0001747A" w:rsidP="0001747A">
      <w:pPr>
        <w:rPr>
          <w:lang w:val="en-US"/>
        </w:rPr>
      </w:pPr>
      <w:r>
        <w:rPr>
          <w:noProof/>
          <w:lang w:val="en-US"/>
        </w:rPr>
        <w:lastRenderedPageBreak/>
        <w:drawing>
          <wp:inline distT="0" distB="0" distL="0" distR="0" wp14:anchorId="574C62B5" wp14:editId="4E42EFB4">
            <wp:extent cx="5760000" cy="3850435"/>
            <wp:effectExtent l="19050" t="19050" r="12700" b="17145"/>
            <wp:docPr id="386314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3850435"/>
                    </a:xfrm>
                    <a:prstGeom prst="rect">
                      <a:avLst/>
                    </a:prstGeom>
                    <a:noFill/>
                    <a:ln>
                      <a:solidFill>
                        <a:schemeClr val="accent1"/>
                      </a:solidFill>
                    </a:ln>
                  </pic:spPr>
                </pic:pic>
              </a:graphicData>
            </a:graphic>
          </wp:inline>
        </w:drawing>
      </w:r>
    </w:p>
    <w:p w14:paraId="221B27A6" w14:textId="77777777" w:rsidR="0001747A" w:rsidRPr="00617F7C" w:rsidRDefault="0001747A" w:rsidP="0001747A">
      <w:pPr>
        <w:pStyle w:val="ListParagraph"/>
        <w:numPr>
          <w:ilvl w:val="0"/>
          <w:numId w:val="41"/>
        </w:numPr>
        <w:rPr>
          <w:lang w:val="en-US"/>
        </w:rPr>
      </w:pPr>
      <w:r w:rsidRPr="00617F7C">
        <w:rPr>
          <w:lang w:val="en-US"/>
        </w:rPr>
        <w:t>Base value again ≈ 53 floods.</w:t>
      </w:r>
    </w:p>
    <w:p w14:paraId="06CCDBB5" w14:textId="77777777" w:rsidR="0001747A" w:rsidRPr="00617F7C" w:rsidRDefault="0001747A" w:rsidP="0001747A">
      <w:pPr>
        <w:pStyle w:val="ListParagraph"/>
        <w:numPr>
          <w:ilvl w:val="0"/>
          <w:numId w:val="41"/>
        </w:numPr>
        <w:rPr>
          <w:lang w:val="en-US"/>
        </w:rPr>
      </w:pPr>
      <w:r w:rsidRPr="00617F7C">
        <w:rPr>
          <w:lang w:val="en-US"/>
        </w:rPr>
        <w:t>Domestic Electricity Consumption: still high but Δ +2221 – even larger than 2020 (electricity growth accelerates).</w:t>
      </w:r>
    </w:p>
    <w:p w14:paraId="7C155E68" w14:textId="77777777" w:rsidR="0001747A" w:rsidRPr="00617F7C" w:rsidRDefault="0001747A" w:rsidP="0001747A">
      <w:pPr>
        <w:pStyle w:val="ListParagraph"/>
        <w:numPr>
          <w:ilvl w:val="0"/>
          <w:numId w:val="41"/>
        </w:numPr>
        <w:rPr>
          <w:lang w:val="en-US"/>
        </w:rPr>
      </w:pPr>
      <w:r w:rsidRPr="00617F7C">
        <w:rPr>
          <w:lang w:val="en-US"/>
        </w:rPr>
        <w:t>Drainage Channels turn strongly negative (∆ </w:t>
      </w:r>
      <w:r w:rsidRPr="00617F7C">
        <w:rPr>
          <w:rFonts w:ascii="Cambria Math" w:hAnsi="Cambria Math" w:cs="Cambria Math"/>
          <w:lang w:val="en-US"/>
        </w:rPr>
        <w:t>‑</w:t>
      </w:r>
      <w:r w:rsidRPr="00617F7C">
        <w:rPr>
          <w:lang w:val="en-US"/>
        </w:rPr>
        <w:t>1588), indicating major drainage improvements in 2024 that counteract part of the urban pressure.</w:t>
      </w:r>
    </w:p>
    <w:p w14:paraId="5AD3A9B3" w14:textId="3E05098D" w:rsidR="0001747A" w:rsidRPr="00617F7C" w:rsidRDefault="008170EA" w:rsidP="0001747A">
      <w:pPr>
        <w:pStyle w:val="ListParagraph"/>
        <w:numPr>
          <w:ilvl w:val="0"/>
          <w:numId w:val="41"/>
        </w:numPr>
        <w:rPr>
          <w:lang w:val="en-US"/>
        </w:rPr>
      </w:pPr>
      <w:r>
        <w:rPr>
          <w:lang w:val="en-US"/>
        </w:rPr>
        <w:t xml:space="preserve">Impact of </w:t>
      </w:r>
      <w:r w:rsidR="0001747A" w:rsidRPr="00617F7C">
        <w:rPr>
          <w:lang w:val="en-US"/>
        </w:rPr>
        <w:t xml:space="preserve">State GDP </w:t>
      </w:r>
      <w:r>
        <w:rPr>
          <w:lang w:val="en-US"/>
        </w:rPr>
        <w:t xml:space="preserve">is </w:t>
      </w:r>
      <w:r w:rsidR="0001747A" w:rsidRPr="00617F7C">
        <w:rPr>
          <w:lang w:val="en-US"/>
        </w:rPr>
        <w:t>still negative (∆ </w:t>
      </w:r>
      <w:r w:rsidR="0001747A" w:rsidRPr="00617F7C">
        <w:rPr>
          <w:rFonts w:ascii="Cambria Math" w:hAnsi="Cambria Math" w:cs="Cambria Math"/>
          <w:lang w:val="en-US"/>
        </w:rPr>
        <w:t>‑</w:t>
      </w:r>
      <w:r w:rsidR="0001747A" w:rsidRPr="00617F7C">
        <w:rPr>
          <w:lang w:val="en-US"/>
        </w:rPr>
        <w:t xml:space="preserve">450) </w:t>
      </w:r>
      <w:r w:rsidR="0001747A" w:rsidRPr="00617F7C">
        <w:rPr>
          <w:rFonts w:ascii="Calibri" w:hAnsi="Calibri" w:cs="Calibri"/>
          <w:lang w:val="en-US"/>
        </w:rPr>
        <w:t>–</w:t>
      </w:r>
      <w:r w:rsidR="0001747A" w:rsidRPr="00617F7C">
        <w:rPr>
          <w:lang w:val="en-US"/>
        </w:rPr>
        <w:t xml:space="preserve"> prosperity again buffers risk.</w:t>
      </w:r>
    </w:p>
    <w:p w14:paraId="052223DA" w14:textId="77777777" w:rsidR="0001747A" w:rsidRPr="00617F7C" w:rsidRDefault="0001747A" w:rsidP="0001747A">
      <w:pPr>
        <w:pStyle w:val="ListParagraph"/>
        <w:numPr>
          <w:ilvl w:val="0"/>
          <w:numId w:val="41"/>
        </w:numPr>
        <w:rPr>
          <w:lang w:val="en-US"/>
        </w:rPr>
      </w:pPr>
      <w:r w:rsidRPr="00617F7C">
        <w:rPr>
          <w:lang w:val="en-US"/>
        </w:rPr>
        <w:t>Urban Road Construction is a small positive (∆ +150).</w:t>
      </w:r>
    </w:p>
    <w:p w14:paraId="09C62449" w14:textId="77777777" w:rsidR="0001747A" w:rsidRDefault="0001747A" w:rsidP="0001747A">
      <w:pPr>
        <w:pStyle w:val="ListParagraph"/>
        <w:numPr>
          <w:ilvl w:val="0"/>
          <w:numId w:val="41"/>
        </w:numPr>
        <w:rPr>
          <w:lang w:val="en-US"/>
        </w:rPr>
      </w:pPr>
      <w:r w:rsidRPr="00617F7C">
        <w:rPr>
          <w:lang w:val="en-US"/>
        </w:rPr>
        <w:t>Non</w:t>
      </w:r>
      <w:r w:rsidRPr="00617F7C">
        <w:rPr>
          <w:rFonts w:ascii="Cambria Math" w:hAnsi="Cambria Math" w:cs="Cambria Math"/>
          <w:lang w:val="en-US"/>
        </w:rPr>
        <w:t>‑</w:t>
      </w:r>
      <w:r w:rsidRPr="00617F7C">
        <w:rPr>
          <w:lang w:val="en-US"/>
        </w:rPr>
        <w:t>Agricultural</w:t>
      </w:r>
      <w:r w:rsidRPr="00617F7C">
        <w:rPr>
          <w:rFonts w:ascii="Calibri" w:hAnsi="Calibri" w:cs="Calibri"/>
          <w:lang w:val="en-US"/>
        </w:rPr>
        <w:t> </w:t>
      </w:r>
      <w:r w:rsidRPr="00617F7C">
        <w:rPr>
          <w:lang w:val="en-US"/>
        </w:rPr>
        <w:t>Land slightly negative (∆ </w:t>
      </w:r>
      <w:r w:rsidRPr="00617F7C">
        <w:rPr>
          <w:rFonts w:ascii="Cambria Math" w:hAnsi="Cambria Math" w:cs="Cambria Math"/>
          <w:lang w:val="en-US"/>
        </w:rPr>
        <w:t>‑</w:t>
      </w:r>
      <w:r w:rsidRPr="00617F7C">
        <w:rPr>
          <w:lang w:val="en-US"/>
        </w:rPr>
        <w:t>61).</w:t>
      </w:r>
    </w:p>
    <w:p w14:paraId="116ABFF1" w14:textId="77777777" w:rsidR="0001747A" w:rsidRDefault="0001747A" w:rsidP="0001747A">
      <w:r w:rsidRPr="00617F7C">
        <w:t>Electricity growth alone would have exploded flood numbers, but big investments in drainage (and GDP</w:t>
      </w:r>
      <w:r w:rsidRPr="00617F7C">
        <w:noBreakHyphen/>
        <w:t>related resilience) pulled the prediction back down. The model therefore attributes 2024’s moderate flood outcome to successful mitigation despite heavier urban demand.</w:t>
      </w:r>
    </w:p>
    <w:p w14:paraId="4752359A" w14:textId="77777777" w:rsidR="0001747A" w:rsidRPr="00617F7C" w:rsidRDefault="0001747A" w:rsidP="0001747A">
      <w:pPr>
        <w:rPr>
          <w:b/>
          <w:bCs/>
        </w:rPr>
      </w:pPr>
      <w:r w:rsidRPr="00617F7C">
        <w:rPr>
          <w:b/>
          <w:bCs/>
        </w:rPr>
        <w:t>Take</w:t>
      </w:r>
      <w:r w:rsidRPr="00617F7C">
        <w:rPr>
          <w:b/>
          <w:bCs/>
        </w:rPr>
        <w:noBreakHyphen/>
        <w:t>aways from the two years</w:t>
      </w:r>
    </w:p>
    <w:tbl>
      <w:tblPr>
        <w:tblStyle w:val="TableGridLight"/>
        <w:tblW w:w="0" w:type="auto"/>
        <w:jc w:val="center"/>
        <w:tblLook w:val="04A0" w:firstRow="1" w:lastRow="0" w:firstColumn="1" w:lastColumn="0" w:noHBand="0" w:noVBand="1"/>
      </w:tblPr>
      <w:tblGrid>
        <w:gridCol w:w="2786"/>
        <w:gridCol w:w="2205"/>
        <w:gridCol w:w="2205"/>
      </w:tblGrid>
      <w:tr w:rsidR="0001747A" w:rsidRPr="00617F7C" w14:paraId="24F1442A" w14:textId="77777777" w:rsidTr="00261724">
        <w:trPr>
          <w:jc w:val="center"/>
        </w:trPr>
        <w:tc>
          <w:tcPr>
            <w:tcW w:w="0" w:type="auto"/>
            <w:hideMark/>
          </w:tcPr>
          <w:p w14:paraId="37DF1F80" w14:textId="77777777" w:rsidR="0001747A" w:rsidRPr="00617F7C" w:rsidRDefault="0001747A" w:rsidP="00261724">
            <w:pPr>
              <w:spacing w:after="160" w:line="259" w:lineRule="auto"/>
            </w:pPr>
          </w:p>
        </w:tc>
        <w:tc>
          <w:tcPr>
            <w:tcW w:w="0" w:type="auto"/>
            <w:hideMark/>
          </w:tcPr>
          <w:p w14:paraId="05C84114" w14:textId="77777777" w:rsidR="0001747A" w:rsidRPr="00617F7C" w:rsidRDefault="0001747A" w:rsidP="00261724">
            <w:pPr>
              <w:spacing w:after="160" w:line="259" w:lineRule="auto"/>
              <w:rPr>
                <w:b/>
                <w:bCs/>
              </w:rPr>
            </w:pPr>
            <w:r w:rsidRPr="00617F7C">
              <w:rPr>
                <w:b/>
                <w:bCs/>
              </w:rPr>
              <w:t>2020</w:t>
            </w:r>
          </w:p>
        </w:tc>
        <w:tc>
          <w:tcPr>
            <w:tcW w:w="0" w:type="auto"/>
            <w:hideMark/>
          </w:tcPr>
          <w:p w14:paraId="6E754BFE" w14:textId="77777777" w:rsidR="0001747A" w:rsidRPr="00617F7C" w:rsidRDefault="0001747A" w:rsidP="00261724">
            <w:pPr>
              <w:spacing w:after="160" w:line="259" w:lineRule="auto"/>
              <w:rPr>
                <w:b/>
                <w:bCs/>
              </w:rPr>
            </w:pPr>
            <w:r w:rsidRPr="00617F7C">
              <w:rPr>
                <w:b/>
                <w:bCs/>
              </w:rPr>
              <w:t>2024</w:t>
            </w:r>
          </w:p>
        </w:tc>
      </w:tr>
      <w:tr w:rsidR="0001747A" w:rsidRPr="00617F7C" w14:paraId="13B13E96" w14:textId="77777777" w:rsidTr="00261724">
        <w:trPr>
          <w:jc w:val="center"/>
        </w:trPr>
        <w:tc>
          <w:tcPr>
            <w:tcW w:w="0" w:type="auto"/>
            <w:hideMark/>
          </w:tcPr>
          <w:p w14:paraId="56D0C085" w14:textId="77777777" w:rsidR="0001747A" w:rsidRPr="00617F7C" w:rsidRDefault="0001747A" w:rsidP="00261724">
            <w:pPr>
              <w:spacing w:after="160" w:line="259" w:lineRule="auto"/>
            </w:pPr>
            <w:r w:rsidRPr="00617F7C">
              <w:rPr>
                <w:b/>
                <w:bCs/>
              </w:rPr>
              <w:t>Urban demand (Electricity)</w:t>
            </w:r>
          </w:p>
        </w:tc>
        <w:tc>
          <w:tcPr>
            <w:tcW w:w="0" w:type="auto"/>
            <w:hideMark/>
          </w:tcPr>
          <w:p w14:paraId="2176902D" w14:textId="77777777" w:rsidR="0001747A" w:rsidRPr="00617F7C" w:rsidRDefault="0001747A" w:rsidP="00261724">
            <w:pPr>
              <w:spacing w:after="160" w:line="259" w:lineRule="auto"/>
            </w:pPr>
            <w:r w:rsidRPr="00617F7C">
              <w:t>+1115</w:t>
            </w:r>
          </w:p>
        </w:tc>
        <w:tc>
          <w:tcPr>
            <w:tcW w:w="0" w:type="auto"/>
            <w:hideMark/>
          </w:tcPr>
          <w:p w14:paraId="5C85CA5D" w14:textId="77777777" w:rsidR="0001747A" w:rsidRPr="00617F7C" w:rsidRDefault="0001747A" w:rsidP="00261724">
            <w:pPr>
              <w:spacing w:after="160" w:line="259" w:lineRule="auto"/>
            </w:pPr>
            <w:r w:rsidRPr="00617F7C">
              <w:t>+2221</w:t>
            </w:r>
          </w:p>
        </w:tc>
      </w:tr>
      <w:tr w:rsidR="0001747A" w:rsidRPr="00617F7C" w14:paraId="4D7B24AE" w14:textId="77777777" w:rsidTr="00261724">
        <w:trPr>
          <w:jc w:val="center"/>
        </w:trPr>
        <w:tc>
          <w:tcPr>
            <w:tcW w:w="0" w:type="auto"/>
            <w:hideMark/>
          </w:tcPr>
          <w:p w14:paraId="11BAAA15" w14:textId="77777777" w:rsidR="0001747A" w:rsidRPr="00617F7C" w:rsidRDefault="0001747A" w:rsidP="00261724">
            <w:pPr>
              <w:spacing w:after="160" w:line="259" w:lineRule="auto"/>
            </w:pPr>
            <w:r w:rsidRPr="00617F7C">
              <w:rPr>
                <w:b/>
                <w:bCs/>
              </w:rPr>
              <w:t>Mitigation (Drainage + GDP)</w:t>
            </w:r>
          </w:p>
        </w:tc>
        <w:tc>
          <w:tcPr>
            <w:tcW w:w="0" w:type="auto"/>
            <w:hideMark/>
          </w:tcPr>
          <w:p w14:paraId="411B93D6" w14:textId="77777777" w:rsidR="0001747A" w:rsidRPr="00617F7C" w:rsidRDefault="0001747A" w:rsidP="00261724">
            <w:pPr>
              <w:spacing w:after="160" w:line="259" w:lineRule="auto"/>
            </w:pPr>
            <w:r w:rsidRPr="00617F7C">
              <w:t>−929 combined</w:t>
            </w:r>
          </w:p>
        </w:tc>
        <w:tc>
          <w:tcPr>
            <w:tcW w:w="0" w:type="auto"/>
            <w:hideMark/>
          </w:tcPr>
          <w:p w14:paraId="5A035906" w14:textId="77777777" w:rsidR="0001747A" w:rsidRPr="00617F7C" w:rsidRDefault="0001747A" w:rsidP="00261724">
            <w:pPr>
              <w:spacing w:after="160" w:line="259" w:lineRule="auto"/>
            </w:pPr>
            <w:r w:rsidRPr="00617F7C">
              <w:t>−2038 combined</w:t>
            </w:r>
          </w:p>
        </w:tc>
      </w:tr>
      <w:tr w:rsidR="0001747A" w:rsidRPr="00617F7C" w14:paraId="6BB54EE6" w14:textId="77777777" w:rsidTr="00261724">
        <w:trPr>
          <w:jc w:val="center"/>
        </w:trPr>
        <w:tc>
          <w:tcPr>
            <w:tcW w:w="0" w:type="auto"/>
            <w:hideMark/>
          </w:tcPr>
          <w:p w14:paraId="083AF776" w14:textId="77777777" w:rsidR="0001747A" w:rsidRPr="00617F7C" w:rsidRDefault="0001747A" w:rsidP="00261724">
            <w:pPr>
              <w:spacing w:after="160" w:line="259" w:lineRule="auto"/>
            </w:pPr>
            <w:r w:rsidRPr="00617F7C">
              <w:rPr>
                <w:b/>
                <w:bCs/>
              </w:rPr>
              <w:t>Net prediction</w:t>
            </w:r>
          </w:p>
        </w:tc>
        <w:tc>
          <w:tcPr>
            <w:tcW w:w="0" w:type="auto"/>
            <w:hideMark/>
          </w:tcPr>
          <w:p w14:paraId="593431F2" w14:textId="77777777" w:rsidR="0001747A" w:rsidRPr="00617F7C" w:rsidRDefault="0001747A" w:rsidP="00261724">
            <w:pPr>
              <w:spacing w:after="160" w:line="259" w:lineRule="auto"/>
            </w:pPr>
            <w:r w:rsidRPr="00617F7C">
              <w:t xml:space="preserve">542 (close to </w:t>
            </w:r>
            <w:r>
              <w:t>real</w:t>
            </w:r>
            <w:r w:rsidRPr="00617F7C">
              <w:t> 525)</w:t>
            </w:r>
          </w:p>
        </w:tc>
        <w:tc>
          <w:tcPr>
            <w:tcW w:w="0" w:type="auto"/>
            <w:hideMark/>
          </w:tcPr>
          <w:p w14:paraId="426D0713" w14:textId="77777777" w:rsidR="0001747A" w:rsidRPr="00617F7C" w:rsidRDefault="0001747A" w:rsidP="00261724">
            <w:pPr>
              <w:spacing w:after="160" w:line="259" w:lineRule="auto"/>
            </w:pPr>
            <w:r w:rsidRPr="00617F7C">
              <w:t xml:space="preserve">348 (close to </w:t>
            </w:r>
            <w:r>
              <w:t>real</w:t>
            </w:r>
            <w:r w:rsidRPr="00617F7C">
              <w:t> 371)</w:t>
            </w:r>
          </w:p>
        </w:tc>
      </w:tr>
    </w:tbl>
    <w:p w14:paraId="25A0B615" w14:textId="77777777" w:rsidR="0001747A" w:rsidRPr="004A6B10" w:rsidRDefault="0001747A" w:rsidP="0001747A">
      <w:pPr>
        <w:numPr>
          <w:ilvl w:val="0"/>
          <w:numId w:val="42"/>
        </w:numPr>
      </w:pPr>
      <w:r w:rsidRPr="004A6B10">
        <w:t xml:space="preserve">In </w:t>
      </w:r>
      <w:r w:rsidRPr="004A6B10">
        <w:rPr>
          <w:b/>
          <w:bCs/>
        </w:rPr>
        <w:t>2020</w:t>
      </w:r>
      <w:r w:rsidRPr="004A6B10">
        <w:t xml:space="preserve"> the upward push from electricity + roads was partly offset by GDP and modest drainage gains; flood pressure and mitigation were of similar order (≈ +1 480 vs − 1 030).</w:t>
      </w:r>
    </w:p>
    <w:p w14:paraId="21760618" w14:textId="2399A133" w:rsidR="0001747A" w:rsidRPr="004A6B10" w:rsidRDefault="0001747A" w:rsidP="0001747A">
      <w:pPr>
        <w:numPr>
          <w:ilvl w:val="0"/>
          <w:numId w:val="42"/>
        </w:numPr>
      </w:pPr>
      <w:r w:rsidRPr="004A6B10">
        <w:t xml:space="preserve">In </w:t>
      </w:r>
      <w:r w:rsidRPr="004A6B10">
        <w:rPr>
          <w:b/>
          <w:bCs/>
        </w:rPr>
        <w:t>2024</w:t>
      </w:r>
      <w:r w:rsidRPr="004A6B10">
        <w:t xml:space="preserve"> electricity pressure is much larger, but a </w:t>
      </w:r>
      <w:r w:rsidRPr="004A6B10">
        <w:rPr>
          <w:b/>
          <w:bCs/>
        </w:rPr>
        <w:t>dramatic enhancement in drainage capacity</w:t>
      </w:r>
      <w:r w:rsidRPr="004A6B10">
        <w:t xml:space="preserve"> (− 1588) almost cancels it, leaving a lower net prediction—despite the bigger urban load.</w:t>
      </w:r>
    </w:p>
    <w:p w14:paraId="47D47E9D" w14:textId="77777777" w:rsidR="0001747A" w:rsidRPr="004A6B10" w:rsidRDefault="0001747A" w:rsidP="0001747A">
      <w:r w:rsidRPr="004A6B10">
        <w:lastRenderedPageBreak/>
        <w:t>Hence the chief discrepancies are:</w:t>
      </w:r>
    </w:p>
    <w:p w14:paraId="3E0A3A35" w14:textId="77777777" w:rsidR="0001747A" w:rsidRPr="004A6B10" w:rsidRDefault="0001747A" w:rsidP="0001747A">
      <w:pPr>
        <w:numPr>
          <w:ilvl w:val="0"/>
          <w:numId w:val="43"/>
        </w:numPr>
      </w:pPr>
      <w:r w:rsidRPr="004A6B10">
        <w:rPr>
          <w:b/>
          <w:bCs/>
        </w:rPr>
        <w:t>Electricity impact grows sharply.</w:t>
      </w:r>
    </w:p>
    <w:p w14:paraId="2967CFAF" w14:textId="77777777" w:rsidR="0001747A" w:rsidRPr="004A6B10" w:rsidRDefault="0001747A" w:rsidP="0001747A">
      <w:pPr>
        <w:numPr>
          <w:ilvl w:val="0"/>
          <w:numId w:val="43"/>
        </w:numPr>
      </w:pPr>
      <w:r w:rsidRPr="004A6B10">
        <w:rPr>
          <w:b/>
          <w:bCs/>
        </w:rPr>
        <w:t>Drainage flips from a moderate to a dominant suppressor.</w:t>
      </w:r>
    </w:p>
    <w:p w14:paraId="0E972A8B" w14:textId="77777777" w:rsidR="0001747A" w:rsidRPr="004A6B10" w:rsidRDefault="0001747A" w:rsidP="0001747A">
      <w:pPr>
        <w:numPr>
          <w:ilvl w:val="0"/>
          <w:numId w:val="43"/>
        </w:numPr>
      </w:pPr>
      <w:r w:rsidRPr="004A6B10">
        <w:rPr>
          <w:b/>
          <w:bCs/>
        </w:rPr>
        <w:t>Road</w:t>
      </w:r>
      <w:r w:rsidRPr="004A6B10">
        <w:rPr>
          <w:b/>
          <w:bCs/>
        </w:rPr>
        <w:noBreakHyphen/>
        <w:t>construction and GDP cushioning effects both fade somewhat.</w:t>
      </w:r>
    </w:p>
    <w:p w14:paraId="5847D24A" w14:textId="77777777" w:rsidR="0001747A" w:rsidRPr="004A6B10" w:rsidRDefault="0001747A" w:rsidP="0001747A">
      <w:r w:rsidRPr="004A6B10">
        <w:t>These shifts explain why the model moves from predicting a high flood count (~542) in 2020 to a much lower one (~348) in 2024 even though the urban</w:t>
      </w:r>
      <w:r w:rsidRPr="004A6B10">
        <w:noBreakHyphen/>
        <w:t>demand signal is stronger—the mitigation variables behave very differently between the two years.</w:t>
      </w:r>
    </w:p>
    <w:p w14:paraId="1EFA9479" w14:textId="46F6D3FF" w:rsidR="00C502F8" w:rsidRDefault="007D00D9" w:rsidP="007D00D9">
      <w:pPr>
        <w:pStyle w:val="Heading3"/>
        <w:rPr>
          <w:rFonts w:eastAsiaTheme="minorEastAsia"/>
          <w:lang w:val="en-US"/>
        </w:rPr>
      </w:pPr>
      <w:r>
        <w:rPr>
          <w:rFonts w:eastAsiaTheme="minorEastAsia"/>
          <w:lang w:val="en-US"/>
        </w:rPr>
        <w:t>SHAP Summar</w:t>
      </w:r>
      <w:r w:rsidR="00856B1B">
        <w:rPr>
          <w:rFonts w:eastAsiaTheme="minorEastAsia"/>
          <w:lang w:val="en-US"/>
        </w:rPr>
        <w:t>y</w:t>
      </w:r>
      <w:r>
        <w:rPr>
          <w:rFonts w:eastAsiaTheme="minorEastAsia"/>
          <w:lang w:val="en-US"/>
        </w:rPr>
        <w:t xml:space="preserve"> Plot</w:t>
      </w:r>
    </w:p>
    <w:p w14:paraId="026087CC" w14:textId="7ED6EBC2" w:rsidR="001F1ED7" w:rsidRDefault="00F02D50" w:rsidP="001F1ED7">
      <w:pPr>
        <w:rPr>
          <w:lang w:val="en-US"/>
        </w:rPr>
      </w:pPr>
      <w:r>
        <w:rPr>
          <w:noProof/>
          <w:lang w:val="en-US"/>
        </w:rPr>
        <w:drawing>
          <wp:inline distT="0" distB="0" distL="0" distR="0" wp14:anchorId="53231E5E" wp14:editId="553FFFF7">
            <wp:extent cx="4526280" cy="3944326"/>
            <wp:effectExtent l="0" t="0" r="7620" b="0"/>
            <wp:docPr id="1335443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3261" cy="3950410"/>
                    </a:xfrm>
                    <a:prstGeom prst="rect">
                      <a:avLst/>
                    </a:prstGeom>
                    <a:noFill/>
                  </pic:spPr>
                </pic:pic>
              </a:graphicData>
            </a:graphic>
          </wp:inline>
        </w:drawing>
      </w:r>
    </w:p>
    <w:p w14:paraId="7B0567D0" w14:textId="30BDCD2D" w:rsidR="008A7ECB" w:rsidRDefault="008A7ECB" w:rsidP="008A7ECB">
      <w:pPr>
        <w:pStyle w:val="ListParagraph"/>
        <w:numPr>
          <w:ilvl w:val="0"/>
          <w:numId w:val="41"/>
        </w:numPr>
      </w:pPr>
      <w:r>
        <w:rPr>
          <w:lang w:val="en-US"/>
        </w:rPr>
        <w:t xml:space="preserve">Domestic electricity consumption and State GDP consistently have the strongest impact on </w:t>
      </w:r>
      <w:r w:rsidR="00A632E5">
        <w:rPr>
          <w:lang w:val="en-US"/>
        </w:rPr>
        <w:t>model</w:t>
      </w:r>
      <w:r>
        <w:rPr>
          <w:lang w:val="en-US"/>
        </w:rPr>
        <w:t xml:space="preserve"> predictions. </w:t>
      </w:r>
    </w:p>
    <w:p w14:paraId="6E0AC8D1" w14:textId="323E97EB" w:rsidR="008A7ECB" w:rsidRPr="008A7ECB" w:rsidRDefault="008A7ECB" w:rsidP="008A7ECB">
      <w:pPr>
        <w:pStyle w:val="ListParagraph"/>
        <w:numPr>
          <w:ilvl w:val="0"/>
          <w:numId w:val="41"/>
        </w:numPr>
      </w:pPr>
      <w:r w:rsidRPr="008A7ECB">
        <w:t>SHAP values for Domestic Electricity Consumption show a wider range, indicating a high level of influence in both directions depending on the feature value. Drainage Channels and Non-Agricultural Land have a narrower spread and smaller impact overall.</w:t>
      </w:r>
    </w:p>
    <w:p w14:paraId="7B10005A" w14:textId="0B75911E" w:rsidR="007D00D9" w:rsidRDefault="007D00D9" w:rsidP="007D00D9">
      <w:pPr>
        <w:pStyle w:val="Heading3"/>
        <w:rPr>
          <w:rFonts w:eastAsiaTheme="minorEastAsia"/>
          <w:lang w:val="en-US"/>
        </w:rPr>
      </w:pPr>
      <w:r>
        <w:rPr>
          <w:rFonts w:eastAsiaTheme="minorEastAsia"/>
          <w:lang w:val="en-US"/>
        </w:rPr>
        <w:lastRenderedPageBreak/>
        <w:t>SHAP Over Time</w:t>
      </w:r>
    </w:p>
    <w:p w14:paraId="7543484D" w14:textId="28BBD662" w:rsidR="007D00D9" w:rsidRDefault="007D00D9" w:rsidP="00C502F8">
      <w:pPr>
        <w:rPr>
          <w:rFonts w:eastAsiaTheme="minorEastAsia"/>
          <w:iCs/>
          <w:lang w:val="en-US"/>
        </w:rPr>
      </w:pPr>
      <w:r>
        <w:rPr>
          <w:rFonts w:eastAsiaTheme="minorEastAsia"/>
          <w:iCs/>
          <w:noProof/>
          <w:lang w:val="en-US"/>
        </w:rPr>
        <w:drawing>
          <wp:inline distT="0" distB="0" distL="0" distR="0" wp14:anchorId="5AD16C79" wp14:editId="0B52A31A">
            <wp:extent cx="5082540" cy="6744663"/>
            <wp:effectExtent l="0" t="0" r="3810" b="0"/>
            <wp:docPr id="191135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592" cy="6803121"/>
                    </a:xfrm>
                    <a:prstGeom prst="rect">
                      <a:avLst/>
                    </a:prstGeom>
                    <a:noFill/>
                  </pic:spPr>
                </pic:pic>
              </a:graphicData>
            </a:graphic>
          </wp:inline>
        </w:drawing>
      </w:r>
    </w:p>
    <w:p w14:paraId="5A35B2CC" w14:textId="272FDC59" w:rsidR="008A7ECB" w:rsidRPr="008A7ECB" w:rsidRDefault="008A7ECB" w:rsidP="008A7ECB">
      <w:pPr>
        <w:pStyle w:val="ListParagraph"/>
        <w:numPr>
          <w:ilvl w:val="0"/>
          <w:numId w:val="41"/>
        </w:numPr>
        <w:rPr>
          <w:rFonts w:eastAsiaTheme="minorEastAsia"/>
          <w:iCs/>
          <w:lang w:val="en-US"/>
        </w:rPr>
      </w:pPr>
      <w:r w:rsidRPr="008A7ECB">
        <w:rPr>
          <w:rFonts w:eastAsiaTheme="minorEastAsia"/>
          <w:iCs/>
        </w:rPr>
        <w:t>In years like 2014–2020, where floods increase sharply, SHAP values (</w:t>
      </w:r>
      <w:r>
        <w:rPr>
          <w:rFonts w:eastAsiaTheme="minorEastAsia"/>
          <w:iCs/>
        </w:rPr>
        <w:t>colour</w:t>
      </w:r>
      <w:r w:rsidRPr="008A7ECB">
        <w:rPr>
          <w:rFonts w:eastAsiaTheme="minorEastAsia"/>
          <w:iCs/>
        </w:rPr>
        <w:t xml:space="preserve"> intensity) also spike for Domestic Electricity Consumption, Urban Road Construction, and State GDP.</w:t>
      </w:r>
    </w:p>
    <w:p w14:paraId="4E760726" w14:textId="14995C9D" w:rsidR="008A7ECB" w:rsidRPr="008A7ECB" w:rsidRDefault="008A7ECB" w:rsidP="008A7ECB">
      <w:pPr>
        <w:pStyle w:val="ListParagraph"/>
        <w:numPr>
          <w:ilvl w:val="0"/>
          <w:numId w:val="41"/>
        </w:numPr>
        <w:rPr>
          <w:rFonts w:eastAsiaTheme="minorEastAsia"/>
          <w:iCs/>
          <w:lang w:val="en-US"/>
        </w:rPr>
      </w:pPr>
      <w:r w:rsidRPr="008A7ECB">
        <w:rPr>
          <w:rFonts w:eastAsiaTheme="minorEastAsia"/>
          <w:iCs/>
          <w:lang w:val="en-US"/>
        </w:rPr>
        <w:t xml:space="preserve">Drainage Channels become less impactful over time (despite rising in value), suggesting diminishing marginal explanatory power. </w:t>
      </w:r>
      <w:r w:rsidRPr="008A7ECB">
        <w:rPr>
          <w:rFonts w:eastAsiaTheme="minorEastAsia"/>
          <w:iCs/>
        </w:rPr>
        <w:t>Drainage channels increase in quantity, but their importance in predicting floods diminishes. This could reflect ineffectiveness or poor maintenance, which wasn’t clear from EDA alone.</w:t>
      </w:r>
    </w:p>
    <w:p w14:paraId="1EB7AA15" w14:textId="18634EB6" w:rsidR="008A7ECB" w:rsidRDefault="008A7ECB" w:rsidP="008A7ECB">
      <w:pPr>
        <w:pStyle w:val="ListParagraph"/>
        <w:numPr>
          <w:ilvl w:val="0"/>
          <w:numId w:val="41"/>
        </w:numPr>
        <w:rPr>
          <w:rFonts w:eastAsiaTheme="minorEastAsia"/>
          <w:iCs/>
          <w:lang w:val="en-US"/>
        </w:rPr>
      </w:pPr>
      <w:r w:rsidRPr="008A7ECB">
        <w:rPr>
          <w:rFonts w:eastAsiaTheme="minorEastAsia"/>
          <w:iCs/>
          <w:lang w:val="en-US"/>
        </w:rPr>
        <w:t>Non-Agricultural Land shows relatively stable SHAP intensity—despite a rising trend in the feature, its impact plateaus.</w:t>
      </w:r>
    </w:p>
    <w:p w14:paraId="594BD070" w14:textId="098E3FCB" w:rsidR="002F367E" w:rsidRDefault="002F367E" w:rsidP="002F367E">
      <w:pPr>
        <w:pStyle w:val="Heading2"/>
        <w:rPr>
          <w:rFonts w:eastAsiaTheme="minorEastAsia"/>
          <w:lang w:val="en-US"/>
        </w:rPr>
      </w:pPr>
      <w:r>
        <w:rPr>
          <w:rFonts w:eastAsiaTheme="minorEastAsia"/>
          <w:lang w:val="en-US"/>
        </w:rPr>
        <w:lastRenderedPageBreak/>
        <w:t>Random Forest</w:t>
      </w:r>
    </w:p>
    <w:p w14:paraId="3F0227F1" w14:textId="77777777" w:rsidR="00C35FC7" w:rsidRDefault="00C35FC7" w:rsidP="00C35FC7">
      <w:pPr>
        <w:pStyle w:val="Heading3"/>
        <w:rPr>
          <w:lang w:val="en-US"/>
        </w:rPr>
      </w:pPr>
      <w:r>
        <w:rPr>
          <w:lang w:val="en-US"/>
        </w:rPr>
        <w:t>SHAP Waterfall Breakdown</w:t>
      </w:r>
    </w:p>
    <w:p w14:paraId="50C32623" w14:textId="77777777" w:rsidR="00C35FC7" w:rsidRDefault="00C35FC7" w:rsidP="00C35FC7">
      <w:pPr>
        <w:rPr>
          <w:lang w:val="en-US"/>
        </w:rPr>
      </w:pPr>
      <w:r>
        <w:rPr>
          <w:noProof/>
          <w:lang w:val="en-US"/>
        </w:rPr>
        <w:drawing>
          <wp:inline distT="0" distB="0" distL="0" distR="0" wp14:anchorId="75CB0FEB" wp14:editId="1737422C">
            <wp:extent cx="2520000" cy="1964001"/>
            <wp:effectExtent l="0" t="0" r="0" b="0"/>
            <wp:docPr id="1474858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5890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1964001"/>
                    </a:xfrm>
                    <a:prstGeom prst="rect">
                      <a:avLst/>
                    </a:prstGeom>
                    <a:noFill/>
                  </pic:spPr>
                </pic:pic>
              </a:graphicData>
            </a:graphic>
          </wp:inline>
        </w:drawing>
      </w:r>
      <w:r>
        <w:rPr>
          <w:noProof/>
          <w:lang w:val="en-US"/>
        </w:rPr>
        <w:drawing>
          <wp:inline distT="0" distB="0" distL="0" distR="0" wp14:anchorId="3C63AEF0" wp14:editId="3DF255F2">
            <wp:extent cx="2520000" cy="1964001"/>
            <wp:effectExtent l="0" t="0" r="0" b="0"/>
            <wp:docPr id="1200735149"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35149" name="Picture 6" descr="A graph with blue squar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1964001"/>
                    </a:xfrm>
                    <a:prstGeom prst="rect">
                      <a:avLst/>
                    </a:prstGeom>
                    <a:noFill/>
                  </pic:spPr>
                </pic:pic>
              </a:graphicData>
            </a:graphic>
          </wp:inline>
        </w:drawing>
      </w:r>
    </w:p>
    <w:p w14:paraId="699AE188" w14:textId="77777777" w:rsidR="00C35FC7" w:rsidRPr="002F367E" w:rsidRDefault="00C35FC7" w:rsidP="00C35FC7">
      <w:pPr>
        <w:rPr>
          <w:lang w:val="en-US"/>
        </w:rPr>
      </w:pPr>
    </w:p>
    <w:p w14:paraId="11B58066" w14:textId="39C849DA" w:rsidR="002F367E" w:rsidRDefault="002F367E" w:rsidP="002F367E">
      <w:pPr>
        <w:pStyle w:val="Heading3"/>
        <w:rPr>
          <w:lang w:val="en-US"/>
        </w:rPr>
      </w:pPr>
      <w:r>
        <w:rPr>
          <w:lang w:val="en-US"/>
        </w:rPr>
        <w:t>SHAP Summary Plot</w:t>
      </w:r>
    </w:p>
    <w:p w14:paraId="6469EEF3" w14:textId="34433784" w:rsidR="002F367E" w:rsidRDefault="002F367E" w:rsidP="002F367E">
      <w:pPr>
        <w:rPr>
          <w:lang w:val="en-US"/>
        </w:rPr>
      </w:pPr>
      <w:r>
        <w:rPr>
          <w:noProof/>
          <w:lang w:val="en-US"/>
        </w:rPr>
        <w:drawing>
          <wp:inline distT="0" distB="0" distL="0" distR="0" wp14:anchorId="2B8904E4" wp14:editId="604535D9">
            <wp:extent cx="4733225" cy="3688080"/>
            <wp:effectExtent l="0" t="0" r="0" b="7620"/>
            <wp:docPr id="128987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42135" cy="3695023"/>
                    </a:xfrm>
                    <a:prstGeom prst="rect">
                      <a:avLst/>
                    </a:prstGeom>
                    <a:noFill/>
                  </pic:spPr>
                </pic:pic>
              </a:graphicData>
            </a:graphic>
          </wp:inline>
        </w:drawing>
      </w:r>
    </w:p>
    <w:p w14:paraId="4001AEFA" w14:textId="43DA1D71" w:rsidR="00D4003D" w:rsidRDefault="00D4003D" w:rsidP="00D4003D">
      <w:pPr>
        <w:pStyle w:val="Heading3"/>
        <w:rPr>
          <w:lang w:val="en-US"/>
        </w:rPr>
      </w:pPr>
      <w:r>
        <w:rPr>
          <w:lang w:val="en-US"/>
        </w:rPr>
        <w:lastRenderedPageBreak/>
        <w:t>SHAP Over Time</w:t>
      </w:r>
    </w:p>
    <w:p w14:paraId="63A15A7E" w14:textId="2230AA4A" w:rsidR="00D4003D" w:rsidRDefault="00D4003D" w:rsidP="002F367E">
      <w:pPr>
        <w:rPr>
          <w:lang w:val="en-US"/>
        </w:rPr>
      </w:pPr>
      <w:r>
        <w:rPr>
          <w:noProof/>
          <w:lang w:val="en-US"/>
        </w:rPr>
        <w:drawing>
          <wp:inline distT="0" distB="0" distL="0" distR="0" wp14:anchorId="756C0E1B" wp14:editId="58F74C22">
            <wp:extent cx="5400000" cy="5529510"/>
            <wp:effectExtent l="0" t="0" r="0" b="0"/>
            <wp:docPr id="1938880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5529510"/>
                    </a:xfrm>
                    <a:prstGeom prst="rect">
                      <a:avLst/>
                    </a:prstGeom>
                    <a:noFill/>
                  </pic:spPr>
                </pic:pic>
              </a:graphicData>
            </a:graphic>
          </wp:inline>
        </w:drawing>
      </w:r>
    </w:p>
    <w:p w14:paraId="3BE23478" w14:textId="77777777" w:rsidR="00C35FC7" w:rsidRDefault="00C35FC7" w:rsidP="002F367E">
      <w:pPr>
        <w:rPr>
          <w:lang w:val="en-US"/>
        </w:rPr>
      </w:pPr>
    </w:p>
    <w:p w14:paraId="312BCF70" w14:textId="77777777" w:rsidR="00C35FC7" w:rsidRDefault="00C35FC7" w:rsidP="002F367E">
      <w:pPr>
        <w:rPr>
          <w:lang w:val="en-US"/>
        </w:rPr>
      </w:pPr>
    </w:p>
    <w:sectPr w:rsidR="00C35FC7" w:rsidSect="001B3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2D6"/>
    <w:multiLevelType w:val="multilevel"/>
    <w:tmpl w:val="50D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2484"/>
    <w:multiLevelType w:val="multilevel"/>
    <w:tmpl w:val="211E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62F1E"/>
    <w:multiLevelType w:val="multilevel"/>
    <w:tmpl w:val="7DF4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877A4"/>
    <w:multiLevelType w:val="multilevel"/>
    <w:tmpl w:val="4A82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F05B2"/>
    <w:multiLevelType w:val="multilevel"/>
    <w:tmpl w:val="579C6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3787F"/>
    <w:multiLevelType w:val="hybridMultilevel"/>
    <w:tmpl w:val="E70AE81C"/>
    <w:lvl w:ilvl="0" w:tplc="6B424C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BB5CA6"/>
    <w:multiLevelType w:val="multilevel"/>
    <w:tmpl w:val="145E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559A4"/>
    <w:multiLevelType w:val="multilevel"/>
    <w:tmpl w:val="73F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47BCD"/>
    <w:multiLevelType w:val="multilevel"/>
    <w:tmpl w:val="544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973F2"/>
    <w:multiLevelType w:val="multilevel"/>
    <w:tmpl w:val="C760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B6F19"/>
    <w:multiLevelType w:val="hybridMultilevel"/>
    <w:tmpl w:val="E1CE40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850BA1"/>
    <w:multiLevelType w:val="multilevel"/>
    <w:tmpl w:val="A5D6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240CA"/>
    <w:multiLevelType w:val="hybridMultilevel"/>
    <w:tmpl w:val="A9409108"/>
    <w:lvl w:ilvl="0" w:tplc="A4BAD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9281FAF"/>
    <w:multiLevelType w:val="hybridMultilevel"/>
    <w:tmpl w:val="C636A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F033F"/>
    <w:multiLevelType w:val="multilevel"/>
    <w:tmpl w:val="4B36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149EE"/>
    <w:multiLevelType w:val="multilevel"/>
    <w:tmpl w:val="024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E4558"/>
    <w:multiLevelType w:val="multilevel"/>
    <w:tmpl w:val="0D9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F2EE3"/>
    <w:multiLevelType w:val="multilevel"/>
    <w:tmpl w:val="024E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640D5"/>
    <w:multiLevelType w:val="hybridMultilevel"/>
    <w:tmpl w:val="6D04D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5567C0"/>
    <w:multiLevelType w:val="hybridMultilevel"/>
    <w:tmpl w:val="119AC5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46F426B"/>
    <w:multiLevelType w:val="multilevel"/>
    <w:tmpl w:val="A228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D3232"/>
    <w:multiLevelType w:val="multilevel"/>
    <w:tmpl w:val="EC96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402D1"/>
    <w:multiLevelType w:val="multilevel"/>
    <w:tmpl w:val="7070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A6379"/>
    <w:multiLevelType w:val="multilevel"/>
    <w:tmpl w:val="ADC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F4B88"/>
    <w:multiLevelType w:val="multilevel"/>
    <w:tmpl w:val="C4C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669DA"/>
    <w:multiLevelType w:val="multilevel"/>
    <w:tmpl w:val="4CDC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B58C6"/>
    <w:multiLevelType w:val="hybridMultilevel"/>
    <w:tmpl w:val="E65283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E87FD2"/>
    <w:multiLevelType w:val="multilevel"/>
    <w:tmpl w:val="BD003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2430D1"/>
    <w:multiLevelType w:val="multilevel"/>
    <w:tmpl w:val="0DF60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A315A3"/>
    <w:multiLevelType w:val="multilevel"/>
    <w:tmpl w:val="651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27051"/>
    <w:multiLevelType w:val="hybridMultilevel"/>
    <w:tmpl w:val="3F46F198"/>
    <w:lvl w:ilvl="0" w:tplc="815E784A">
      <w:start w:val="33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B24196"/>
    <w:multiLevelType w:val="hybridMultilevel"/>
    <w:tmpl w:val="AB7C49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41520E"/>
    <w:multiLevelType w:val="multilevel"/>
    <w:tmpl w:val="4186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A127D"/>
    <w:multiLevelType w:val="multilevel"/>
    <w:tmpl w:val="E70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9A68B8"/>
    <w:multiLevelType w:val="multilevel"/>
    <w:tmpl w:val="5E26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F31E7F"/>
    <w:multiLevelType w:val="multilevel"/>
    <w:tmpl w:val="439C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377D6C"/>
    <w:multiLevelType w:val="hybridMultilevel"/>
    <w:tmpl w:val="E76EEBD2"/>
    <w:lvl w:ilvl="0" w:tplc="2D544F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290535D"/>
    <w:multiLevelType w:val="multilevel"/>
    <w:tmpl w:val="994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566A93"/>
    <w:multiLevelType w:val="multilevel"/>
    <w:tmpl w:val="91D0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77B82"/>
    <w:multiLevelType w:val="multilevel"/>
    <w:tmpl w:val="04EE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E15BB3"/>
    <w:multiLevelType w:val="multilevel"/>
    <w:tmpl w:val="67C8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E8648F"/>
    <w:multiLevelType w:val="hybridMultilevel"/>
    <w:tmpl w:val="991C55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EB5CEF"/>
    <w:multiLevelType w:val="hybridMultilevel"/>
    <w:tmpl w:val="682A81EE"/>
    <w:lvl w:ilvl="0" w:tplc="4C54B5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79115067">
    <w:abstractNumId w:val="27"/>
  </w:num>
  <w:num w:numId="2" w16cid:durableId="219899408">
    <w:abstractNumId w:val="1"/>
  </w:num>
  <w:num w:numId="3" w16cid:durableId="615523700">
    <w:abstractNumId w:val="25"/>
  </w:num>
  <w:num w:numId="4" w16cid:durableId="1453477270">
    <w:abstractNumId w:val="9"/>
  </w:num>
  <w:num w:numId="5" w16cid:durableId="1703048344">
    <w:abstractNumId w:val="17"/>
  </w:num>
  <w:num w:numId="6" w16cid:durableId="587689143">
    <w:abstractNumId w:val="39"/>
  </w:num>
  <w:num w:numId="7" w16cid:durableId="1605115487">
    <w:abstractNumId w:val="2"/>
  </w:num>
  <w:num w:numId="8" w16cid:durableId="680086415">
    <w:abstractNumId w:val="23"/>
  </w:num>
  <w:num w:numId="9" w16cid:durableId="1132334047">
    <w:abstractNumId w:val="33"/>
  </w:num>
  <w:num w:numId="10" w16cid:durableId="1396120777">
    <w:abstractNumId w:val="22"/>
  </w:num>
  <w:num w:numId="11" w16cid:durableId="992493303">
    <w:abstractNumId w:val="6"/>
  </w:num>
  <w:num w:numId="12" w16cid:durableId="1387950568">
    <w:abstractNumId w:val="37"/>
  </w:num>
  <w:num w:numId="13" w16cid:durableId="870462449">
    <w:abstractNumId w:val="14"/>
  </w:num>
  <w:num w:numId="14" w16cid:durableId="556818088">
    <w:abstractNumId w:val="24"/>
  </w:num>
  <w:num w:numId="15" w16cid:durableId="812478334">
    <w:abstractNumId w:val="11"/>
  </w:num>
  <w:num w:numId="16" w16cid:durableId="384835726">
    <w:abstractNumId w:val="4"/>
  </w:num>
  <w:num w:numId="17" w16cid:durableId="1151293773">
    <w:abstractNumId w:val="16"/>
  </w:num>
  <w:num w:numId="18" w16cid:durableId="1721902156">
    <w:abstractNumId w:val="28"/>
  </w:num>
  <w:num w:numId="19" w16cid:durableId="606894076">
    <w:abstractNumId w:val="35"/>
  </w:num>
  <w:num w:numId="20" w16cid:durableId="1125273845">
    <w:abstractNumId w:val="38"/>
  </w:num>
  <w:num w:numId="21" w16cid:durableId="604582743">
    <w:abstractNumId w:val="30"/>
  </w:num>
  <w:num w:numId="22" w16cid:durableId="1671251858">
    <w:abstractNumId w:val="40"/>
  </w:num>
  <w:num w:numId="23" w16cid:durableId="1197890675">
    <w:abstractNumId w:val="10"/>
  </w:num>
  <w:num w:numId="24" w16cid:durableId="1829712887">
    <w:abstractNumId w:val="18"/>
  </w:num>
  <w:num w:numId="25" w16cid:durableId="299261941">
    <w:abstractNumId w:val="36"/>
  </w:num>
  <w:num w:numId="26" w16cid:durableId="88354432">
    <w:abstractNumId w:val="42"/>
  </w:num>
  <w:num w:numId="27" w16cid:durableId="1244337271">
    <w:abstractNumId w:val="12"/>
  </w:num>
  <w:num w:numId="28" w16cid:durableId="322467638">
    <w:abstractNumId w:val="5"/>
  </w:num>
  <w:num w:numId="29" w16cid:durableId="1375159362">
    <w:abstractNumId w:val="41"/>
  </w:num>
  <w:num w:numId="30" w16cid:durableId="909848486">
    <w:abstractNumId w:val="8"/>
  </w:num>
  <w:num w:numId="31" w16cid:durableId="402221449">
    <w:abstractNumId w:val="26"/>
  </w:num>
  <w:num w:numId="32" w16cid:durableId="1568686288">
    <w:abstractNumId w:val="20"/>
  </w:num>
  <w:num w:numId="33" w16cid:durableId="1125346869">
    <w:abstractNumId w:val="15"/>
  </w:num>
  <w:num w:numId="34" w16cid:durableId="1295988949">
    <w:abstractNumId w:val="21"/>
  </w:num>
  <w:num w:numId="35" w16cid:durableId="1204438367">
    <w:abstractNumId w:val="7"/>
  </w:num>
  <w:num w:numId="36" w16cid:durableId="1337610406">
    <w:abstractNumId w:val="0"/>
  </w:num>
  <w:num w:numId="37" w16cid:durableId="1308780629">
    <w:abstractNumId w:val="29"/>
  </w:num>
  <w:num w:numId="38" w16cid:durableId="1845317358">
    <w:abstractNumId w:val="3"/>
  </w:num>
  <w:num w:numId="39" w16cid:durableId="1580168338">
    <w:abstractNumId w:val="31"/>
  </w:num>
  <w:num w:numId="40" w16cid:durableId="1510683273">
    <w:abstractNumId w:val="13"/>
  </w:num>
  <w:num w:numId="41" w16cid:durableId="32775060">
    <w:abstractNumId w:val="19"/>
  </w:num>
  <w:num w:numId="42" w16cid:durableId="1081291528">
    <w:abstractNumId w:val="32"/>
  </w:num>
  <w:num w:numId="43" w16cid:durableId="21179415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2E"/>
    <w:rsid w:val="0001747A"/>
    <w:rsid w:val="00037153"/>
    <w:rsid w:val="00056B0F"/>
    <w:rsid w:val="00077827"/>
    <w:rsid w:val="000A7360"/>
    <w:rsid w:val="000B510D"/>
    <w:rsid w:val="000C6DA8"/>
    <w:rsid w:val="000D4B6A"/>
    <w:rsid w:val="001102C8"/>
    <w:rsid w:val="00120B0B"/>
    <w:rsid w:val="00126971"/>
    <w:rsid w:val="001439D8"/>
    <w:rsid w:val="0015581C"/>
    <w:rsid w:val="0018099F"/>
    <w:rsid w:val="00181957"/>
    <w:rsid w:val="001A685B"/>
    <w:rsid w:val="001B3A8B"/>
    <w:rsid w:val="001C0E1D"/>
    <w:rsid w:val="001C2CBE"/>
    <w:rsid w:val="001D36D4"/>
    <w:rsid w:val="001D565B"/>
    <w:rsid w:val="001D5E7A"/>
    <w:rsid w:val="001F1ED7"/>
    <w:rsid w:val="001F3C79"/>
    <w:rsid w:val="00202CC2"/>
    <w:rsid w:val="00223D6C"/>
    <w:rsid w:val="00234D44"/>
    <w:rsid w:val="002445A2"/>
    <w:rsid w:val="00286371"/>
    <w:rsid w:val="00286610"/>
    <w:rsid w:val="00286C08"/>
    <w:rsid w:val="00292085"/>
    <w:rsid w:val="002A1647"/>
    <w:rsid w:val="002A640B"/>
    <w:rsid w:val="002B3707"/>
    <w:rsid w:val="002B5D66"/>
    <w:rsid w:val="002E4A26"/>
    <w:rsid w:val="002E5FC9"/>
    <w:rsid w:val="002F367E"/>
    <w:rsid w:val="00304B9F"/>
    <w:rsid w:val="00306CE6"/>
    <w:rsid w:val="003129A9"/>
    <w:rsid w:val="0033775B"/>
    <w:rsid w:val="00346051"/>
    <w:rsid w:val="00380C8C"/>
    <w:rsid w:val="003832D8"/>
    <w:rsid w:val="003A3629"/>
    <w:rsid w:val="003B02C6"/>
    <w:rsid w:val="003B1038"/>
    <w:rsid w:val="003D2BA3"/>
    <w:rsid w:val="003F3D3A"/>
    <w:rsid w:val="0043341F"/>
    <w:rsid w:val="00434B95"/>
    <w:rsid w:val="00454C61"/>
    <w:rsid w:val="00466A8E"/>
    <w:rsid w:val="004703A4"/>
    <w:rsid w:val="004A4839"/>
    <w:rsid w:val="004A6B10"/>
    <w:rsid w:val="004B36AA"/>
    <w:rsid w:val="004D6BBC"/>
    <w:rsid w:val="00502336"/>
    <w:rsid w:val="005262A2"/>
    <w:rsid w:val="005357DB"/>
    <w:rsid w:val="00554B41"/>
    <w:rsid w:val="00560BD5"/>
    <w:rsid w:val="005831D9"/>
    <w:rsid w:val="005837E2"/>
    <w:rsid w:val="005A1778"/>
    <w:rsid w:val="005D21D0"/>
    <w:rsid w:val="005D2F04"/>
    <w:rsid w:val="005E0FAD"/>
    <w:rsid w:val="005E293B"/>
    <w:rsid w:val="006113CB"/>
    <w:rsid w:val="00615353"/>
    <w:rsid w:val="00617F7C"/>
    <w:rsid w:val="006245A2"/>
    <w:rsid w:val="00627A2E"/>
    <w:rsid w:val="00633E8D"/>
    <w:rsid w:val="00635859"/>
    <w:rsid w:val="00641A14"/>
    <w:rsid w:val="006566FE"/>
    <w:rsid w:val="00674B5B"/>
    <w:rsid w:val="00690664"/>
    <w:rsid w:val="006E0CC1"/>
    <w:rsid w:val="0072514F"/>
    <w:rsid w:val="00742656"/>
    <w:rsid w:val="0075168C"/>
    <w:rsid w:val="00761B26"/>
    <w:rsid w:val="0076526A"/>
    <w:rsid w:val="0077671B"/>
    <w:rsid w:val="00780FAD"/>
    <w:rsid w:val="007A591B"/>
    <w:rsid w:val="007B1ABD"/>
    <w:rsid w:val="007C67B2"/>
    <w:rsid w:val="007D00D9"/>
    <w:rsid w:val="007D12B2"/>
    <w:rsid w:val="007E150D"/>
    <w:rsid w:val="007F1223"/>
    <w:rsid w:val="007F1764"/>
    <w:rsid w:val="007F596D"/>
    <w:rsid w:val="007F777D"/>
    <w:rsid w:val="0080549A"/>
    <w:rsid w:val="008170EA"/>
    <w:rsid w:val="00824B5C"/>
    <w:rsid w:val="00835F1B"/>
    <w:rsid w:val="00850E2C"/>
    <w:rsid w:val="00856B1B"/>
    <w:rsid w:val="008621A5"/>
    <w:rsid w:val="0087661F"/>
    <w:rsid w:val="00894760"/>
    <w:rsid w:val="008A55B1"/>
    <w:rsid w:val="008A7ECB"/>
    <w:rsid w:val="008B7DA0"/>
    <w:rsid w:val="008C42C7"/>
    <w:rsid w:val="008D2C82"/>
    <w:rsid w:val="008F161E"/>
    <w:rsid w:val="009210E4"/>
    <w:rsid w:val="00924FA4"/>
    <w:rsid w:val="0094723B"/>
    <w:rsid w:val="00960DB9"/>
    <w:rsid w:val="0098721D"/>
    <w:rsid w:val="009D29BF"/>
    <w:rsid w:val="00A1222D"/>
    <w:rsid w:val="00A203E1"/>
    <w:rsid w:val="00A314D6"/>
    <w:rsid w:val="00A36A96"/>
    <w:rsid w:val="00A37659"/>
    <w:rsid w:val="00A4224F"/>
    <w:rsid w:val="00A632E5"/>
    <w:rsid w:val="00AC1406"/>
    <w:rsid w:val="00AF07BA"/>
    <w:rsid w:val="00B162AD"/>
    <w:rsid w:val="00B46470"/>
    <w:rsid w:val="00B71D14"/>
    <w:rsid w:val="00BA3773"/>
    <w:rsid w:val="00BA7F64"/>
    <w:rsid w:val="00BB24E1"/>
    <w:rsid w:val="00BB25C5"/>
    <w:rsid w:val="00BB6B08"/>
    <w:rsid w:val="00BB7493"/>
    <w:rsid w:val="00BC4FED"/>
    <w:rsid w:val="00BC626E"/>
    <w:rsid w:val="00C14B95"/>
    <w:rsid w:val="00C208FF"/>
    <w:rsid w:val="00C35FC7"/>
    <w:rsid w:val="00C502F8"/>
    <w:rsid w:val="00C55817"/>
    <w:rsid w:val="00C70FA8"/>
    <w:rsid w:val="00C81D50"/>
    <w:rsid w:val="00C979CD"/>
    <w:rsid w:val="00CC7A80"/>
    <w:rsid w:val="00CD24EA"/>
    <w:rsid w:val="00CD3C78"/>
    <w:rsid w:val="00CF1D3B"/>
    <w:rsid w:val="00CF2494"/>
    <w:rsid w:val="00CF3DC2"/>
    <w:rsid w:val="00D1288A"/>
    <w:rsid w:val="00D36B8B"/>
    <w:rsid w:val="00D4003D"/>
    <w:rsid w:val="00D64FB8"/>
    <w:rsid w:val="00D76E3E"/>
    <w:rsid w:val="00DA64DD"/>
    <w:rsid w:val="00DD06DD"/>
    <w:rsid w:val="00DF0550"/>
    <w:rsid w:val="00E024E7"/>
    <w:rsid w:val="00E21BB1"/>
    <w:rsid w:val="00E523FB"/>
    <w:rsid w:val="00E807CE"/>
    <w:rsid w:val="00E975FA"/>
    <w:rsid w:val="00EB5343"/>
    <w:rsid w:val="00EC485B"/>
    <w:rsid w:val="00ED0944"/>
    <w:rsid w:val="00F02D50"/>
    <w:rsid w:val="00F352E6"/>
    <w:rsid w:val="00F86E30"/>
    <w:rsid w:val="00F92C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177F"/>
  <w15:chartTrackingRefBased/>
  <w15:docId w15:val="{56770008-B390-412D-BF3F-1857A56D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A2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27A2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27A2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27A2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27A2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27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A2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27A2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27A2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27A2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27A2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27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A2E"/>
    <w:rPr>
      <w:rFonts w:eastAsiaTheme="majorEastAsia" w:cstheme="majorBidi"/>
      <w:color w:val="272727" w:themeColor="text1" w:themeTint="D8"/>
    </w:rPr>
  </w:style>
  <w:style w:type="paragraph" w:styleId="Title">
    <w:name w:val="Title"/>
    <w:basedOn w:val="Normal"/>
    <w:next w:val="Normal"/>
    <w:link w:val="TitleChar"/>
    <w:uiPriority w:val="10"/>
    <w:qFormat/>
    <w:rsid w:val="00627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A2E"/>
    <w:pPr>
      <w:spacing w:before="160"/>
      <w:jc w:val="center"/>
    </w:pPr>
    <w:rPr>
      <w:i/>
      <w:iCs/>
      <w:color w:val="404040" w:themeColor="text1" w:themeTint="BF"/>
    </w:rPr>
  </w:style>
  <w:style w:type="character" w:customStyle="1" w:styleId="QuoteChar">
    <w:name w:val="Quote Char"/>
    <w:basedOn w:val="DefaultParagraphFont"/>
    <w:link w:val="Quote"/>
    <w:uiPriority w:val="29"/>
    <w:rsid w:val="00627A2E"/>
    <w:rPr>
      <w:i/>
      <w:iCs/>
      <w:color w:val="404040" w:themeColor="text1" w:themeTint="BF"/>
    </w:rPr>
  </w:style>
  <w:style w:type="paragraph" w:styleId="ListParagraph">
    <w:name w:val="List Paragraph"/>
    <w:basedOn w:val="Normal"/>
    <w:uiPriority w:val="34"/>
    <w:qFormat/>
    <w:rsid w:val="00627A2E"/>
    <w:pPr>
      <w:ind w:left="720"/>
      <w:contextualSpacing/>
    </w:pPr>
  </w:style>
  <w:style w:type="character" w:styleId="IntenseEmphasis">
    <w:name w:val="Intense Emphasis"/>
    <w:basedOn w:val="DefaultParagraphFont"/>
    <w:uiPriority w:val="21"/>
    <w:qFormat/>
    <w:rsid w:val="00627A2E"/>
    <w:rPr>
      <w:i/>
      <w:iCs/>
      <w:color w:val="365F91" w:themeColor="accent1" w:themeShade="BF"/>
    </w:rPr>
  </w:style>
  <w:style w:type="paragraph" w:styleId="IntenseQuote">
    <w:name w:val="Intense Quote"/>
    <w:basedOn w:val="Normal"/>
    <w:next w:val="Normal"/>
    <w:link w:val="IntenseQuoteChar"/>
    <w:uiPriority w:val="30"/>
    <w:qFormat/>
    <w:rsid w:val="00627A2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27A2E"/>
    <w:rPr>
      <w:i/>
      <w:iCs/>
      <w:color w:val="365F91" w:themeColor="accent1" w:themeShade="BF"/>
    </w:rPr>
  </w:style>
  <w:style w:type="character" w:styleId="IntenseReference">
    <w:name w:val="Intense Reference"/>
    <w:basedOn w:val="DefaultParagraphFont"/>
    <w:uiPriority w:val="32"/>
    <w:qFormat/>
    <w:rsid w:val="00627A2E"/>
    <w:rPr>
      <w:b/>
      <w:bCs/>
      <w:smallCaps/>
      <w:color w:val="365F91" w:themeColor="accent1" w:themeShade="BF"/>
      <w:spacing w:val="5"/>
    </w:rPr>
  </w:style>
  <w:style w:type="table" w:styleId="TableGrid">
    <w:name w:val="Table Grid"/>
    <w:basedOn w:val="TableNormal"/>
    <w:uiPriority w:val="59"/>
    <w:rsid w:val="003A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22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E293B"/>
    <w:rPr>
      <w:b/>
      <w:bCs/>
    </w:rPr>
  </w:style>
  <w:style w:type="table" w:styleId="PlainTable1">
    <w:name w:val="Plain Table 1"/>
    <w:basedOn w:val="TableNormal"/>
    <w:uiPriority w:val="41"/>
    <w:rsid w:val="005E29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F07BA"/>
    <w:rPr>
      <w:color w:val="666666"/>
    </w:rPr>
  </w:style>
  <w:style w:type="character" w:styleId="Hyperlink">
    <w:name w:val="Hyperlink"/>
    <w:basedOn w:val="DefaultParagraphFont"/>
    <w:uiPriority w:val="99"/>
    <w:unhideWhenUsed/>
    <w:rsid w:val="00641A14"/>
    <w:rPr>
      <w:color w:val="0000FF" w:themeColor="hyperlink"/>
      <w:u w:val="single"/>
    </w:rPr>
  </w:style>
  <w:style w:type="character" w:styleId="UnresolvedMention">
    <w:name w:val="Unresolved Mention"/>
    <w:basedOn w:val="DefaultParagraphFont"/>
    <w:uiPriority w:val="99"/>
    <w:semiHidden/>
    <w:unhideWhenUsed/>
    <w:rsid w:val="00641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8087">
      <w:bodyDiv w:val="1"/>
      <w:marLeft w:val="0"/>
      <w:marRight w:val="0"/>
      <w:marTop w:val="0"/>
      <w:marBottom w:val="0"/>
      <w:divBdr>
        <w:top w:val="none" w:sz="0" w:space="0" w:color="auto"/>
        <w:left w:val="none" w:sz="0" w:space="0" w:color="auto"/>
        <w:bottom w:val="none" w:sz="0" w:space="0" w:color="auto"/>
        <w:right w:val="none" w:sz="0" w:space="0" w:color="auto"/>
      </w:divBdr>
    </w:div>
    <w:div w:id="73749684">
      <w:bodyDiv w:val="1"/>
      <w:marLeft w:val="0"/>
      <w:marRight w:val="0"/>
      <w:marTop w:val="0"/>
      <w:marBottom w:val="0"/>
      <w:divBdr>
        <w:top w:val="none" w:sz="0" w:space="0" w:color="auto"/>
        <w:left w:val="none" w:sz="0" w:space="0" w:color="auto"/>
        <w:bottom w:val="none" w:sz="0" w:space="0" w:color="auto"/>
        <w:right w:val="none" w:sz="0" w:space="0" w:color="auto"/>
      </w:divBdr>
    </w:div>
    <w:div w:id="126440779">
      <w:bodyDiv w:val="1"/>
      <w:marLeft w:val="0"/>
      <w:marRight w:val="0"/>
      <w:marTop w:val="0"/>
      <w:marBottom w:val="0"/>
      <w:divBdr>
        <w:top w:val="none" w:sz="0" w:space="0" w:color="auto"/>
        <w:left w:val="none" w:sz="0" w:space="0" w:color="auto"/>
        <w:bottom w:val="none" w:sz="0" w:space="0" w:color="auto"/>
        <w:right w:val="none" w:sz="0" w:space="0" w:color="auto"/>
      </w:divBdr>
    </w:div>
    <w:div w:id="140772788">
      <w:bodyDiv w:val="1"/>
      <w:marLeft w:val="0"/>
      <w:marRight w:val="0"/>
      <w:marTop w:val="0"/>
      <w:marBottom w:val="0"/>
      <w:divBdr>
        <w:top w:val="none" w:sz="0" w:space="0" w:color="auto"/>
        <w:left w:val="none" w:sz="0" w:space="0" w:color="auto"/>
        <w:bottom w:val="none" w:sz="0" w:space="0" w:color="auto"/>
        <w:right w:val="none" w:sz="0" w:space="0" w:color="auto"/>
      </w:divBdr>
    </w:div>
    <w:div w:id="170340298">
      <w:bodyDiv w:val="1"/>
      <w:marLeft w:val="0"/>
      <w:marRight w:val="0"/>
      <w:marTop w:val="0"/>
      <w:marBottom w:val="0"/>
      <w:divBdr>
        <w:top w:val="none" w:sz="0" w:space="0" w:color="auto"/>
        <w:left w:val="none" w:sz="0" w:space="0" w:color="auto"/>
        <w:bottom w:val="none" w:sz="0" w:space="0" w:color="auto"/>
        <w:right w:val="none" w:sz="0" w:space="0" w:color="auto"/>
      </w:divBdr>
    </w:div>
    <w:div w:id="178200466">
      <w:bodyDiv w:val="1"/>
      <w:marLeft w:val="0"/>
      <w:marRight w:val="0"/>
      <w:marTop w:val="0"/>
      <w:marBottom w:val="0"/>
      <w:divBdr>
        <w:top w:val="none" w:sz="0" w:space="0" w:color="auto"/>
        <w:left w:val="none" w:sz="0" w:space="0" w:color="auto"/>
        <w:bottom w:val="none" w:sz="0" w:space="0" w:color="auto"/>
        <w:right w:val="none" w:sz="0" w:space="0" w:color="auto"/>
      </w:divBdr>
    </w:div>
    <w:div w:id="202909723">
      <w:bodyDiv w:val="1"/>
      <w:marLeft w:val="0"/>
      <w:marRight w:val="0"/>
      <w:marTop w:val="0"/>
      <w:marBottom w:val="0"/>
      <w:divBdr>
        <w:top w:val="none" w:sz="0" w:space="0" w:color="auto"/>
        <w:left w:val="none" w:sz="0" w:space="0" w:color="auto"/>
        <w:bottom w:val="none" w:sz="0" w:space="0" w:color="auto"/>
        <w:right w:val="none" w:sz="0" w:space="0" w:color="auto"/>
      </w:divBdr>
    </w:div>
    <w:div w:id="235828162">
      <w:bodyDiv w:val="1"/>
      <w:marLeft w:val="0"/>
      <w:marRight w:val="0"/>
      <w:marTop w:val="0"/>
      <w:marBottom w:val="0"/>
      <w:divBdr>
        <w:top w:val="none" w:sz="0" w:space="0" w:color="auto"/>
        <w:left w:val="none" w:sz="0" w:space="0" w:color="auto"/>
        <w:bottom w:val="none" w:sz="0" w:space="0" w:color="auto"/>
        <w:right w:val="none" w:sz="0" w:space="0" w:color="auto"/>
      </w:divBdr>
    </w:div>
    <w:div w:id="238490481">
      <w:bodyDiv w:val="1"/>
      <w:marLeft w:val="0"/>
      <w:marRight w:val="0"/>
      <w:marTop w:val="0"/>
      <w:marBottom w:val="0"/>
      <w:divBdr>
        <w:top w:val="none" w:sz="0" w:space="0" w:color="auto"/>
        <w:left w:val="none" w:sz="0" w:space="0" w:color="auto"/>
        <w:bottom w:val="none" w:sz="0" w:space="0" w:color="auto"/>
        <w:right w:val="none" w:sz="0" w:space="0" w:color="auto"/>
      </w:divBdr>
    </w:div>
    <w:div w:id="244847995">
      <w:bodyDiv w:val="1"/>
      <w:marLeft w:val="0"/>
      <w:marRight w:val="0"/>
      <w:marTop w:val="0"/>
      <w:marBottom w:val="0"/>
      <w:divBdr>
        <w:top w:val="none" w:sz="0" w:space="0" w:color="auto"/>
        <w:left w:val="none" w:sz="0" w:space="0" w:color="auto"/>
        <w:bottom w:val="none" w:sz="0" w:space="0" w:color="auto"/>
        <w:right w:val="none" w:sz="0" w:space="0" w:color="auto"/>
      </w:divBdr>
    </w:div>
    <w:div w:id="283581656">
      <w:bodyDiv w:val="1"/>
      <w:marLeft w:val="0"/>
      <w:marRight w:val="0"/>
      <w:marTop w:val="0"/>
      <w:marBottom w:val="0"/>
      <w:divBdr>
        <w:top w:val="none" w:sz="0" w:space="0" w:color="auto"/>
        <w:left w:val="none" w:sz="0" w:space="0" w:color="auto"/>
        <w:bottom w:val="none" w:sz="0" w:space="0" w:color="auto"/>
        <w:right w:val="none" w:sz="0" w:space="0" w:color="auto"/>
      </w:divBdr>
    </w:div>
    <w:div w:id="285739568">
      <w:bodyDiv w:val="1"/>
      <w:marLeft w:val="0"/>
      <w:marRight w:val="0"/>
      <w:marTop w:val="0"/>
      <w:marBottom w:val="0"/>
      <w:divBdr>
        <w:top w:val="none" w:sz="0" w:space="0" w:color="auto"/>
        <w:left w:val="none" w:sz="0" w:space="0" w:color="auto"/>
        <w:bottom w:val="none" w:sz="0" w:space="0" w:color="auto"/>
        <w:right w:val="none" w:sz="0" w:space="0" w:color="auto"/>
      </w:divBdr>
    </w:div>
    <w:div w:id="305091385">
      <w:bodyDiv w:val="1"/>
      <w:marLeft w:val="0"/>
      <w:marRight w:val="0"/>
      <w:marTop w:val="0"/>
      <w:marBottom w:val="0"/>
      <w:divBdr>
        <w:top w:val="none" w:sz="0" w:space="0" w:color="auto"/>
        <w:left w:val="none" w:sz="0" w:space="0" w:color="auto"/>
        <w:bottom w:val="none" w:sz="0" w:space="0" w:color="auto"/>
        <w:right w:val="none" w:sz="0" w:space="0" w:color="auto"/>
      </w:divBdr>
    </w:div>
    <w:div w:id="326519849">
      <w:bodyDiv w:val="1"/>
      <w:marLeft w:val="0"/>
      <w:marRight w:val="0"/>
      <w:marTop w:val="0"/>
      <w:marBottom w:val="0"/>
      <w:divBdr>
        <w:top w:val="none" w:sz="0" w:space="0" w:color="auto"/>
        <w:left w:val="none" w:sz="0" w:space="0" w:color="auto"/>
        <w:bottom w:val="none" w:sz="0" w:space="0" w:color="auto"/>
        <w:right w:val="none" w:sz="0" w:space="0" w:color="auto"/>
      </w:divBdr>
    </w:div>
    <w:div w:id="343284645">
      <w:bodyDiv w:val="1"/>
      <w:marLeft w:val="0"/>
      <w:marRight w:val="0"/>
      <w:marTop w:val="0"/>
      <w:marBottom w:val="0"/>
      <w:divBdr>
        <w:top w:val="none" w:sz="0" w:space="0" w:color="auto"/>
        <w:left w:val="none" w:sz="0" w:space="0" w:color="auto"/>
        <w:bottom w:val="none" w:sz="0" w:space="0" w:color="auto"/>
        <w:right w:val="none" w:sz="0" w:space="0" w:color="auto"/>
      </w:divBdr>
    </w:div>
    <w:div w:id="346637927">
      <w:bodyDiv w:val="1"/>
      <w:marLeft w:val="0"/>
      <w:marRight w:val="0"/>
      <w:marTop w:val="0"/>
      <w:marBottom w:val="0"/>
      <w:divBdr>
        <w:top w:val="none" w:sz="0" w:space="0" w:color="auto"/>
        <w:left w:val="none" w:sz="0" w:space="0" w:color="auto"/>
        <w:bottom w:val="none" w:sz="0" w:space="0" w:color="auto"/>
        <w:right w:val="none" w:sz="0" w:space="0" w:color="auto"/>
      </w:divBdr>
    </w:div>
    <w:div w:id="355234454">
      <w:bodyDiv w:val="1"/>
      <w:marLeft w:val="0"/>
      <w:marRight w:val="0"/>
      <w:marTop w:val="0"/>
      <w:marBottom w:val="0"/>
      <w:divBdr>
        <w:top w:val="none" w:sz="0" w:space="0" w:color="auto"/>
        <w:left w:val="none" w:sz="0" w:space="0" w:color="auto"/>
        <w:bottom w:val="none" w:sz="0" w:space="0" w:color="auto"/>
        <w:right w:val="none" w:sz="0" w:space="0" w:color="auto"/>
      </w:divBdr>
    </w:div>
    <w:div w:id="363559751">
      <w:bodyDiv w:val="1"/>
      <w:marLeft w:val="0"/>
      <w:marRight w:val="0"/>
      <w:marTop w:val="0"/>
      <w:marBottom w:val="0"/>
      <w:divBdr>
        <w:top w:val="none" w:sz="0" w:space="0" w:color="auto"/>
        <w:left w:val="none" w:sz="0" w:space="0" w:color="auto"/>
        <w:bottom w:val="none" w:sz="0" w:space="0" w:color="auto"/>
        <w:right w:val="none" w:sz="0" w:space="0" w:color="auto"/>
      </w:divBdr>
    </w:div>
    <w:div w:id="368724832">
      <w:bodyDiv w:val="1"/>
      <w:marLeft w:val="0"/>
      <w:marRight w:val="0"/>
      <w:marTop w:val="0"/>
      <w:marBottom w:val="0"/>
      <w:divBdr>
        <w:top w:val="none" w:sz="0" w:space="0" w:color="auto"/>
        <w:left w:val="none" w:sz="0" w:space="0" w:color="auto"/>
        <w:bottom w:val="none" w:sz="0" w:space="0" w:color="auto"/>
        <w:right w:val="none" w:sz="0" w:space="0" w:color="auto"/>
      </w:divBdr>
    </w:div>
    <w:div w:id="425229160">
      <w:bodyDiv w:val="1"/>
      <w:marLeft w:val="0"/>
      <w:marRight w:val="0"/>
      <w:marTop w:val="0"/>
      <w:marBottom w:val="0"/>
      <w:divBdr>
        <w:top w:val="none" w:sz="0" w:space="0" w:color="auto"/>
        <w:left w:val="none" w:sz="0" w:space="0" w:color="auto"/>
        <w:bottom w:val="none" w:sz="0" w:space="0" w:color="auto"/>
        <w:right w:val="none" w:sz="0" w:space="0" w:color="auto"/>
      </w:divBdr>
    </w:div>
    <w:div w:id="439373959">
      <w:bodyDiv w:val="1"/>
      <w:marLeft w:val="0"/>
      <w:marRight w:val="0"/>
      <w:marTop w:val="0"/>
      <w:marBottom w:val="0"/>
      <w:divBdr>
        <w:top w:val="none" w:sz="0" w:space="0" w:color="auto"/>
        <w:left w:val="none" w:sz="0" w:space="0" w:color="auto"/>
        <w:bottom w:val="none" w:sz="0" w:space="0" w:color="auto"/>
        <w:right w:val="none" w:sz="0" w:space="0" w:color="auto"/>
      </w:divBdr>
    </w:div>
    <w:div w:id="441994227">
      <w:bodyDiv w:val="1"/>
      <w:marLeft w:val="0"/>
      <w:marRight w:val="0"/>
      <w:marTop w:val="0"/>
      <w:marBottom w:val="0"/>
      <w:divBdr>
        <w:top w:val="none" w:sz="0" w:space="0" w:color="auto"/>
        <w:left w:val="none" w:sz="0" w:space="0" w:color="auto"/>
        <w:bottom w:val="none" w:sz="0" w:space="0" w:color="auto"/>
        <w:right w:val="none" w:sz="0" w:space="0" w:color="auto"/>
      </w:divBdr>
    </w:div>
    <w:div w:id="457846097">
      <w:bodyDiv w:val="1"/>
      <w:marLeft w:val="0"/>
      <w:marRight w:val="0"/>
      <w:marTop w:val="0"/>
      <w:marBottom w:val="0"/>
      <w:divBdr>
        <w:top w:val="none" w:sz="0" w:space="0" w:color="auto"/>
        <w:left w:val="none" w:sz="0" w:space="0" w:color="auto"/>
        <w:bottom w:val="none" w:sz="0" w:space="0" w:color="auto"/>
        <w:right w:val="none" w:sz="0" w:space="0" w:color="auto"/>
      </w:divBdr>
    </w:div>
    <w:div w:id="478614362">
      <w:bodyDiv w:val="1"/>
      <w:marLeft w:val="0"/>
      <w:marRight w:val="0"/>
      <w:marTop w:val="0"/>
      <w:marBottom w:val="0"/>
      <w:divBdr>
        <w:top w:val="none" w:sz="0" w:space="0" w:color="auto"/>
        <w:left w:val="none" w:sz="0" w:space="0" w:color="auto"/>
        <w:bottom w:val="none" w:sz="0" w:space="0" w:color="auto"/>
        <w:right w:val="none" w:sz="0" w:space="0" w:color="auto"/>
      </w:divBdr>
    </w:div>
    <w:div w:id="483620599">
      <w:bodyDiv w:val="1"/>
      <w:marLeft w:val="0"/>
      <w:marRight w:val="0"/>
      <w:marTop w:val="0"/>
      <w:marBottom w:val="0"/>
      <w:divBdr>
        <w:top w:val="none" w:sz="0" w:space="0" w:color="auto"/>
        <w:left w:val="none" w:sz="0" w:space="0" w:color="auto"/>
        <w:bottom w:val="none" w:sz="0" w:space="0" w:color="auto"/>
        <w:right w:val="none" w:sz="0" w:space="0" w:color="auto"/>
      </w:divBdr>
    </w:div>
    <w:div w:id="498547512">
      <w:bodyDiv w:val="1"/>
      <w:marLeft w:val="0"/>
      <w:marRight w:val="0"/>
      <w:marTop w:val="0"/>
      <w:marBottom w:val="0"/>
      <w:divBdr>
        <w:top w:val="none" w:sz="0" w:space="0" w:color="auto"/>
        <w:left w:val="none" w:sz="0" w:space="0" w:color="auto"/>
        <w:bottom w:val="none" w:sz="0" w:space="0" w:color="auto"/>
        <w:right w:val="none" w:sz="0" w:space="0" w:color="auto"/>
      </w:divBdr>
    </w:div>
    <w:div w:id="582299755">
      <w:bodyDiv w:val="1"/>
      <w:marLeft w:val="0"/>
      <w:marRight w:val="0"/>
      <w:marTop w:val="0"/>
      <w:marBottom w:val="0"/>
      <w:divBdr>
        <w:top w:val="none" w:sz="0" w:space="0" w:color="auto"/>
        <w:left w:val="none" w:sz="0" w:space="0" w:color="auto"/>
        <w:bottom w:val="none" w:sz="0" w:space="0" w:color="auto"/>
        <w:right w:val="none" w:sz="0" w:space="0" w:color="auto"/>
      </w:divBdr>
    </w:div>
    <w:div w:id="656107335">
      <w:bodyDiv w:val="1"/>
      <w:marLeft w:val="0"/>
      <w:marRight w:val="0"/>
      <w:marTop w:val="0"/>
      <w:marBottom w:val="0"/>
      <w:divBdr>
        <w:top w:val="none" w:sz="0" w:space="0" w:color="auto"/>
        <w:left w:val="none" w:sz="0" w:space="0" w:color="auto"/>
        <w:bottom w:val="none" w:sz="0" w:space="0" w:color="auto"/>
        <w:right w:val="none" w:sz="0" w:space="0" w:color="auto"/>
      </w:divBdr>
    </w:div>
    <w:div w:id="665745774">
      <w:bodyDiv w:val="1"/>
      <w:marLeft w:val="0"/>
      <w:marRight w:val="0"/>
      <w:marTop w:val="0"/>
      <w:marBottom w:val="0"/>
      <w:divBdr>
        <w:top w:val="none" w:sz="0" w:space="0" w:color="auto"/>
        <w:left w:val="none" w:sz="0" w:space="0" w:color="auto"/>
        <w:bottom w:val="none" w:sz="0" w:space="0" w:color="auto"/>
        <w:right w:val="none" w:sz="0" w:space="0" w:color="auto"/>
      </w:divBdr>
    </w:div>
    <w:div w:id="667246794">
      <w:bodyDiv w:val="1"/>
      <w:marLeft w:val="0"/>
      <w:marRight w:val="0"/>
      <w:marTop w:val="0"/>
      <w:marBottom w:val="0"/>
      <w:divBdr>
        <w:top w:val="none" w:sz="0" w:space="0" w:color="auto"/>
        <w:left w:val="none" w:sz="0" w:space="0" w:color="auto"/>
        <w:bottom w:val="none" w:sz="0" w:space="0" w:color="auto"/>
        <w:right w:val="none" w:sz="0" w:space="0" w:color="auto"/>
      </w:divBdr>
    </w:div>
    <w:div w:id="671295511">
      <w:bodyDiv w:val="1"/>
      <w:marLeft w:val="0"/>
      <w:marRight w:val="0"/>
      <w:marTop w:val="0"/>
      <w:marBottom w:val="0"/>
      <w:divBdr>
        <w:top w:val="none" w:sz="0" w:space="0" w:color="auto"/>
        <w:left w:val="none" w:sz="0" w:space="0" w:color="auto"/>
        <w:bottom w:val="none" w:sz="0" w:space="0" w:color="auto"/>
        <w:right w:val="none" w:sz="0" w:space="0" w:color="auto"/>
      </w:divBdr>
    </w:div>
    <w:div w:id="678390055">
      <w:bodyDiv w:val="1"/>
      <w:marLeft w:val="0"/>
      <w:marRight w:val="0"/>
      <w:marTop w:val="0"/>
      <w:marBottom w:val="0"/>
      <w:divBdr>
        <w:top w:val="none" w:sz="0" w:space="0" w:color="auto"/>
        <w:left w:val="none" w:sz="0" w:space="0" w:color="auto"/>
        <w:bottom w:val="none" w:sz="0" w:space="0" w:color="auto"/>
        <w:right w:val="none" w:sz="0" w:space="0" w:color="auto"/>
      </w:divBdr>
    </w:div>
    <w:div w:id="744648482">
      <w:bodyDiv w:val="1"/>
      <w:marLeft w:val="0"/>
      <w:marRight w:val="0"/>
      <w:marTop w:val="0"/>
      <w:marBottom w:val="0"/>
      <w:divBdr>
        <w:top w:val="none" w:sz="0" w:space="0" w:color="auto"/>
        <w:left w:val="none" w:sz="0" w:space="0" w:color="auto"/>
        <w:bottom w:val="none" w:sz="0" w:space="0" w:color="auto"/>
        <w:right w:val="none" w:sz="0" w:space="0" w:color="auto"/>
      </w:divBdr>
    </w:div>
    <w:div w:id="780538926">
      <w:bodyDiv w:val="1"/>
      <w:marLeft w:val="0"/>
      <w:marRight w:val="0"/>
      <w:marTop w:val="0"/>
      <w:marBottom w:val="0"/>
      <w:divBdr>
        <w:top w:val="none" w:sz="0" w:space="0" w:color="auto"/>
        <w:left w:val="none" w:sz="0" w:space="0" w:color="auto"/>
        <w:bottom w:val="none" w:sz="0" w:space="0" w:color="auto"/>
        <w:right w:val="none" w:sz="0" w:space="0" w:color="auto"/>
      </w:divBdr>
      <w:divsChild>
        <w:div w:id="1094668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682417">
      <w:bodyDiv w:val="1"/>
      <w:marLeft w:val="0"/>
      <w:marRight w:val="0"/>
      <w:marTop w:val="0"/>
      <w:marBottom w:val="0"/>
      <w:divBdr>
        <w:top w:val="none" w:sz="0" w:space="0" w:color="auto"/>
        <w:left w:val="none" w:sz="0" w:space="0" w:color="auto"/>
        <w:bottom w:val="none" w:sz="0" w:space="0" w:color="auto"/>
        <w:right w:val="none" w:sz="0" w:space="0" w:color="auto"/>
      </w:divBdr>
    </w:div>
    <w:div w:id="798454121">
      <w:bodyDiv w:val="1"/>
      <w:marLeft w:val="0"/>
      <w:marRight w:val="0"/>
      <w:marTop w:val="0"/>
      <w:marBottom w:val="0"/>
      <w:divBdr>
        <w:top w:val="none" w:sz="0" w:space="0" w:color="auto"/>
        <w:left w:val="none" w:sz="0" w:space="0" w:color="auto"/>
        <w:bottom w:val="none" w:sz="0" w:space="0" w:color="auto"/>
        <w:right w:val="none" w:sz="0" w:space="0" w:color="auto"/>
      </w:divBdr>
    </w:div>
    <w:div w:id="808517704">
      <w:bodyDiv w:val="1"/>
      <w:marLeft w:val="0"/>
      <w:marRight w:val="0"/>
      <w:marTop w:val="0"/>
      <w:marBottom w:val="0"/>
      <w:divBdr>
        <w:top w:val="none" w:sz="0" w:space="0" w:color="auto"/>
        <w:left w:val="none" w:sz="0" w:space="0" w:color="auto"/>
        <w:bottom w:val="none" w:sz="0" w:space="0" w:color="auto"/>
        <w:right w:val="none" w:sz="0" w:space="0" w:color="auto"/>
      </w:divBdr>
    </w:div>
    <w:div w:id="858665808">
      <w:bodyDiv w:val="1"/>
      <w:marLeft w:val="0"/>
      <w:marRight w:val="0"/>
      <w:marTop w:val="0"/>
      <w:marBottom w:val="0"/>
      <w:divBdr>
        <w:top w:val="none" w:sz="0" w:space="0" w:color="auto"/>
        <w:left w:val="none" w:sz="0" w:space="0" w:color="auto"/>
        <w:bottom w:val="none" w:sz="0" w:space="0" w:color="auto"/>
        <w:right w:val="none" w:sz="0" w:space="0" w:color="auto"/>
      </w:divBdr>
    </w:div>
    <w:div w:id="861944391">
      <w:bodyDiv w:val="1"/>
      <w:marLeft w:val="0"/>
      <w:marRight w:val="0"/>
      <w:marTop w:val="0"/>
      <w:marBottom w:val="0"/>
      <w:divBdr>
        <w:top w:val="none" w:sz="0" w:space="0" w:color="auto"/>
        <w:left w:val="none" w:sz="0" w:space="0" w:color="auto"/>
        <w:bottom w:val="none" w:sz="0" w:space="0" w:color="auto"/>
        <w:right w:val="none" w:sz="0" w:space="0" w:color="auto"/>
      </w:divBdr>
    </w:div>
    <w:div w:id="878324409">
      <w:bodyDiv w:val="1"/>
      <w:marLeft w:val="0"/>
      <w:marRight w:val="0"/>
      <w:marTop w:val="0"/>
      <w:marBottom w:val="0"/>
      <w:divBdr>
        <w:top w:val="none" w:sz="0" w:space="0" w:color="auto"/>
        <w:left w:val="none" w:sz="0" w:space="0" w:color="auto"/>
        <w:bottom w:val="none" w:sz="0" w:space="0" w:color="auto"/>
        <w:right w:val="none" w:sz="0" w:space="0" w:color="auto"/>
      </w:divBdr>
    </w:div>
    <w:div w:id="906573435">
      <w:bodyDiv w:val="1"/>
      <w:marLeft w:val="0"/>
      <w:marRight w:val="0"/>
      <w:marTop w:val="0"/>
      <w:marBottom w:val="0"/>
      <w:divBdr>
        <w:top w:val="none" w:sz="0" w:space="0" w:color="auto"/>
        <w:left w:val="none" w:sz="0" w:space="0" w:color="auto"/>
        <w:bottom w:val="none" w:sz="0" w:space="0" w:color="auto"/>
        <w:right w:val="none" w:sz="0" w:space="0" w:color="auto"/>
      </w:divBdr>
    </w:div>
    <w:div w:id="943537489">
      <w:bodyDiv w:val="1"/>
      <w:marLeft w:val="0"/>
      <w:marRight w:val="0"/>
      <w:marTop w:val="0"/>
      <w:marBottom w:val="0"/>
      <w:divBdr>
        <w:top w:val="none" w:sz="0" w:space="0" w:color="auto"/>
        <w:left w:val="none" w:sz="0" w:space="0" w:color="auto"/>
        <w:bottom w:val="none" w:sz="0" w:space="0" w:color="auto"/>
        <w:right w:val="none" w:sz="0" w:space="0" w:color="auto"/>
      </w:divBdr>
    </w:div>
    <w:div w:id="958072857">
      <w:bodyDiv w:val="1"/>
      <w:marLeft w:val="0"/>
      <w:marRight w:val="0"/>
      <w:marTop w:val="0"/>
      <w:marBottom w:val="0"/>
      <w:divBdr>
        <w:top w:val="none" w:sz="0" w:space="0" w:color="auto"/>
        <w:left w:val="none" w:sz="0" w:space="0" w:color="auto"/>
        <w:bottom w:val="none" w:sz="0" w:space="0" w:color="auto"/>
        <w:right w:val="none" w:sz="0" w:space="0" w:color="auto"/>
      </w:divBdr>
    </w:div>
    <w:div w:id="978807031">
      <w:bodyDiv w:val="1"/>
      <w:marLeft w:val="0"/>
      <w:marRight w:val="0"/>
      <w:marTop w:val="0"/>
      <w:marBottom w:val="0"/>
      <w:divBdr>
        <w:top w:val="none" w:sz="0" w:space="0" w:color="auto"/>
        <w:left w:val="none" w:sz="0" w:space="0" w:color="auto"/>
        <w:bottom w:val="none" w:sz="0" w:space="0" w:color="auto"/>
        <w:right w:val="none" w:sz="0" w:space="0" w:color="auto"/>
      </w:divBdr>
    </w:div>
    <w:div w:id="1041976613">
      <w:bodyDiv w:val="1"/>
      <w:marLeft w:val="0"/>
      <w:marRight w:val="0"/>
      <w:marTop w:val="0"/>
      <w:marBottom w:val="0"/>
      <w:divBdr>
        <w:top w:val="none" w:sz="0" w:space="0" w:color="auto"/>
        <w:left w:val="none" w:sz="0" w:space="0" w:color="auto"/>
        <w:bottom w:val="none" w:sz="0" w:space="0" w:color="auto"/>
        <w:right w:val="none" w:sz="0" w:space="0" w:color="auto"/>
      </w:divBdr>
    </w:div>
    <w:div w:id="1058240787">
      <w:bodyDiv w:val="1"/>
      <w:marLeft w:val="0"/>
      <w:marRight w:val="0"/>
      <w:marTop w:val="0"/>
      <w:marBottom w:val="0"/>
      <w:divBdr>
        <w:top w:val="none" w:sz="0" w:space="0" w:color="auto"/>
        <w:left w:val="none" w:sz="0" w:space="0" w:color="auto"/>
        <w:bottom w:val="none" w:sz="0" w:space="0" w:color="auto"/>
        <w:right w:val="none" w:sz="0" w:space="0" w:color="auto"/>
      </w:divBdr>
    </w:div>
    <w:div w:id="1092118175">
      <w:bodyDiv w:val="1"/>
      <w:marLeft w:val="0"/>
      <w:marRight w:val="0"/>
      <w:marTop w:val="0"/>
      <w:marBottom w:val="0"/>
      <w:divBdr>
        <w:top w:val="none" w:sz="0" w:space="0" w:color="auto"/>
        <w:left w:val="none" w:sz="0" w:space="0" w:color="auto"/>
        <w:bottom w:val="none" w:sz="0" w:space="0" w:color="auto"/>
        <w:right w:val="none" w:sz="0" w:space="0" w:color="auto"/>
      </w:divBdr>
    </w:div>
    <w:div w:id="1095325662">
      <w:bodyDiv w:val="1"/>
      <w:marLeft w:val="0"/>
      <w:marRight w:val="0"/>
      <w:marTop w:val="0"/>
      <w:marBottom w:val="0"/>
      <w:divBdr>
        <w:top w:val="none" w:sz="0" w:space="0" w:color="auto"/>
        <w:left w:val="none" w:sz="0" w:space="0" w:color="auto"/>
        <w:bottom w:val="none" w:sz="0" w:space="0" w:color="auto"/>
        <w:right w:val="none" w:sz="0" w:space="0" w:color="auto"/>
      </w:divBdr>
    </w:div>
    <w:div w:id="1125998475">
      <w:bodyDiv w:val="1"/>
      <w:marLeft w:val="0"/>
      <w:marRight w:val="0"/>
      <w:marTop w:val="0"/>
      <w:marBottom w:val="0"/>
      <w:divBdr>
        <w:top w:val="none" w:sz="0" w:space="0" w:color="auto"/>
        <w:left w:val="none" w:sz="0" w:space="0" w:color="auto"/>
        <w:bottom w:val="none" w:sz="0" w:space="0" w:color="auto"/>
        <w:right w:val="none" w:sz="0" w:space="0" w:color="auto"/>
      </w:divBdr>
    </w:div>
    <w:div w:id="1153330747">
      <w:bodyDiv w:val="1"/>
      <w:marLeft w:val="0"/>
      <w:marRight w:val="0"/>
      <w:marTop w:val="0"/>
      <w:marBottom w:val="0"/>
      <w:divBdr>
        <w:top w:val="none" w:sz="0" w:space="0" w:color="auto"/>
        <w:left w:val="none" w:sz="0" w:space="0" w:color="auto"/>
        <w:bottom w:val="none" w:sz="0" w:space="0" w:color="auto"/>
        <w:right w:val="none" w:sz="0" w:space="0" w:color="auto"/>
      </w:divBdr>
    </w:div>
    <w:div w:id="1162282692">
      <w:bodyDiv w:val="1"/>
      <w:marLeft w:val="0"/>
      <w:marRight w:val="0"/>
      <w:marTop w:val="0"/>
      <w:marBottom w:val="0"/>
      <w:divBdr>
        <w:top w:val="none" w:sz="0" w:space="0" w:color="auto"/>
        <w:left w:val="none" w:sz="0" w:space="0" w:color="auto"/>
        <w:bottom w:val="none" w:sz="0" w:space="0" w:color="auto"/>
        <w:right w:val="none" w:sz="0" w:space="0" w:color="auto"/>
      </w:divBdr>
      <w:divsChild>
        <w:div w:id="1714579602">
          <w:marLeft w:val="0"/>
          <w:marRight w:val="0"/>
          <w:marTop w:val="0"/>
          <w:marBottom w:val="0"/>
          <w:divBdr>
            <w:top w:val="none" w:sz="0" w:space="0" w:color="auto"/>
            <w:left w:val="none" w:sz="0" w:space="0" w:color="auto"/>
            <w:bottom w:val="none" w:sz="0" w:space="0" w:color="auto"/>
            <w:right w:val="none" w:sz="0" w:space="0" w:color="auto"/>
          </w:divBdr>
          <w:divsChild>
            <w:div w:id="15666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4526">
      <w:bodyDiv w:val="1"/>
      <w:marLeft w:val="0"/>
      <w:marRight w:val="0"/>
      <w:marTop w:val="0"/>
      <w:marBottom w:val="0"/>
      <w:divBdr>
        <w:top w:val="none" w:sz="0" w:space="0" w:color="auto"/>
        <w:left w:val="none" w:sz="0" w:space="0" w:color="auto"/>
        <w:bottom w:val="none" w:sz="0" w:space="0" w:color="auto"/>
        <w:right w:val="none" w:sz="0" w:space="0" w:color="auto"/>
      </w:divBdr>
    </w:div>
    <w:div w:id="1213468141">
      <w:bodyDiv w:val="1"/>
      <w:marLeft w:val="0"/>
      <w:marRight w:val="0"/>
      <w:marTop w:val="0"/>
      <w:marBottom w:val="0"/>
      <w:divBdr>
        <w:top w:val="none" w:sz="0" w:space="0" w:color="auto"/>
        <w:left w:val="none" w:sz="0" w:space="0" w:color="auto"/>
        <w:bottom w:val="none" w:sz="0" w:space="0" w:color="auto"/>
        <w:right w:val="none" w:sz="0" w:space="0" w:color="auto"/>
      </w:divBdr>
    </w:div>
    <w:div w:id="1224487873">
      <w:bodyDiv w:val="1"/>
      <w:marLeft w:val="0"/>
      <w:marRight w:val="0"/>
      <w:marTop w:val="0"/>
      <w:marBottom w:val="0"/>
      <w:divBdr>
        <w:top w:val="none" w:sz="0" w:space="0" w:color="auto"/>
        <w:left w:val="none" w:sz="0" w:space="0" w:color="auto"/>
        <w:bottom w:val="none" w:sz="0" w:space="0" w:color="auto"/>
        <w:right w:val="none" w:sz="0" w:space="0" w:color="auto"/>
      </w:divBdr>
    </w:div>
    <w:div w:id="1231576522">
      <w:bodyDiv w:val="1"/>
      <w:marLeft w:val="0"/>
      <w:marRight w:val="0"/>
      <w:marTop w:val="0"/>
      <w:marBottom w:val="0"/>
      <w:divBdr>
        <w:top w:val="none" w:sz="0" w:space="0" w:color="auto"/>
        <w:left w:val="none" w:sz="0" w:space="0" w:color="auto"/>
        <w:bottom w:val="none" w:sz="0" w:space="0" w:color="auto"/>
        <w:right w:val="none" w:sz="0" w:space="0" w:color="auto"/>
      </w:divBdr>
    </w:div>
    <w:div w:id="1235817706">
      <w:bodyDiv w:val="1"/>
      <w:marLeft w:val="0"/>
      <w:marRight w:val="0"/>
      <w:marTop w:val="0"/>
      <w:marBottom w:val="0"/>
      <w:divBdr>
        <w:top w:val="none" w:sz="0" w:space="0" w:color="auto"/>
        <w:left w:val="none" w:sz="0" w:space="0" w:color="auto"/>
        <w:bottom w:val="none" w:sz="0" w:space="0" w:color="auto"/>
        <w:right w:val="none" w:sz="0" w:space="0" w:color="auto"/>
      </w:divBdr>
    </w:div>
    <w:div w:id="1242982500">
      <w:bodyDiv w:val="1"/>
      <w:marLeft w:val="0"/>
      <w:marRight w:val="0"/>
      <w:marTop w:val="0"/>
      <w:marBottom w:val="0"/>
      <w:divBdr>
        <w:top w:val="none" w:sz="0" w:space="0" w:color="auto"/>
        <w:left w:val="none" w:sz="0" w:space="0" w:color="auto"/>
        <w:bottom w:val="none" w:sz="0" w:space="0" w:color="auto"/>
        <w:right w:val="none" w:sz="0" w:space="0" w:color="auto"/>
      </w:divBdr>
    </w:div>
    <w:div w:id="1272057191">
      <w:bodyDiv w:val="1"/>
      <w:marLeft w:val="0"/>
      <w:marRight w:val="0"/>
      <w:marTop w:val="0"/>
      <w:marBottom w:val="0"/>
      <w:divBdr>
        <w:top w:val="none" w:sz="0" w:space="0" w:color="auto"/>
        <w:left w:val="none" w:sz="0" w:space="0" w:color="auto"/>
        <w:bottom w:val="none" w:sz="0" w:space="0" w:color="auto"/>
        <w:right w:val="none" w:sz="0" w:space="0" w:color="auto"/>
      </w:divBdr>
    </w:div>
    <w:div w:id="1273589585">
      <w:bodyDiv w:val="1"/>
      <w:marLeft w:val="0"/>
      <w:marRight w:val="0"/>
      <w:marTop w:val="0"/>
      <w:marBottom w:val="0"/>
      <w:divBdr>
        <w:top w:val="none" w:sz="0" w:space="0" w:color="auto"/>
        <w:left w:val="none" w:sz="0" w:space="0" w:color="auto"/>
        <w:bottom w:val="none" w:sz="0" w:space="0" w:color="auto"/>
        <w:right w:val="none" w:sz="0" w:space="0" w:color="auto"/>
      </w:divBdr>
    </w:div>
    <w:div w:id="1275557595">
      <w:bodyDiv w:val="1"/>
      <w:marLeft w:val="0"/>
      <w:marRight w:val="0"/>
      <w:marTop w:val="0"/>
      <w:marBottom w:val="0"/>
      <w:divBdr>
        <w:top w:val="none" w:sz="0" w:space="0" w:color="auto"/>
        <w:left w:val="none" w:sz="0" w:space="0" w:color="auto"/>
        <w:bottom w:val="none" w:sz="0" w:space="0" w:color="auto"/>
        <w:right w:val="none" w:sz="0" w:space="0" w:color="auto"/>
      </w:divBdr>
    </w:div>
    <w:div w:id="1374311624">
      <w:bodyDiv w:val="1"/>
      <w:marLeft w:val="0"/>
      <w:marRight w:val="0"/>
      <w:marTop w:val="0"/>
      <w:marBottom w:val="0"/>
      <w:divBdr>
        <w:top w:val="none" w:sz="0" w:space="0" w:color="auto"/>
        <w:left w:val="none" w:sz="0" w:space="0" w:color="auto"/>
        <w:bottom w:val="none" w:sz="0" w:space="0" w:color="auto"/>
        <w:right w:val="none" w:sz="0" w:space="0" w:color="auto"/>
      </w:divBdr>
    </w:div>
    <w:div w:id="1380125651">
      <w:bodyDiv w:val="1"/>
      <w:marLeft w:val="0"/>
      <w:marRight w:val="0"/>
      <w:marTop w:val="0"/>
      <w:marBottom w:val="0"/>
      <w:divBdr>
        <w:top w:val="none" w:sz="0" w:space="0" w:color="auto"/>
        <w:left w:val="none" w:sz="0" w:space="0" w:color="auto"/>
        <w:bottom w:val="none" w:sz="0" w:space="0" w:color="auto"/>
        <w:right w:val="none" w:sz="0" w:space="0" w:color="auto"/>
      </w:divBdr>
    </w:div>
    <w:div w:id="1406953845">
      <w:bodyDiv w:val="1"/>
      <w:marLeft w:val="0"/>
      <w:marRight w:val="0"/>
      <w:marTop w:val="0"/>
      <w:marBottom w:val="0"/>
      <w:divBdr>
        <w:top w:val="none" w:sz="0" w:space="0" w:color="auto"/>
        <w:left w:val="none" w:sz="0" w:space="0" w:color="auto"/>
        <w:bottom w:val="none" w:sz="0" w:space="0" w:color="auto"/>
        <w:right w:val="none" w:sz="0" w:space="0" w:color="auto"/>
      </w:divBdr>
    </w:div>
    <w:div w:id="1490289550">
      <w:bodyDiv w:val="1"/>
      <w:marLeft w:val="0"/>
      <w:marRight w:val="0"/>
      <w:marTop w:val="0"/>
      <w:marBottom w:val="0"/>
      <w:divBdr>
        <w:top w:val="none" w:sz="0" w:space="0" w:color="auto"/>
        <w:left w:val="none" w:sz="0" w:space="0" w:color="auto"/>
        <w:bottom w:val="none" w:sz="0" w:space="0" w:color="auto"/>
        <w:right w:val="none" w:sz="0" w:space="0" w:color="auto"/>
      </w:divBdr>
    </w:div>
    <w:div w:id="1564367912">
      <w:bodyDiv w:val="1"/>
      <w:marLeft w:val="0"/>
      <w:marRight w:val="0"/>
      <w:marTop w:val="0"/>
      <w:marBottom w:val="0"/>
      <w:divBdr>
        <w:top w:val="none" w:sz="0" w:space="0" w:color="auto"/>
        <w:left w:val="none" w:sz="0" w:space="0" w:color="auto"/>
        <w:bottom w:val="none" w:sz="0" w:space="0" w:color="auto"/>
        <w:right w:val="none" w:sz="0" w:space="0" w:color="auto"/>
      </w:divBdr>
    </w:div>
    <w:div w:id="1578243514">
      <w:bodyDiv w:val="1"/>
      <w:marLeft w:val="0"/>
      <w:marRight w:val="0"/>
      <w:marTop w:val="0"/>
      <w:marBottom w:val="0"/>
      <w:divBdr>
        <w:top w:val="none" w:sz="0" w:space="0" w:color="auto"/>
        <w:left w:val="none" w:sz="0" w:space="0" w:color="auto"/>
        <w:bottom w:val="none" w:sz="0" w:space="0" w:color="auto"/>
        <w:right w:val="none" w:sz="0" w:space="0" w:color="auto"/>
      </w:divBdr>
    </w:div>
    <w:div w:id="1595354617">
      <w:bodyDiv w:val="1"/>
      <w:marLeft w:val="0"/>
      <w:marRight w:val="0"/>
      <w:marTop w:val="0"/>
      <w:marBottom w:val="0"/>
      <w:divBdr>
        <w:top w:val="none" w:sz="0" w:space="0" w:color="auto"/>
        <w:left w:val="none" w:sz="0" w:space="0" w:color="auto"/>
        <w:bottom w:val="none" w:sz="0" w:space="0" w:color="auto"/>
        <w:right w:val="none" w:sz="0" w:space="0" w:color="auto"/>
      </w:divBdr>
    </w:div>
    <w:div w:id="1639341428">
      <w:bodyDiv w:val="1"/>
      <w:marLeft w:val="0"/>
      <w:marRight w:val="0"/>
      <w:marTop w:val="0"/>
      <w:marBottom w:val="0"/>
      <w:divBdr>
        <w:top w:val="none" w:sz="0" w:space="0" w:color="auto"/>
        <w:left w:val="none" w:sz="0" w:space="0" w:color="auto"/>
        <w:bottom w:val="none" w:sz="0" w:space="0" w:color="auto"/>
        <w:right w:val="none" w:sz="0" w:space="0" w:color="auto"/>
      </w:divBdr>
    </w:div>
    <w:div w:id="1661737198">
      <w:bodyDiv w:val="1"/>
      <w:marLeft w:val="0"/>
      <w:marRight w:val="0"/>
      <w:marTop w:val="0"/>
      <w:marBottom w:val="0"/>
      <w:divBdr>
        <w:top w:val="none" w:sz="0" w:space="0" w:color="auto"/>
        <w:left w:val="none" w:sz="0" w:space="0" w:color="auto"/>
        <w:bottom w:val="none" w:sz="0" w:space="0" w:color="auto"/>
        <w:right w:val="none" w:sz="0" w:space="0" w:color="auto"/>
      </w:divBdr>
    </w:div>
    <w:div w:id="1669095941">
      <w:bodyDiv w:val="1"/>
      <w:marLeft w:val="0"/>
      <w:marRight w:val="0"/>
      <w:marTop w:val="0"/>
      <w:marBottom w:val="0"/>
      <w:divBdr>
        <w:top w:val="none" w:sz="0" w:space="0" w:color="auto"/>
        <w:left w:val="none" w:sz="0" w:space="0" w:color="auto"/>
        <w:bottom w:val="none" w:sz="0" w:space="0" w:color="auto"/>
        <w:right w:val="none" w:sz="0" w:space="0" w:color="auto"/>
      </w:divBdr>
      <w:divsChild>
        <w:div w:id="160079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915221">
      <w:bodyDiv w:val="1"/>
      <w:marLeft w:val="0"/>
      <w:marRight w:val="0"/>
      <w:marTop w:val="0"/>
      <w:marBottom w:val="0"/>
      <w:divBdr>
        <w:top w:val="none" w:sz="0" w:space="0" w:color="auto"/>
        <w:left w:val="none" w:sz="0" w:space="0" w:color="auto"/>
        <w:bottom w:val="none" w:sz="0" w:space="0" w:color="auto"/>
        <w:right w:val="none" w:sz="0" w:space="0" w:color="auto"/>
      </w:divBdr>
    </w:div>
    <w:div w:id="1791239035">
      <w:bodyDiv w:val="1"/>
      <w:marLeft w:val="0"/>
      <w:marRight w:val="0"/>
      <w:marTop w:val="0"/>
      <w:marBottom w:val="0"/>
      <w:divBdr>
        <w:top w:val="none" w:sz="0" w:space="0" w:color="auto"/>
        <w:left w:val="none" w:sz="0" w:space="0" w:color="auto"/>
        <w:bottom w:val="none" w:sz="0" w:space="0" w:color="auto"/>
        <w:right w:val="none" w:sz="0" w:space="0" w:color="auto"/>
      </w:divBdr>
    </w:div>
    <w:div w:id="1801529795">
      <w:bodyDiv w:val="1"/>
      <w:marLeft w:val="0"/>
      <w:marRight w:val="0"/>
      <w:marTop w:val="0"/>
      <w:marBottom w:val="0"/>
      <w:divBdr>
        <w:top w:val="none" w:sz="0" w:space="0" w:color="auto"/>
        <w:left w:val="none" w:sz="0" w:space="0" w:color="auto"/>
        <w:bottom w:val="none" w:sz="0" w:space="0" w:color="auto"/>
        <w:right w:val="none" w:sz="0" w:space="0" w:color="auto"/>
      </w:divBdr>
    </w:div>
    <w:div w:id="1810592982">
      <w:bodyDiv w:val="1"/>
      <w:marLeft w:val="0"/>
      <w:marRight w:val="0"/>
      <w:marTop w:val="0"/>
      <w:marBottom w:val="0"/>
      <w:divBdr>
        <w:top w:val="none" w:sz="0" w:space="0" w:color="auto"/>
        <w:left w:val="none" w:sz="0" w:space="0" w:color="auto"/>
        <w:bottom w:val="none" w:sz="0" w:space="0" w:color="auto"/>
        <w:right w:val="none" w:sz="0" w:space="0" w:color="auto"/>
      </w:divBdr>
    </w:div>
    <w:div w:id="1810705199">
      <w:bodyDiv w:val="1"/>
      <w:marLeft w:val="0"/>
      <w:marRight w:val="0"/>
      <w:marTop w:val="0"/>
      <w:marBottom w:val="0"/>
      <w:divBdr>
        <w:top w:val="none" w:sz="0" w:space="0" w:color="auto"/>
        <w:left w:val="none" w:sz="0" w:space="0" w:color="auto"/>
        <w:bottom w:val="none" w:sz="0" w:space="0" w:color="auto"/>
        <w:right w:val="none" w:sz="0" w:space="0" w:color="auto"/>
      </w:divBdr>
    </w:div>
    <w:div w:id="1835684859">
      <w:bodyDiv w:val="1"/>
      <w:marLeft w:val="0"/>
      <w:marRight w:val="0"/>
      <w:marTop w:val="0"/>
      <w:marBottom w:val="0"/>
      <w:divBdr>
        <w:top w:val="none" w:sz="0" w:space="0" w:color="auto"/>
        <w:left w:val="none" w:sz="0" w:space="0" w:color="auto"/>
        <w:bottom w:val="none" w:sz="0" w:space="0" w:color="auto"/>
        <w:right w:val="none" w:sz="0" w:space="0" w:color="auto"/>
      </w:divBdr>
    </w:div>
    <w:div w:id="1926642916">
      <w:bodyDiv w:val="1"/>
      <w:marLeft w:val="0"/>
      <w:marRight w:val="0"/>
      <w:marTop w:val="0"/>
      <w:marBottom w:val="0"/>
      <w:divBdr>
        <w:top w:val="none" w:sz="0" w:space="0" w:color="auto"/>
        <w:left w:val="none" w:sz="0" w:space="0" w:color="auto"/>
        <w:bottom w:val="none" w:sz="0" w:space="0" w:color="auto"/>
        <w:right w:val="none" w:sz="0" w:space="0" w:color="auto"/>
      </w:divBdr>
    </w:div>
    <w:div w:id="1942909032">
      <w:bodyDiv w:val="1"/>
      <w:marLeft w:val="0"/>
      <w:marRight w:val="0"/>
      <w:marTop w:val="0"/>
      <w:marBottom w:val="0"/>
      <w:divBdr>
        <w:top w:val="none" w:sz="0" w:space="0" w:color="auto"/>
        <w:left w:val="none" w:sz="0" w:space="0" w:color="auto"/>
        <w:bottom w:val="none" w:sz="0" w:space="0" w:color="auto"/>
        <w:right w:val="none" w:sz="0" w:space="0" w:color="auto"/>
      </w:divBdr>
    </w:div>
    <w:div w:id="1952784322">
      <w:bodyDiv w:val="1"/>
      <w:marLeft w:val="0"/>
      <w:marRight w:val="0"/>
      <w:marTop w:val="0"/>
      <w:marBottom w:val="0"/>
      <w:divBdr>
        <w:top w:val="none" w:sz="0" w:space="0" w:color="auto"/>
        <w:left w:val="none" w:sz="0" w:space="0" w:color="auto"/>
        <w:bottom w:val="none" w:sz="0" w:space="0" w:color="auto"/>
        <w:right w:val="none" w:sz="0" w:space="0" w:color="auto"/>
      </w:divBdr>
    </w:div>
    <w:div w:id="1954901368">
      <w:bodyDiv w:val="1"/>
      <w:marLeft w:val="0"/>
      <w:marRight w:val="0"/>
      <w:marTop w:val="0"/>
      <w:marBottom w:val="0"/>
      <w:divBdr>
        <w:top w:val="none" w:sz="0" w:space="0" w:color="auto"/>
        <w:left w:val="none" w:sz="0" w:space="0" w:color="auto"/>
        <w:bottom w:val="none" w:sz="0" w:space="0" w:color="auto"/>
        <w:right w:val="none" w:sz="0" w:space="0" w:color="auto"/>
      </w:divBdr>
    </w:div>
    <w:div w:id="1981230411">
      <w:bodyDiv w:val="1"/>
      <w:marLeft w:val="0"/>
      <w:marRight w:val="0"/>
      <w:marTop w:val="0"/>
      <w:marBottom w:val="0"/>
      <w:divBdr>
        <w:top w:val="none" w:sz="0" w:space="0" w:color="auto"/>
        <w:left w:val="none" w:sz="0" w:space="0" w:color="auto"/>
        <w:bottom w:val="none" w:sz="0" w:space="0" w:color="auto"/>
        <w:right w:val="none" w:sz="0" w:space="0" w:color="auto"/>
      </w:divBdr>
    </w:div>
    <w:div w:id="1983272900">
      <w:bodyDiv w:val="1"/>
      <w:marLeft w:val="0"/>
      <w:marRight w:val="0"/>
      <w:marTop w:val="0"/>
      <w:marBottom w:val="0"/>
      <w:divBdr>
        <w:top w:val="none" w:sz="0" w:space="0" w:color="auto"/>
        <w:left w:val="none" w:sz="0" w:space="0" w:color="auto"/>
        <w:bottom w:val="none" w:sz="0" w:space="0" w:color="auto"/>
        <w:right w:val="none" w:sz="0" w:space="0" w:color="auto"/>
      </w:divBdr>
    </w:div>
    <w:div w:id="1984656324">
      <w:bodyDiv w:val="1"/>
      <w:marLeft w:val="0"/>
      <w:marRight w:val="0"/>
      <w:marTop w:val="0"/>
      <w:marBottom w:val="0"/>
      <w:divBdr>
        <w:top w:val="none" w:sz="0" w:space="0" w:color="auto"/>
        <w:left w:val="none" w:sz="0" w:space="0" w:color="auto"/>
        <w:bottom w:val="none" w:sz="0" w:space="0" w:color="auto"/>
        <w:right w:val="none" w:sz="0" w:space="0" w:color="auto"/>
      </w:divBdr>
    </w:div>
    <w:div w:id="2002854031">
      <w:bodyDiv w:val="1"/>
      <w:marLeft w:val="0"/>
      <w:marRight w:val="0"/>
      <w:marTop w:val="0"/>
      <w:marBottom w:val="0"/>
      <w:divBdr>
        <w:top w:val="none" w:sz="0" w:space="0" w:color="auto"/>
        <w:left w:val="none" w:sz="0" w:space="0" w:color="auto"/>
        <w:bottom w:val="none" w:sz="0" w:space="0" w:color="auto"/>
        <w:right w:val="none" w:sz="0" w:space="0" w:color="auto"/>
      </w:divBdr>
    </w:div>
    <w:div w:id="2087922121">
      <w:bodyDiv w:val="1"/>
      <w:marLeft w:val="0"/>
      <w:marRight w:val="0"/>
      <w:marTop w:val="0"/>
      <w:marBottom w:val="0"/>
      <w:divBdr>
        <w:top w:val="none" w:sz="0" w:space="0" w:color="auto"/>
        <w:left w:val="none" w:sz="0" w:space="0" w:color="auto"/>
        <w:bottom w:val="none" w:sz="0" w:space="0" w:color="auto"/>
        <w:right w:val="none" w:sz="0" w:space="0" w:color="auto"/>
      </w:divBdr>
    </w:div>
    <w:div w:id="2124838404">
      <w:bodyDiv w:val="1"/>
      <w:marLeft w:val="0"/>
      <w:marRight w:val="0"/>
      <w:marTop w:val="0"/>
      <w:marBottom w:val="0"/>
      <w:divBdr>
        <w:top w:val="none" w:sz="0" w:space="0" w:color="auto"/>
        <w:left w:val="none" w:sz="0" w:space="0" w:color="auto"/>
        <w:bottom w:val="none" w:sz="0" w:space="0" w:color="auto"/>
        <w:right w:val="none" w:sz="0" w:space="0" w:color="auto"/>
      </w:divBdr>
    </w:div>
    <w:div w:id="2126390328">
      <w:bodyDiv w:val="1"/>
      <w:marLeft w:val="0"/>
      <w:marRight w:val="0"/>
      <w:marTop w:val="0"/>
      <w:marBottom w:val="0"/>
      <w:divBdr>
        <w:top w:val="none" w:sz="0" w:space="0" w:color="auto"/>
        <w:left w:val="none" w:sz="0" w:space="0" w:color="auto"/>
        <w:bottom w:val="none" w:sz="0" w:space="0" w:color="auto"/>
        <w:right w:val="none" w:sz="0" w:space="0" w:color="auto"/>
      </w:divBdr>
      <w:divsChild>
        <w:div w:id="218709210">
          <w:marLeft w:val="0"/>
          <w:marRight w:val="0"/>
          <w:marTop w:val="0"/>
          <w:marBottom w:val="0"/>
          <w:divBdr>
            <w:top w:val="none" w:sz="0" w:space="0" w:color="auto"/>
            <w:left w:val="none" w:sz="0" w:space="0" w:color="auto"/>
            <w:bottom w:val="none" w:sz="0" w:space="0" w:color="auto"/>
            <w:right w:val="none" w:sz="0" w:space="0" w:color="auto"/>
          </w:divBdr>
          <w:divsChild>
            <w:div w:id="3368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6D388-5457-4E16-9461-18027695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8</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CHOUDHARY</dc:creator>
  <cp:keywords/>
  <dc:description/>
  <cp:lastModifiedBy>KUNAL CHOUDHARY</cp:lastModifiedBy>
  <cp:revision>144</cp:revision>
  <dcterms:created xsi:type="dcterms:W3CDTF">2025-04-15T17:59:00Z</dcterms:created>
  <dcterms:modified xsi:type="dcterms:W3CDTF">2025-04-23T15:24:00Z</dcterms:modified>
</cp:coreProperties>
</file>