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 w:cs="黑体"/>
          <w:b/>
          <w:sz w:val="48"/>
        </w:rPr>
        <w:t>Datara 数据治理工具</w:t>
      </w:r>
    </w:p>
    <w:p>
      <w:pPr>
        <w:jc w:val="center"/>
      </w:pPr>
      <w:r>
        <w:rPr>
          <w:rFonts w:ascii="黑体" w:hAnsi="黑体" w:eastAsia="黑体" w:cs="黑体"/>
          <w:b/>
          <w:sz w:val="52"/>
        </w:rPr>
        <w:t>需求规格说明书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项目</w:t>
            </w:r>
          </w:p>
        </w:tc>
        <w:tc>
          <w:tcPr>
            <w:tcW w:type="dxa" w:w="5669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文档版本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V3.0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发布日期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2026-09-20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编制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Datara 项目组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文档状态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实施态回写（UI 重启收口后，含实施状态说明）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适用系统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 w:cs="宋体"/>
                <w:sz w:val="19"/>
              </w:rPr>
              <w:t>datara-web 数据治理工具（Vite + Vue 3）</w:t>
            </w:r>
          </w:p>
        </w:tc>
      </w:tr>
    </w:tbl>
    <w:p/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 w:cs="宋体"/>
        </w:rPr>
        <w:t>本说明书完整描述 Datara 数据治理工具的功能需求、业务逻辑与管线设计，覆盖系统全部已实现与已定版设计的功能（含 2026-09-16 与实际用户评审确认的九项变更），作为开发实施、验收对照与评审基线的唯一依据。</w:t>
      </w:r>
    </w:p>
    <w:p>
      <w:pPr>
        <w:pStyle w:val="Heading2"/>
      </w:pPr>
      <w:r>
        <w:t>1.2 系统定位</w:t>
      </w:r>
    </w:p>
    <w:p>
      <w:r>
        <w:rPr>
          <w:rFonts w:ascii="宋体" w:hAnsi="宋体" w:eastAsia="宋体" w:cs="宋体"/>
        </w:rPr>
        <w:t>面向数据仓库场景的一站式数据治理与开发工具，覆盖数据集成、数据开发、数据治理、数据安全、开放服务、部署运维全链路。系统采用真实通道与演示态并存的交付形态：任务编排与调度执行（工作流/同步/ETL/流任务画布、运行实例、调度管理）、数据源管理、同步任务、数据开发 IDE、血缘分析、运行时节点已接入真实后端（API 网关 + 调度引擎 worker，MySQL/Redis/Kafka/ZooKeeper 支撑）并经环境实测；数据治理其余域为演示态交付，业务交互由本地数据层按本规格规则模拟，页面顶栏挂「演示数据」标识。实施状态口径与清单见第 18 章。</w:t>
      </w:r>
    </w:p>
    <w:p>
      <w:pPr>
        <w:pStyle w:val="Heading2"/>
      </w:pPr>
      <w:r>
        <w:t>1.3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术语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ODS/DIM/DWD/DWS/ADS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数仓标准分层：贴源/维度/明细/汇总/应用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TMP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临时层，承载加工过程中间表（第六分层）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schema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数据源内的命名空间；同一数据源可存在多个 schema 下的同名表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合并策略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多个同名源表写入同一目标表时的数据处理方式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DAG 工作台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统一任务编排窗口：设计/依赖/运行/日志/变量五个页签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数据集成组统一任务入口（/dag）：顶部页签切换工作流/同步/ETL/流任务与运行监控、告警视角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Hub 壳页签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多路由共用壳组件、顶部页签切换的合并页面模式（脚本任务/参数配置/质量报告），页签与路由双向联动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任务节点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DAG 画布中的可执行任务单元（同步/SQL/脚本/流等）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算子子画布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任务节点内部展开的算子级编排画布（两层画布结构）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融合组件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流处理中将多路流按窗口融合为统一结果视图的组件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Quality Gate（质量判定节点）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DAG 中按质量规则对上游部分结果数据做判定、控制下游是否执行的节点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运行时节点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任务执行主机（本地节点/远程节点），经 SSH 挂载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API-Key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开放接口调用凭证，线下分发给第三方系统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密级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数据安全等级：公开/内部/机密/绝密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血缘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数据加工链路关系，分表级与字段级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页面数据经后端 API 读写，并已在实测环境通过回归验证（口径见第 18 章）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本期范围外模块：页面数据为本地演示样例，顶栏挂「演示数据」标识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双态服务层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VITE_API_MODE 切换 real（API 通道）/ mock（本地演示）的统一服务出口机制</w:t>
            </w:r>
          </w:p>
        </w:tc>
      </w:tr>
    </w:tbl>
    <w:p/>
    <w:p>
      <w:pPr>
        <w:pStyle w:val="Heading2"/>
      </w:pPr>
      <w:r>
        <w:t>1.4 读者对象</w:t>
      </w:r>
    </w:p>
    <w:p>
      <w:r>
        <w:rPr>
          <w:rFonts w:ascii="宋体" w:hAnsi="宋体" w:eastAsia="宋体" w:cs="宋体"/>
        </w:rPr>
        <w:t>业务需求方、验收评审人员、开发与测试人员、运维人员。</w:t>
      </w:r>
    </w:p>
    <w:p>
      <w:pPr>
        <w:pStyle w:val="Heading1"/>
      </w:pPr>
      <w:r>
        <w:t>2 总体设计</w:t>
      </w:r>
    </w:p>
    <w:p>
      <w:pPr>
        <w:pStyle w:val="Heading2"/>
      </w:pPr>
      <w:r>
        <w:t>2.1 技术架构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层次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技术选型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前端框架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Vue 3 + TypeScript + Vite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组合式 API，hash 路由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状态管理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Pinia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认证态（auth）、图文档（graph store）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UI 组件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Element Plus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表格、抽屉、弹窗、消息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图形引擎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Vue Flow + dagre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各设计器画布与自动布局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图表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ECharts 及 SVG 自绘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看板趋势、监控曲线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后端服务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API 网关 + 调度引擎 worker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定义/调度/实例/日志 API；流任务独立消费引擎；冒烟自检链路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存储/中间件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MySQL（元数据/数仓）、Redis、Kafka、ZooKeeper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元数据与实例存储、流消费队列（KRaft 模式）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数据层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services 双态（VITE_API_MODE）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real=六模块 API 通道（graph/stream/sync/datasource/lineage/ide）；mock=localStorage 集合式存储（演示保留）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开放服务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开放接口模块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API 注册、API-Key 认证、调用日志（演示态模拟网关行为）</w:t>
            </w:r>
          </w:p>
        </w:tc>
      </w:tr>
    </w:tbl>
    <w:p/>
    <w:p>
      <w:pPr>
        <w:pStyle w:val="Heading2"/>
      </w:pPr>
      <w:r>
        <w:t>2.2 数据仓库分层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分层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前缀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用途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ODS 贴源层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ods_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原始数据落地，不做加工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DIM 维度层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dim_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一致性维度表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DWD 明细层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dwd_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清洗、标准化后的明细事实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DWS 汇总层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dws_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轻度聚合，多主题复用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ADS 应用层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ads_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面向报表/大屏/接口的最终结果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TMP 临时层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tmp_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加工过程临时表，可定期清理</w:t>
            </w:r>
          </w:p>
        </w:tc>
      </w:tr>
    </w:tbl>
    <w:p/>
    <w:p>
      <w:pPr>
        <w:pStyle w:val="Heading2"/>
      </w:pPr>
      <w:r>
        <w:t>2.3 业务域</w:t>
      </w:r>
    </w:p>
    <w:p>
      <w:r>
        <w:rPr>
          <w:rFonts w:ascii="宋体" w:hAnsi="宋体" w:eastAsia="宋体" w:cs="宋体"/>
        </w:rPr>
        <w:t>交易域、商品域、用户域、流量域、经营域、财务域、公共域。业务域贯穿数据源、模型、同步、质量、开放接口与数据权限；业务域标注支持批量操作（见 6.2）。</w:t>
      </w:r>
    </w:p>
    <w:p>
      <w:pPr>
        <w:pStyle w:val="Heading2"/>
      </w:pPr>
      <w:r>
        <w:t>2.4 两层画布架构</w:t>
      </w:r>
    </w:p>
    <w:p>
      <w:r>
        <w:rPr>
          <w:rFonts w:ascii="宋体" w:hAnsi="宋体" w:eastAsia="宋体" w:cs="宋体"/>
        </w:rPr>
        <w:t>系统采用统一的两层画布结构：第一层为 DAG 工作台任务画布，节点均为任务节点（同步任务、SQL 任务、脚本任务、流任务、子工作流、条件分支、质量判定）；第二层为算子级子画布，双击任务节点进入（如 ETL 任务的 12 种转换算子编排、流任务的算子编排）。两层画布的连线语义分离：第一层表达任务依赖，第二层表达数据流。</w:t>
      </w:r>
    </w:p>
    <w:p>
      <w:pPr>
        <w:pStyle w:val="Heading2"/>
      </w:pPr>
      <w:r>
        <w:t>2.5 功能架构与菜单结构</w:t>
      </w:r>
    </w:p>
    <w:p>
      <w:r>
        <w:rPr>
          <w:rFonts w:ascii="宋体" w:hAnsi="宋体" w:eastAsia="宋体" w:cs="宋体"/>
          <w:b/>
        </w:rPr>
        <w:t>界面布局遵循三项原则：</w:t>
      </w:r>
    </w:p>
    <w:p>
      <w:r>
        <w:rPr>
          <w:rFonts w:ascii="宋体" w:hAnsi="宋体" w:eastAsia="宋体" w:cs="宋体"/>
        </w:rPr>
        <w:t>（1）需要进行配置和编辑的功能才设左侧导航栏菜单；</w:t>
      </w:r>
    </w:p>
    <w:p>
      <w:r>
        <w:rPr>
          <w:rFonts w:ascii="宋体" w:hAnsi="宋体" w:eastAsia="宋体" w:cs="宋体"/>
        </w:rPr>
        <w:t>（2）不需要配置、以可视化为主的功能默认直接打开图/画布，默认打开上次编辑的对象（localStorage 按任务类型记忆）；</w:t>
      </w:r>
    </w:p>
    <w:p>
      <w:r>
        <w:rPr>
          <w:rFonts w:ascii="宋体" w:hAnsi="宋体" w:eastAsia="宋体" w:cs="宋体"/>
        </w:rPr>
        <w:t>（3）列表退居「看列表」弹窗或页签内嵌，保持简洁直达可视化核心。</w:t>
      </w:r>
    </w:p>
    <w:p>
      <w:r>
        <w:rPr>
          <w:rFonts w:ascii="宋体" w:hAnsi="宋体" w:eastAsia="宋体" w:cs="宋体"/>
        </w:rPr>
        <w:t>据此形成三处合并：任务类功能统一收敛为数据集成-任务中心（顶部页签切换任务视角，见 9.1）；脚本任务、参数配置、质量报告分别合并为单菜单入口的顶部页签（Hub 壳模式：多路由共用壳组件，页签与路由双向联动）；集群拓扑并入集群监控页内嵌。按钮统一命名「可视化编排」进入 DAG 编排。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一级菜单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二级菜单</w:t>
            </w:r>
          </w:p>
        </w:tc>
        <w:tc>
          <w:tcPr>
            <w:tcW w:type="dxa" w:w="158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路径</w:t>
            </w:r>
          </w:p>
        </w:tc>
        <w:tc>
          <w:tcPr>
            <w:tcW w:type="dxa" w:w="328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功能摘要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实施状态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总览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工作台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系统总览与快捷入口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混合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数据集成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数据源管理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/ds/list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数据源连接配置、连接测试、schema 探测、引用统计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数据集成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/dag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统一任务入口，顶部页签：工作流/同步任务/ETL任务/流任务/运行监控/告警与SLA；四类任务均为「画布直达（默认打开上次编辑）+看列表弹窗」模式；运行监控页签为运行实例引擎视图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实测接真（告警页签演示）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数仓建模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/model/list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模型 CRUD、逆向导入（含批量业务域标注）、血缘影响；ER 设计器/字段设计器/模型血缘自列表行内进入（可视化直达，无独立子菜单）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数据开发IDE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/ide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SQL 编辑执行、目录树、四格式导出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脚本任务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/script/list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顶部页签三合一：脚本库/环境与依赖/远程执行(SSH)；/script/env、/script/remote 为同壳页签路由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参数配置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/param/global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顶部页签四合一：全局参数/内置时间参数/环境参数组/引用检测与预览；/param/builtin、/param/env、/param/tools 为同壳页签路由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数据质量-质量规则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/qc/rule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规则管理（含 3 条系统预制规则）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数据质量-检查任务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/qc/task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质量检查调度与执行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数据质量-异常数据核查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/qc/exception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异常闭环、趋势、下载、保留策略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数据质量-质量报告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/qc/report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三级报告合并单入口，顶部页签：总体/专项(DAG)/细项(表)；/qc/report-dag、/qc/report-table 为同壳页签路由，细项保留资产地图跳转参数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数据质量-质量告警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/qc/alarm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质量告警规则与记录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元数据管理-元数据目录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/meta/catalog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资产目录、脱敏预览、行级权限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元数据管理-血缘分析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/meta/lineage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表级/字段级血缘与影响分析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实测接真（双态）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元数据管理-数据资产地图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/meta/map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业务域/分层双视图、质量分入口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元数据管理-标签管理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/meta/tag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资产标签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数据标准-数据元标准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/std/element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数据元管理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数据标准-代码标准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/std/code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码表管理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数据标准-命名规范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/std/naming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词根与命名校验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数据标准-标准映射与合规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/std/mapping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标准↔字段映射、合规率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数据标准-标准审批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/std/approval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提交/审批/发布状态流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指标管理-指标目录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/ind/list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指标口径、版本、核查三入口（创建即生效）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指标管理-指标看板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/ind/board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指标趋势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指标管理-一致性检查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/ind/consistency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同名不同义/同义不同名检测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数据安全-权限管理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/sec/perm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角色权限矩阵、用户管理、密级说明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数据安全-脱敏规则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/sec/mask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脱敏策略配置与敏感发现统计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数据安全-访问审计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/sec/audit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访问日志检索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开放接口-API管理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/open/api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三类开放 API 注册、绑定来源、模拟调用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开放接口-API-Key管理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/open/key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密钥创建、线下分发、启用禁用、调用统计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开放接口-调用日志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/open/log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调用流水检索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一键部署-运行时节点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/dep/runtime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本地/远程节点管理、SSH 注册、资源状态、集群分发策略（SSH 主机信息唯一权威注册表）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一键部署-部署中心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/dep/center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六步部署向导、配置下发、滚动重启、备份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一键部署-集群监控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/dep/monitor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资源曲线与组件状态；内嵌集群拓扑工作台（原独立拓扑页 /deploy 重定向至此）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一键部署-组件日志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/dep/log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日志检索与下载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一键部署-告警管理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/dep/alarm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告警规则、记录、通知渠道与测试发送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一键部署-运维操作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/dep/ops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巡检、缓存清理、组件启停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</w:tbl>
    <w:p/>
    <w:p>
      <w:r>
        <w:rPr>
          <w:rFonts w:ascii="楷体" w:hAnsi="楷体" w:eastAsia="楷体" w:cs="楷体"/>
        </w:rPr>
        <w:t>实施状态口径见第 18 章；「实测接真」=已接真实后端并在 1.9 环境实测；「演示态」=本期范围外模块，页面顶栏挂「演示数据」标识。</w:t>
      </w:r>
    </w:p>
    <w:p>
      <w:r>
        <w:rPr>
          <w:rFonts w:ascii="宋体" w:hAnsi="宋体" w:eastAsia="宋体" w:cs="宋体"/>
          <w:b/>
        </w:rPr>
        <w:t>保留路由（不在左侧菜单展示，经页签内嵌、行内按钮或弹窗进入）：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路径</w:t>
            </w:r>
          </w:p>
        </w:tc>
        <w:tc>
          <w:tcPr>
            <w:tcW w:type="dxa" w:w="4195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进入方式</w:t>
            </w:r>
          </w:p>
        </w:tc>
        <w:tc>
          <w:tcPr>
            <w:tcW w:type="dxa" w:w="158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实施状态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/dag/design/:id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可视化编排（DAG 工作台全屏路由）：任务中心画布内嵌为主，列表行内按钮跳转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/stream/design/:id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流设计器：任务中心流任务页签画布内嵌，或列表行内「可视化编排」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/dag/instances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运行实例（引擎视图）：任务中心「运行监控」页签内嵌；run_mode 筛选、实例 DAG 染色、日志抽屉、停止/重跑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/dag/runs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 → /dag/instances（原 mock 运行实例页已删除）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/sync/list、/etl/list、/stream/list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任务中心「看列表」弹窗内嵌（embed 模式），行内按钮原位切画布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sync 实测接真；etl/stream 演示态（挂「演示数据」标识）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/sync/detail/:id、/stream/detail/:id、/ds/detail/:id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详情页：列表行内进入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sync/ds 实测接真；stream 演示态（挂「演示数据」标识）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/model/design/:id、/model/lineage/:id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模型设计/模型血缘：模型列表行内进入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/model/er、/qc/score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ER 设计器自模型列表页头按钮进入；评分总览为数据质量父级落点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/deploy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 → /dep/monitor（集群拓扑已并入集群监控页）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</w:t>
            </w:r>
          </w:p>
        </w:tc>
      </w:tr>
    </w:tbl>
    <w:p/>
    <w:p>
      <w:r>
        <w:rPr>
          <w:rFonts w:ascii="楷体" w:hAnsi="楷体" w:eastAsia="楷体" w:cs="楷体"/>
        </w:rPr>
        <w:t>已删除路由（规格演进注记）：/etl/design/:id（I1 意见③：ETL 设计画布内嵌任务中心 ETL 页签，独立入口删除）、/sync/wizard 与 /batch/board（I6：向导与进度看板下线，监控走同步列表/详情）、/dag/depend（跨流依赖页删除，依赖配置归工作台「依赖」页签）、/param/wfvars（工作流变量迁入工作台「变量」页签）。</w:t>
      </w:r>
    </w:p>
    <w:p>
      <w:pPr>
        <w:pStyle w:val="Heading1"/>
      </w:pPr>
      <w:r>
        <w:t>3 角色与权限</w:t>
      </w:r>
    </w:p>
    <w:p>
      <w:pPr>
        <w:pStyle w:val="Heading2"/>
      </w:pPr>
      <w:r>
        <w:t>3.1 系统权限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权限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典型受限动作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admin（管理员）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全量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无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dev（开发治理）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可编辑，审批/部署除外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标准审批、部署运维为只读/锁定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analyst（分析师）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全局只读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所有写操作禁用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viewer（访客）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全局只读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所有写操作禁用</w:t>
            </w:r>
          </w:p>
        </w:tc>
      </w:tr>
    </w:tbl>
    <w:p/>
    <w:p>
      <w:r>
        <w:rPr>
          <w:rFonts w:ascii="宋体" w:hAnsi="宋体" w:eastAsia="宋体" w:cs="宋体"/>
        </w:rPr>
        <w:t>实现为单一判定函数 can(action)：admin 恒真；dev 对 approve*、deploy* 返回假；analyst/viewer 全假。受控动作示例：ds:delete（数据源删除）、approve:std（标准审批）、deploy:ops（运维操作）、open:manage（开放接口管理，仅 admin/dev）。画布侧任务声明可编辑但 !canEdit 时自动降级只读（元件库隐藏、禁止拖拽连线）。</w:t>
      </w:r>
    </w:p>
    <w:p>
      <w:r>
        <w:rPr>
          <w:rFonts w:ascii="宋体" w:hAnsi="宋体" w:eastAsia="宋体" w:cs="宋体"/>
        </w:rPr>
        <w:t>开放接口的第三方调用不走系统角色体系，凭 API-Key 鉴权（见第 16 章）。</w:t>
      </w:r>
    </w:p>
    <w:p>
      <w:pPr>
        <w:pStyle w:val="Heading2"/>
      </w:pPr>
      <w:r>
        <w:t>3.2 数据权限（行级 + 列级）</w:t>
      </w:r>
    </w:p>
    <w:p>
      <w:r>
        <w:rPr>
          <w:rFonts w:ascii="宋体" w:hAnsi="宋体" w:eastAsia="宋体" w:cs="宋体"/>
        </w:rPr>
        <w:t>密级四级：公开 &lt; 内部 &lt; 机密 &lt; 绝密。每个用户有许可上限与业务域授权集合（空表示全部域）。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维度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规则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行级（表级）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表密级 ≤ 用户许可上限，且表业务域在用户授权集合内，方可查看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列级（展示层）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字段命中脱敏规则则按策略变形；未命中但值形态像手机号/身份证时兜底脱敏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拒绝可见性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无权行淡化显示并标记“无权限”；数据预览显示“无权限”面板；拒绝访问同样写入审计</w:t>
            </w:r>
          </w:p>
        </w:tc>
      </w:tr>
    </w:tbl>
    <w:p/>
    <w:p>
      <w:pPr>
        <w:pStyle w:val="Heading2"/>
      </w:pPr>
      <w:r>
        <w:t>3.3 演示用户与身份切换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姓名</w:t>
            </w:r>
          </w:p>
        </w:tc>
        <w:tc>
          <w:tcPr>
            <w:tcW w:type="dxa" w:w="2353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2353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许可上限</w:t>
            </w:r>
          </w:p>
        </w:tc>
        <w:tc>
          <w:tcPr>
            <w:tcW w:type="dxa" w:w="2353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业务域授权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王工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admin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绝密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全部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李工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dev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机密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交易域、公共域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张工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dev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内部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商品域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赵工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analyst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机密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财务域、经营域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访客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viewer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公开</w:t>
            </w:r>
          </w:p>
        </w:tc>
        <w:tc>
          <w:tcPr>
            <w:tcW w:type="dxa" w:w="2353"/>
          </w:tcPr>
          <w:p>
            <w:r/>
            <w:r>
              <w:rPr>
                <w:rFonts w:ascii="宋体" w:hAnsi="宋体" w:eastAsia="宋体" w:cs="宋体"/>
                <w:sz w:val="19"/>
              </w:rPr>
              <w:t>—</w:t>
            </w:r>
          </w:p>
        </w:tc>
      </w:tr>
    </w:tbl>
    <w:p/>
    <w:p>
      <w:r>
        <w:rPr>
          <w:rFonts w:ascii="宋体" w:hAnsi="宋体" w:eastAsia="宋体" w:cs="宋体"/>
        </w:rPr>
        <w:t>顶栏 user-chip 弹层切换演示身份，localStorage 持久化；接入真实后端时替换为登录接口。</w:t>
      </w:r>
    </w:p>
    <w:p>
      <w:pPr>
        <w:pStyle w:val="Heading1"/>
      </w:pPr>
      <w:r>
        <w:t>4 数据源管理</w:t>
      </w:r>
    </w:p>
    <w:p>
      <w:pPr>
        <w:pStyle w:val="Heading2"/>
      </w:pPr>
      <w:r>
        <w:t>4.1 连接器类型（7 大类 25 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分类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类型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关系型（国产/主流）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MySQL、Oracle、SQL Server、PostgreSQL、达梦、人大金仓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MPP/分析型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Hive、Spark ThriftServer、ClickHouse、Doris、StarRocks、GaussDB、Greenplum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NoSQL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HBase、MongoDB、Redis、Elasticsearch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消息队列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Kafka、RocketMQ、RabbitMQ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文件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CSV、JSON、Parquet、Excel、TXT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API 接口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RESTful API、WebService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其他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FTP/SFTP</w:t>
            </w:r>
          </w:p>
        </w:tc>
      </w:tr>
    </w:tbl>
    <w:p/>
    <w:p>
      <w:r>
        <w:rPr>
          <w:rFonts w:ascii="宋体" w:hAnsi="宋体" w:eastAsia="宋体" w:cs="宋体"/>
        </w:rPr>
        <w:t>信创数据源（达梦、人大金仓、GaussDB 等）带 xc 标记，对应信创适配要求。</w:t>
      </w:r>
    </w:p>
    <w:p>
      <w:pPr>
        <w:pStyle w:val="Heading2"/>
      </w:pPr>
      <w:r>
        <w:t>4.2 schema 维度</w:t>
      </w:r>
    </w:p>
    <w:p>
      <w:r>
        <w:rPr>
          <w:rFonts w:ascii="宋体" w:hAnsi="宋体" w:eastAsia="宋体" w:cs="宋体"/>
        </w:rPr>
        <w:t>系统应支持数据源内 schema（命名空间）维度：数据源详情展示 schema 清单与各 schema 下表清单；表级元数据（模型/目录/同步）携带所属 schema 属性；同步、ETL、建模中选择源表时均应提供 schema 过滤下拉。该维度支撑多 schema 同名表同步场景（见 7.2）。</w:t>
      </w:r>
    </w:p>
    <w:p>
      <w:pPr>
        <w:pStyle w:val="Heading2"/>
      </w:pPr>
      <w:r>
        <w:t>4.3 业务逻辑</w:t>
      </w:r>
    </w:p>
    <w:p>
      <w:r>
        <w:rPr>
          <w:rFonts w:ascii="宋体" w:hAnsi="宋体" w:eastAsia="宋体" w:cs="宋体"/>
        </w:rPr>
        <w:t>（1）选择类型（卡片选择器，按分类分组）</w:t>
      </w:r>
    </w:p>
    <w:p>
      <w:r>
        <w:rPr>
          <w:rFonts w:ascii="宋体" w:hAnsi="宋体" w:eastAsia="宋体" w:cs="宋体"/>
        </w:rPr>
        <w:t>（2）动态表单：主机/端口/库/账号/密钥/超时（不同类型字段不同）</w:t>
      </w:r>
    </w:p>
    <w:p>
      <w:r>
        <w:rPr>
          <w:rFonts w:ascii="宋体" w:hAnsi="宋体" w:eastAsia="宋体" w:cs="宋体"/>
        </w:rPr>
        <w:t>（3）连接测试：成功或失败双路径，失败给出原因提示</w:t>
      </w:r>
    </w:p>
    <w:p>
      <w:r>
        <w:rPr>
          <w:rFonts w:ascii="宋体" w:hAnsi="宋体" w:eastAsia="宋体" w:cs="宋体"/>
        </w:rPr>
        <w:t>（4）保存启用：进入列表并可被引用</w:t>
      </w:r>
    </w:p>
    <w:p>
      <w:r>
        <w:rPr>
          <w:rFonts w:ascii="宋体" w:hAnsi="宋体" w:eastAsia="宋体" w:cs="宋体"/>
        </w:rPr>
        <w:t>（5）schema 探测：连接成功后可枚举 schema 与表清单，供同步/建模使用</w:t>
      </w:r>
    </w:p>
    <w:p>
      <w:r>
        <w:rPr>
          <w:rFonts w:ascii="宋体" w:hAnsi="宋体" w:eastAsia="宋体" w:cs="宋体"/>
        </w:rPr>
        <w:t>详情页展示连接信息、schema/表清单、被引用统计（被同步任务/ETL/建模引用情况）；被引用的数据源禁止删除。列表支持类型/状态/业务域 facets 筛选。</w:t>
      </w:r>
    </w:p>
    <w:p>
      <w:pPr>
        <w:pStyle w:val="Heading1"/>
      </w:pPr>
      <w:r>
        <w:t>5 元数据管理</w:t>
      </w:r>
    </w:p>
    <w:p>
      <w:pPr>
        <w:pStyle w:val="Heading2"/>
      </w:pPr>
      <w:r>
        <w:t>5.1 元数据目录</w:t>
      </w:r>
    </w:p>
    <w:p>
      <w:r>
        <w:rPr>
          <w:rFonts w:ascii="宋体" w:hAnsi="宋体" w:eastAsia="宋体" w:cs="宋体"/>
        </w:rPr>
        <w:t>资产表清单（表名/所属 schema/分层/业务域/密级/字段数/行数/更新时间）+ 左侧 facets（分层/业务域/密级）筛选。详情抽屉展示字段列表与数据预览：预览套用列级脱敏与行级权限，无权表显示遮罩；打开详情写访问审计（允许或拒绝均记录）。</w:t>
      </w:r>
    </w:p>
    <w:p>
      <w:pPr>
        <w:pStyle w:val="Heading2"/>
      </w:pPr>
      <w:r>
        <w:t>5.2 血缘分析</w:t>
      </w:r>
    </w:p>
    <w:p>
      <w:r>
        <w:rPr>
          <w:rFonts w:ascii="宋体" w:hAnsi="宋体" w:eastAsia="宋体" w:cs="宋体"/>
        </w:rPr>
        <w:t>表级与字段级图形血缘，支持来源/影响双向查看；影响分析输出下游 N 表/N 任务/N 指标统计。</w:t>
      </w:r>
    </w:p>
    <w:p>
      <w:pPr>
        <w:pStyle w:val="Heading2"/>
      </w:pPr>
      <w:r>
        <w:t>5.3 数据资产地图</w:t>
      </w:r>
    </w:p>
    <w:p>
      <w:r>
        <w:rPr>
          <w:rFonts w:ascii="宋体" w:hAnsi="宋体" w:eastAsia="宋体" w:cs="宋体"/>
        </w:rPr>
        <w:t>按业务域/按数据分层两种归类的力导向关系图；表卡片含名称、引擎、字段数与质量分入口（跳转细项质量报告，见 11.4）。</w:t>
      </w:r>
    </w:p>
    <w:p>
      <w:pPr>
        <w:pStyle w:val="Heading2"/>
      </w:pPr>
      <w:r>
        <w:t>5.4 标签管理</w:t>
      </w:r>
    </w:p>
    <w:p>
      <w:r>
        <w:rPr>
          <w:rFonts w:ascii="宋体" w:hAnsi="宋体" w:eastAsia="宋体" w:cs="宋体"/>
        </w:rPr>
        <w:t>面向资产的标签创建、打标、批量操作与检索。</w:t>
      </w:r>
    </w:p>
    <w:p>
      <w:r>
        <w:rPr>
          <w:rFonts w:ascii="楷体" w:hAnsi="楷体" w:eastAsia="楷体" w:cs="楷体"/>
          <w:sz w:val="20"/>
        </w:rPr>
        <w:t>〔说明〕元数据获取统一经数仓建模的逆向工程导入完成，系统不设独立采集任务功能（避免功能重复）。</w:t>
      </w:r>
    </w:p>
    <w:p>
      <w:pPr>
        <w:pStyle w:val="Heading1"/>
      </w:pPr>
      <w:r>
        <w:t>6 数仓建模</w:t>
      </w:r>
    </w:p>
    <w:p>
      <w:pPr>
        <w:pStyle w:val="Heading2"/>
      </w:pPr>
      <w:r>
        <w:t>6.1 模型设计器</w:t>
      </w:r>
    </w:p>
    <w:p>
      <w:r>
        <w:rPr>
          <w:rFonts w:ascii="宋体" w:hAnsi="宋体" w:eastAsia="宋体" w:cs="宋体"/>
        </w:rPr>
        <w:t>维护模型的分层、主题域、引擎、schema、字段、分区与索引；引擎类型覆盖 MySQL、Doris、StarRocks 及湖仓 Hudi、Iceberg；支持 DDL 预览与版本保存。</w:t>
      </w:r>
    </w:p>
    <w:p>
      <w:pPr>
        <w:pStyle w:val="Heading2"/>
      </w:pPr>
      <w:r>
        <w:t>6.2 模型列表与逆向工程导入（含批量业务域标注）</w:t>
      </w:r>
    </w:p>
    <w:p>
      <w:r>
        <w:rPr>
          <w:rFonts w:ascii="宋体" w:hAnsi="宋体" w:eastAsia="宋体" w:cs="宋体"/>
        </w:rPr>
        <w:t>模型列表支持新建、编辑、删除保护（被任务引用禁止）；版本历史含版本号、日期、作者、说明，可回滚。</w:t>
      </w:r>
    </w:p>
    <w:p>
      <w:r>
        <w:rPr>
          <w:rFonts w:ascii="宋体" w:hAnsi="宋体" w:eastAsia="宋体" w:cs="宋体"/>
        </w:rPr>
        <w:t>逆向工程导入流程：选择数据源 → 扫描 schema 与表清单 → 勾选导入（支持单表或多表）→ 批量业务域标注 → 生成模型（版本备注记录来源数据源）。</w:t>
      </w:r>
    </w:p>
    <w:p>
      <w:r>
        <w:rPr>
          <w:rFonts w:ascii="宋体" w:hAnsi="宋体" w:eastAsia="宋体" w:cs="宋体"/>
          <w:b/>
        </w:rPr>
        <w:t>批量业务域标注交互规范：</w:t>
      </w:r>
    </w:p>
    <w:p>
      <w:r>
        <w:rPr>
          <w:rFonts w:ascii="宋体" w:hAnsi="宋体" w:eastAsia="宋体" w:cs="宋体"/>
        </w:rPr>
        <w:t>（1）导入弹窗提供“业务域”输入框，支持多表统一赋值，逐表可覆盖。</w:t>
      </w:r>
    </w:p>
    <w:p>
      <w:r>
        <w:rPr>
          <w:rFonts w:ascii="宋体" w:hAnsi="宋体" w:eastAsia="宋体" w:cs="宋体"/>
        </w:rPr>
        <w:t>（2）输入框以 placeholder 显示上一次使用的业务域名称，格式为“上次：××域（按 Tab 快速填入）”。</w:t>
      </w:r>
    </w:p>
    <w:p>
      <w:r>
        <w:rPr>
          <w:rFonts w:ascii="宋体" w:hAnsi="宋体" w:eastAsia="宋体" w:cs="宋体"/>
        </w:rPr>
        <w:t>（3）用户按下 Tab 键即填入上次值；若不填写，提交时默认采用上次值。</w:t>
      </w:r>
    </w:p>
    <w:p>
      <w:r>
        <w:rPr>
          <w:rFonts w:ascii="宋体" w:hAnsi="宋体" w:eastAsia="宋体" w:cs="宋体"/>
        </w:rPr>
        <w:t>（4）输入框旁置 ⓘ 提示图标，说明“直接输入新业务域，或按 Tab 采用上次值”；同时提供最近使用业务域历史下拉。</w:t>
      </w:r>
    </w:p>
    <w:p>
      <w:r>
        <w:rPr>
          <w:rFonts w:ascii="宋体" w:hAnsi="宋体" w:eastAsia="宋体" w:cs="宋体"/>
        </w:rPr>
        <w:t>（5）上次值持久化保存，跨会话生效。</w:t>
      </w:r>
    </w:p>
    <w:p>
      <w:pPr>
        <w:pStyle w:val="Heading2"/>
      </w:pPr>
      <w:r>
        <w:t>6.3 模型血缘与影响</w:t>
      </w:r>
    </w:p>
    <w:p>
      <w:r>
        <w:rPr>
          <w:rFonts w:ascii="宋体" w:hAnsi="宋体" w:eastAsia="宋体" w:cs="宋体"/>
        </w:rPr>
        <w:t>按分层展示源表 → ODS → DWD → DWS → ADS 的加工链路，并统计影响范围（下游表/任务/指标），从模型列表行操作进入。</w:t>
      </w:r>
    </w:p>
    <w:p>
      <w:pPr>
        <w:pStyle w:val="Heading2"/>
      </w:pPr>
      <w:r>
        <w:t>6.4 ER 画布</w:t>
      </w:r>
    </w:p>
    <w:p>
      <w:r>
        <w:rPr>
          <w:rFonts w:ascii="宋体" w:hAnsi="宋体" w:eastAsia="宋体" w:cs="宋体"/>
        </w:rPr>
        <w:t>实体关系可视化，实体间连线表达外键/关联。</w:t>
      </w:r>
    </w:p>
    <w:p>
      <w:pPr>
        <w:pStyle w:val="Heading1"/>
      </w:pPr>
      <w:r>
        <w:t>7 数据集成——同步管线</w:t>
      </w:r>
    </w:p>
    <w:p>
      <w:pPr>
        <w:pStyle w:val="Heading2"/>
      </w:pPr>
      <w:r>
        <w:t>7.1 双导航创建</w:t>
      </w:r>
    </w:p>
    <w:p>
      <w:r>
        <w:rPr>
          <w:rFonts w:ascii="宋体" w:hAnsi="宋体" w:eastAsia="宋体" w:cs="宋体"/>
          <w:b/>
        </w:rPr>
        <w:t>同步任务提供两种创建导航，用户可任选：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导航方式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流程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以源数据表为基准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五步向导：选源（数据源+schema 过滤+源表）→ 选目标/自动建表 → 字段映射 → 同步配置 → 调度配置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源表已明确，常规迁移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以目标数据表为基准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选定目标表 → 探测源数据源（7.2）→ 系统初始化字段匹配 → 用户调整确认 → 保存并纳入 DAG 调度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目标模型已定，反查来源（如低代码平台新增多 schema）</w:t>
            </w:r>
          </w:p>
        </w:tc>
      </w:tr>
    </w:tbl>
    <w:p/>
    <w:p>
      <w:pPr>
        <w:pStyle w:val="Heading2"/>
      </w:pPr>
      <w:r>
        <w:t>7.2 目标表基准的源探测机制</w:t>
      </w:r>
    </w:p>
    <w:p>
      <w:r>
        <w:rPr>
          <w:rFonts w:ascii="宋体" w:hAnsi="宋体" w:eastAsia="宋体" w:cs="宋体"/>
        </w:rPr>
        <w:t>选定目标数据表后，系统对所选源数据源执行探测：</w:t>
      </w:r>
    </w:p>
    <w:p>
      <w:r>
        <w:rPr>
          <w:rFonts w:ascii="宋体" w:hAnsi="宋体" w:eastAsia="宋体" w:cs="宋体"/>
        </w:rPr>
        <w:t>（1）设计时探测：枚举源数据源的全部 schema，列出各 schema 下与目标表同名的源表，由用户勾选纳入同步范围。</w:t>
      </w:r>
    </w:p>
    <w:p>
      <w:r>
        <w:rPr>
          <w:rFonts w:ascii="宋体" w:hAnsi="宋体" w:eastAsia="宋体" w:cs="宋体"/>
        </w:rPr>
        <w:t>（2）运行时探测：每次调度执行前重新探测源数据源；探测配置在设计时由用户设定，二选一——自动纳入（默认）：新发现 schema 的同名源表自动加入同步；待确认纳入：新发现项进入同步任务列表顶部“待确认 schema”队列，人工审核确认后纳入。</w:t>
      </w:r>
    </w:p>
    <w:p>
      <w:r>
        <w:rPr>
          <w:rFonts w:ascii="宋体" w:hAnsi="宋体" w:eastAsia="宋体" w:cs="宋体"/>
        </w:rPr>
        <w:t>（3）合并策略（多同名源表写入同一目标表时，表单化三选一）：追加 union——各源表数据直接追加；schema 标识列（默认）——目标表自动增加来源 schema 标识列后再追加；schema 分区隔离——按来源 schema 写入目标表不同分区。合并策略为目标表建模的一部分，随任务配置保存。</w:t>
      </w:r>
    </w:p>
    <w:p>
      <w:r>
        <w:rPr>
          <w:rFonts w:ascii="宋体" w:hAnsi="宋体" w:eastAsia="宋体" w:cs="宋体"/>
        </w:rPr>
        <w:t>（4）字段匹配初始化：系统按“同名 + 类型兼容”规则自动生成源表与目标表的字段映射，用户可在确认页调整后保存。</w:t>
      </w:r>
    </w:p>
    <w:p>
      <w:pPr>
        <w:pStyle w:val="Heading2"/>
      </w:pPr>
      <w:r>
        <w:t>7.3 同步任务列表与详情（监控视角）</w:t>
      </w:r>
    </w:p>
    <w:p>
      <w:r>
        <w:rPr>
          <w:rFonts w:ascii="宋体" w:hAnsi="宋体" w:eastAsia="宋体" w:cs="宋体"/>
        </w:rPr>
        <w:t>同步任务创建后即作为 DAG 工作台的同步节点参与调度；同步任务列表独立保留，作为监控视角。列表列含任务、源→目标（含源 schema 集合）、同步类型、周期、状态、最近批次、目标表、目标分区、待确认 schema 数；操作含详情、启停、重跑。详情页展示批次记录（状态/行数/耗时），历史趋势=7 天历史批次与当前批次合并的数据量趋势、耗时趋势，并附历史统计小表。</w:t>
      </w:r>
    </w:p>
    <w:p>
      <w:pPr>
        <w:pStyle w:val="Heading2"/>
      </w:pPr>
      <w:r>
        <w:t>7.4 同步进度看板</w:t>
      </w:r>
    </w:p>
    <w:p>
      <w:r>
        <w:rPr>
          <w:rFonts w:ascii="宋体" w:hAnsi="宋体" w:eastAsia="宋体" w:cs="宋体"/>
        </w:rPr>
        <w:t>今日总览（任务数/成功失败/总行数）、数据量趋势、耗时排名 TopN、历史批次表；最新核对报告（源目行数核对+差异）可下载。</w:t>
      </w:r>
    </w:p>
    <w:p>
      <w:pPr>
        <w:pStyle w:val="Heading2"/>
      </w:pPr>
      <w:r>
        <w:t>7.5 业务规则</w:t>
      </w:r>
    </w:p>
    <w:p>
      <w:r>
        <w:rPr>
          <w:rFonts w:ascii="宋体" w:hAnsi="宋体" w:eastAsia="宋体" w:cs="宋体"/>
        </w:rPr>
        <w:t>全量=先清后写；增量=增量键水位推进；Upsert=主键合并。批次失败按重试策略重试并触发告警（联动 15.5 通知渠道）；进度=已写入行数/预估总行数。</w:t>
      </w:r>
    </w:p>
    <w:p>
      <w:pPr>
        <w:pStyle w:val="Heading1"/>
      </w:pPr>
      <w:r>
        <w:t>8 数据集成——ETL 与批处理</w:t>
      </w:r>
    </w:p>
    <w:p>
      <w:pPr>
        <w:pStyle w:val="Heading2"/>
      </w:pPr>
      <w:r>
        <w:t>8.1 转换算子（12 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算子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语义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过滤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按条件过滤行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Join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双流按键关联（内/左/右/全）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聚合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分组聚合（sum/count/avg 等）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表达式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新增/派生字段计算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去重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按主键保留首条/末条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字段选择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裁剪/重命名字段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排序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按字段升/降序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拆分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一流入多流（按条件路由）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合并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多流合一（union）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查找替换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码表映射替换值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采样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按比例/条数抽样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UDF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自定义函数扩展</w:t>
            </w:r>
          </w:p>
        </w:tc>
      </w:tr>
    </w:tbl>
    <w:p/>
    <w:p>
      <w:pPr>
        <w:pStyle w:val="Heading2"/>
      </w:pPr>
      <w:r>
        <w:t>8.2 ETL 任务与两层画布</w:t>
      </w:r>
    </w:p>
    <w:p>
      <w:r>
        <w:rPr>
          <w:rFonts w:ascii="宋体" w:hAnsi="宋体" w:eastAsia="宋体" w:cs="宋体"/>
        </w:rPr>
        <w:t>ETL 任务以任务节点形式编入 DAG 工作台；双击 ETL 任务节点进入算子级子画布（见 2.4）：左侧元件库拖拽算子入画布并连线表达数据流，右侧 Inspector 配置算子参数（动态表单），顶部工具栏提供校验（必填/类型匹配/环检测）与运行模拟（输出样本数据）。ETL 任务列表保留监控视角，展示运行历史与输入输出。</w:t>
      </w:r>
    </w:p>
    <w:p>
      <w:pPr>
        <w:pStyle w:val="Heading2"/>
      </w:pPr>
      <w:r>
        <w:t>8.3 批处理</w:t>
      </w:r>
    </w:p>
    <w:p>
      <w:r>
        <w:rPr>
          <w:rFonts w:ascii="宋体" w:hAnsi="宋体" w:eastAsia="宋体" w:cs="宋体"/>
        </w:rPr>
        <w:t>批处理任务支持每日/每小时/手动三种触发；失败自动重试、支持手工重跑；统一纳入 DAG 工作台调度。</w:t>
      </w:r>
    </w:p>
    <w:p>
      <w:pPr>
        <w:pStyle w:val="Heading1"/>
      </w:pPr>
      <w:r>
        <w:t>9 数据开发</w:t>
      </w:r>
    </w:p>
    <w:p>
      <w:pPr>
        <w:pStyle w:val="Heading2"/>
      </w:pPr>
      <w:r>
        <w:t>9.1 DAG 工作台（统一编排窗口）</w:t>
      </w:r>
    </w:p>
    <w:p>
      <w:r>
        <w:rPr>
          <w:rFonts w:ascii="宋体" w:hAnsi="宋体" w:eastAsia="宋体" w:cs="宋体"/>
          <w:b/>
        </w:rPr>
        <w:t>凡任务流设计与任务流执行相关功能，统一在 DAG 工作流可视化编排窗口（DAG 工作台）实现。工作台为单窗口五页签结构：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页签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设计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任务画布编排；左侧元件库分两大组件分组：批处理与同步（同步任务/SQL 任务/脚本任务/子工作流/条件分支/质量判定）、流数据处理（Source/Transform/Fusion/Sink/CEP）；双击任务节点进入算子子画布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依赖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边级依赖配置与依赖检查（见 9.2）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运行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本工作流实例列表、节点状态着色、日志、重跑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日志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工作流与节点执行日志汇总检索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变量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工作流变量管理（见 9.4）</w:t>
            </w:r>
          </w:p>
        </w:tc>
      </w:tr>
    </w:tbl>
    <w:p/>
    <w:p>
      <w:r>
        <w:rPr>
          <w:rFonts w:ascii="宋体" w:hAnsi="宋体" w:eastAsia="宋体" w:cs="宋体"/>
        </w:rPr>
        <w:t>菜单入口：数据集成-任务中心（/dag）。顶部页签切换任务视角——工作流/同步任务/ETL任务/流任务四个任务页签均为同一模式：默认直达该类型上次编辑的画布（localStorage 记忆，per-type 独立键），点「看列表」按钮弹窗内嵌对应列表（embed），列表行内「可视化编排」原位切换画布；同步任务页签保留监控视角操作。「运行监控」页签内嵌运行实例引擎视图（/dag/instances：run_mode 筛选、实例 DAG 染色、节点日志抽屉、停止/重跑），「告警与SLA」页签内嵌 /dag/alarm（演示态，页签内挂提示条）。任务候选池按定义标签（同步/ETL/流）过滤，real 模式自后端定义列表构建。</w:t>
      </w:r>
    </w:p>
    <w:p>
      <w:pPr>
        <w:pStyle w:val="Heading2"/>
      </w:pPr>
      <w:r>
        <w:t>9.2 依赖管理（部分结果数据依赖）</w:t>
      </w:r>
    </w:p>
    <w:p>
      <w:r>
        <w:rPr>
          <w:rFonts w:ascii="宋体" w:hAnsi="宋体" w:eastAsia="宋体" w:cs="宋体"/>
        </w:rPr>
        <w:t>依赖边上应支持配置：</w:t>
      </w:r>
    </w:p>
    <w:p>
      <w:r>
        <w:rPr>
          <w:rFonts w:ascii="宋体" w:hAnsi="宋体" w:eastAsia="宋体" w:cs="宋体"/>
        </w:rPr>
        <w:t>（1）结果数据引用（三级粒度）：结果表 → 字段子集 → 行过滤表达式。上游节点输出经该引用裁剪后作为下游输入。</w:t>
      </w:r>
    </w:p>
    <w:p>
      <w:r>
        <w:rPr>
          <w:rFonts w:ascii="宋体" w:hAnsi="宋体" w:eastAsia="宋体" w:cs="宋体"/>
        </w:rPr>
        <w:t>（2）对齐条件：是否要求同周期（上游实例与下游实例处于同一调度周期）、是否要求同批次（同一批次号）。运行时校验：不满足时按策略等待/跳过/失败。</w:t>
      </w:r>
    </w:p>
    <w:p>
      <w:r>
        <w:rPr>
          <w:rFonts w:ascii="宋体" w:hAnsi="宋体" w:eastAsia="宋体" w:cs="宋体"/>
        </w:rPr>
        <w:t>（3）SQL 节点多结果表依赖：自动解析 SQL 目标表（INSERT/UPDATE 目标）并允许手动标注；周期表达式支持 T/T-1/T-N。</w:t>
      </w:r>
    </w:p>
    <w:p>
      <w:r>
        <w:rPr>
          <w:rFonts w:ascii="宋体" w:hAnsi="宋体" w:eastAsia="宋体" w:cs="宋体"/>
        </w:rPr>
        <w:t>（4）依赖检查 4 项：环依赖、缺失上游、周期冲突、跨层引用；检查不通过阻止发布调度。</w:t>
      </w:r>
    </w:p>
    <w:p>
      <w:r>
        <w:rPr>
          <w:rFonts w:ascii="宋体" w:hAnsi="宋体" w:eastAsia="宋体" w:cs="宋体"/>
        </w:rPr>
        <w:t>（5）选择性重跑三种策略：仅本节点/含下游/含上游。</w:t>
      </w:r>
    </w:p>
    <w:p>
      <w:pPr>
        <w:pStyle w:val="Heading2"/>
      </w:pPr>
      <w:r>
        <w:t>9.3 运行实例与执行节点</w:t>
      </w:r>
    </w:p>
    <w:p>
      <w:r>
        <w:rPr>
          <w:rFonts w:ascii="宋体" w:hAnsi="宋体" w:eastAsia="宋体" w:cs="宋体"/>
        </w:rPr>
        <w:t>实例状态机：等待→运行→成功/失败/取消。每个节点实例记录实际执行节点（见 15.6 运行时节点与分发策略）；实例画布按节点状态着色；节点日志可展开；失败节点支持按重跑策略重跑。</w:t>
      </w:r>
    </w:p>
    <w:p>
      <w:pPr>
        <w:pStyle w:val="Heading2"/>
      </w:pPr>
      <w:r>
        <w:t>9.4 参数体系（工作流变量迁入工作台）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类别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管理位置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全局参数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参数配置页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跨工作流共享的键值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内置时间参数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参数配置页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业务日期 ${bdp.system.bizdate} 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环境参数组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参数配置页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dev/test/prod 各一套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工作流变量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DAG 工作台“变量”页签（顶部组件）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工作流级：类型（日期/文本/数值/加密/下拉）、默认值、下拉选项、描述</w:t>
            </w:r>
          </w:p>
        </w:tc>
      </w:tr>
    </w:tbl>
    <w:p/>
    <w:p>
      <w:r>
        <w:rPr>
          <w:rFonts w:ascii="宋体" w:hAnsi="宋体" w:eastAsia="宋体" w:cs="宋体"/>
          <w:b/>
        </w:rPr>
        <w:t>工作流变量管理与使用分离：</w:t>
      </w:r>
    </w:p>
    <w:p>
      <w:r>
        <w:rPr>
          <w:rFonts w:ascii="宋体" w:hAnsi="宋体" w:eastAsia="宋体" w:cs="宋体"/>
        </w:rPr>
        <w:t>（1）管理：DAG 工作台顶部“工作流变量”组件提供增删改查；支持“复制到其他工作流”——按目标工作流多选执行快照复制，只复制不建立跨工作流共享引用；目标存在同名变量时弹窗三选（跳过/重命名为 db_url_1 形式/覆盖）；加密类型变量复制时须在目标工作流重新输入值，不搬运密文。</w:t>
      </w:r>
    </w:p>
    <w:p>
      <w:r>
        <w:rPr>
          <w:rFonts w:ascii="宋体" w:hAnsi="宋体" w:eastAsia="宋体" w:cs="宋体"/>
        </w:rPr>
        <w:t>（2）使用：节点 Inspector 的输入输出表单中仅可引用（下拉列出当前工作流变量+环境变量+全局参数，选中插入 ${var} 引用），不提供增删改入口。</w:t>
      </w:r>
    </w:p>
    <w:p>
      <w:r>
        <w:rPr>
          <w:rFonts w:ascii="宋体" w:hAnsi="宋体" w:eastAsia="宋体" w:cs="宋体"/>
        </w:rPr>
        <w:t>（3）同名参数解析优先级不变：节点参数 &gt; 工作流变量 &gt; 环境组 &gt; 全局。</w:t>
      </w:r>
    </w:p>
    <w:p>
      <w:r>
        <w:rPr>
          <w:rFonts w:ascii="宋体" w:hAnsi="宋体" w:eastAsia="宋体" w:cs="宋体"/>
        </w:rPr>
        <w:t>（4）系统不设独立的工作流变量管理页面（管理入口即工作台变量页签）。</w:t>
      </w:r>
    </w:p>
    <w:p>
      <w:pPr>
        <w:pStyle w:val="Heading2"/>
      </w:pPr>
      <w:r>
        <w:t>9.5 数据开发 IDE</w:t>
      </w:r>
    </w:p>
    <w:p>
      <w:r>
        <w:rPr>
          <w:rFonts w:ascii="宋体" w:hAnsi="宋体" w:eastAsia="宋体" w:cs="宋体"/>
        </w:rPr>
        <w:t>左侧树形目录（库→表→字段，点击表名自动生成 SELECT）；编辑区支持关键字补全、格式化、函数参考；执行输出结果网格；支持执行历史、SQL 收藏；SQL 解析（引用表提取）与验证；数据导出 CSV/Excel/JSON/SQL INSERT 四种格式。</w:t>
      </w:r>
    </w:p>
    <w:p>
      <w:pPr>
        <w:pStyle w:val="Heading1"/>
      </w:pPr>
      <w:r>
        <w:t>10 流处理管线</w:t>
      </w:r>
    </w:p>
    <w:p>
      <w:pPr>
        <w:pStyle w:val="Heading2"/>
      </w:pPr>
      <w:r>
        <w:t>10.1 流任务与设计</w:t>
      </w:r>
    </w:p>
    <w:p>
      <w:r>
        <w:rPr>
          <w:rFonts w:ascii="宋体" w:hAnsi="宋体" w:eastAsia="宋体" w:cs="宋体"/>
        </w:rPr>
        <w:t>流任务结构：Source（消息队列/CDC）→ Transform（窗口聚合/过滤/Join/CEP）→ Sink（结果表/告警）；状态含运行/暂停/异常；支持 checkpoint。流设计器支持 CEP 复杂事件算子（模式序列/时间窗口）、水位线与时间语义（事件时间/处理时间）配置，并提供实时数据预览抽屉。流任务以任务节点编入 DAG 工作台，双击进入流算子子画布；流任务列表保留监控视角（吞吐、延迟、背压指标）。</w:t>
      </w:r>
    </w:p>
    <w:p>
      <w:pPr>
        <w:pStyle w:val="Heading2"/>
      </w:pPr>
      <w:r>
        <w:t>10.2 融合组件</w:t>
      </w:r>
    </w:p>
    <w:p>
      <w:r>
        <w:rPr>
          <w:rFonts w:ascii="宋体" w:hAnsi="宋体" w:eastAsia="宋体" w:cs="宋体"/>
        </w:rPr>
        <w:t>流元件库提供“融合（Fusion）”组件：接收多路输入流，按统一时间窗口聚合（或 union）输出一张融合结果视图；融合视图可作为 Sink 落表，或注册为开放接口的数据来源（见 16.3），供大屏等第三方系统经 API 获取流数据。</w:t>
      </w:r>
    </w:p>
    <w:p>
      <w:pPr>
        <w:pStyle w:val="Heading1"/>
      </w:pPr>
      <w:r>
        <w:t>11 数据质量</w:t>
      </w:r>
    </w:p>
    <w:p>
      <w:pPr>
        <w:pStyle w:val="Heading2"/>
      </w:pPr>
      <w:r>
        <w:t>11.1 质量规则（含系统预制规则）</w:t>
      </w:r>
    </w:p>
    <w:p>
      <w:r>
        <w:rPr>
          <w:rFonts w:ascii="宋体" w:hAnsi="宋体" w:eastAsia="宋体" w:cs="宋体"/>
        </w:rPr>
        <w:t>规则类型覆盖完整性（空值率）、唯一性（主键重复）、准确性（值域/正则）、一致性（跨表比对）、及时性（延迟阈值）；规则绑定到表与字段，强度分强/弱。</w:t>
      </w:r>
    </w:p>
    <w:p>
      <w:r>
        <w:rPr>
          <w:rFonts w:ascii="宋体" w:hAnsi="宋体" w:eastAsia="宋体" w:cs="宋体"/>
        </w:rPr>
        <w:t>系统内置三条预制规则模板（可禁用、不可删除）：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规则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校验逻辑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身份证号码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18 位，末位校验位按 GB 11643 加权算法验证；兼容 15 位历史号码提示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手机号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11 位，1 开头，第 2 位属合法号段集合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企业信用代码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18 位统一社会信用代码，字符集与大写校验位按 GB 32100 验证</w:t>
            </w:r>
          </w:p>
        </w:tc>
      </w:tr>
    </w:tbl>
    <w:p/>
    <w:p>
      <w:r>
        <w:rPr>
          <w:rFonts w:ascii="宋体" w:hAnsi="宋体" w:eastAsia="宋体" w:cs="宋体"/>
        </w:rPr>
        <w:t>系统不设“质量覆盖度”视图；规则与表的绑定关系在规则详情与检查任务结果中直接呈现。</w:t>
      </w:r>
    </w:p>
    <w:p>
      <w:pPr>
        <w:pStyle w:val="Heading2"/>
      </w:pPr>
      <w:r>
        <w:t>11.2 检查任务与异常核查闭环</w:t>
      </w:r>
    </w:p>
    <w:p>
      <w:r>
        <w:rPr>
          <w:rFonts w:ascii="宋体" w:hAnsi="宋体" w:eastAsia="宋体" w:cs="宋体"/>
        </w:rPr>
        <w:t>检查任务按调度周期执行规则并产出通过率与异常明细。异常数据核查页提供处理闭环：修复 / 忽略 / 隔离区（隔离数据可恢复）。支持按字段/规则/类型统计与下载（CSV/Excel/JSON，全部或筛选后）；趋势=总体 30 日+按错误类型/按规则 7 日分组，波动判断提示：整批激增→疑似处理异常（排查上游任务），单类型激增→疑似业务异常（联系业务方），均转人工处理。异常数据保留策略：N 天可配置，到期自动清理（开关控制），清理仅删明细不删报告。</w:t>
      </w:r>
    </w:p>
    <w:p>
      <w:pPr>
        <w:pStyle w:val="Heading2"/>
      </w:pPr>
      <w:r>
        <w:t>11.3 质量告警</w:t>
      </w:r>
    </w:p>
    <w:p>
      <w:r>
        <w:rPr>
          <w:rFonts w:ascii="宋体" w:hAnsi="宋体" w:eastAsia="宋体" w:cs="宋体"/>
        </w:rPr>
        <w:t>告警规则（阈值/波动）命中后联动通知渠道（见 15.5）。</w:t>
      </w:r>
    </w:p>
    <w:p>
      <w:pPr>
        <w:pStyle w:val="Heading2"/>
      </w:pPr>
      <w:r>
        <w:t>11.4 三级质量报告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层级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内容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入口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总体报告（系统级）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全系统质量概览：表数/规则数/通过率/异常趋势/问题 Top 表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数据质量-质量报告（总体页签）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专项报告（DAG 工作流级）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聚合该 DAG 任务涉及的全部资产表的检查结果与 Quality Gate 判定记录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质量报告（专项页签，按工作流检索）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细项报告（表级）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单表质量分（按维度加权）与规则明细、异常样本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质量报告（细项页签，全表检索）；资产地图表卡片“质量分”按钮</w:t>
            </w:r>
          </w:p>
        </w:tc>
      </w:tr>
    </w:tbl>
    <w:p/>
    <w:p>
      <w:r>
        <w:rPr>
          <w:rFonts w:ascii="宋体" w:hAnsi="宋体" w:eastAsia="宋体" w:cs="宋体"/>
        </w:rPr>
        <w:t>三级报告均支持导出，并经开放接口供第三方系统调阅（见 16.3）。</w:t>
      </w:r>
    </w:p>
    <w:p>
      <w:pPr>
        <w:pStyle w:val="Heading1"/>
      </w:pPr>
      <w:r>
        <w:t>12 数据标准</w:t>
      </w:r>
    </w:p>
    <w:p>
      <w:r>
        <w:rPr>
          <w:rFonts w:ascii="宋体" w:hAnsi="宋体" w:eastAsia="宋体" w:cs="宋体"/>
        </w:rPr>
        <w:t>数据元标准（名称/类型/长度/精度/值域）、代码标准（码表管理与版本）、命名规范（词根库与表名字段名校验）、标准映射与合规（标准↔字段映射，合规率统计）、标准审批（提交/审批/发布状态流）。标准审批涉及系统自身编码落地，必须保留；指标管理不设审批（见第 13 章），两者形成有意区分。</w:t>
      </w:r>
    </w:p>
    <w:p>
      <w:pPr>
        <w:pStyle w:val="Heading1"/>
      </w:pPr>
      <w:r>
        <w:t>13 指标管理</w:t>
      </w:r>
    </w:p>
    <w:p>
      <w:r>
        <w:rPr>
          <w:rFonts w:ascii="宋体" w:hAnsi="宋体" w:eastAsia="宋体" w:cs="宋体"/>
        </w:rPr>
        <w:t>指标目录（原子/派生/复合指标），口径定义（统计维度/度量/周期/业务口径描述）、版本历史与变更记录；一致性检查（同名不同义/同义不同名检测）；指标看板（趋势曲线）；核查三入口：查看血缘（指标来源表 ODS→DWD→DWS→ADS 完整链路）、查看数据（近 7 日值+同比）、查看任务（产出该指标的 SQL 任务并可跳转 ETL 子画布）。指标创建即生效，系统不设指标审批功能（实际审批人力不足，该模块整体优先级较低）。</w:t>
      </w:r>
    </w:p>
    <w:p>
      <w:pPr>
        <w:pStyle w:val="Heading1"/>
      </w:pPr>
      <w:r>
        <w:t>14 数据安全</w:t>
      </w:r>
    </w:p>
    <w:p>
      <w:r>
        <w:rPr>
          <w:rFonts w:ascii="宋体" w:hAnsi="宋体" w:eastAsia="宋体" w:cs="宋体"/>
        </w:rPr>
        <w:t>权限模型见第 3 章。脱敏规则页：策略含掩码/替换/哈希；匹配方式为字段名规则（正则/枚举），可启用停用；提供脱敏效果预览与敏感数据发现统计（命中字段数/表数）。访问审计页：记录谁、何时、访问哪张表、结果（允许/拒绝）、行数；支持按用户/结果 facets 检索。</w:t>
      </w:r>
    </w:p>
    <w:p>
      <w:pPr>
        <w:pStyle w:val="Heading1"/>
      </w:pPr>
      <w:r>
        <w:t>15 部署运维</w:t>
      </w:r>
    </w:p>
    <w:p>
      <w:pPr>
        <w:pStyle w:val="Heading2"/>
      </w:pPr>
      <w:r>
        <w:t>15.1 集群拓扑与部署中心</w:t>
      </w:r>
    </w:p>
    <w:p>
      <w:r>
        <w:rPr>
          <w:rFonts w:ascii="宋体" w:hAnsi="宋体" w:eastAsia="宋体" w:cs="宋体"/>
        </w:rPr>
        <w:t>拓扑图展示组件节点与关联关系。部署中心：环境（dev/test/prod）；组件清单覆盖 Flink、Kafka、ZooKeeper、MySQL、Redis、Elasticsearch、MinIO、Doris、StarRocks、Nacos、Spark 等 11 种；部署向导六步（选择组件→选择环境→资源配置→参数配置→检查单→执行部署）；支持配置下发（表单编辑+生效状态）、滚动重启（逐台/分批）、立即备份与备份下载。</w:t>
      </w:r>
    </w:p>
    <w:p>
      <w:pPr>
        <w:pStyle w:val="Heading2"/>
      </w:pPr>
      <w:r>
        <w:t>15.2 监控与日志</w:t>
      </w:r>
    </w:p>
    <w:p>
      <w:r>
        <w:rPr>
          <w:rFonts w:ascii="宋体" w:hAnsi="宋体" w:eastAsia="宋体" w:cs="宋体"/>
        </w:rPr>
        <w:t>集群监控展示 CPU/内存/磁盘曲线（SVG 折线）与组件状态；组件日志支持检索、级别过滤与下载。</w:t>
      </w:r>
    </w:p>
    <w:p>
      <w:pPr>
        <w:pStyle w:val="Heading2"/>
      </w:pPr>
      <w:r>
        <w:t>15.3 运维操作</w:t>
      </w:r>
    </w:p>
    <w:p>
      <w:r>
        <w:rPr>
          <w:rFonts w:ascii="宋体" w:hAnsi="宋体" w:eastAsia="宋体" w:cs="宋体"/>
        </w:rPr>
        <w:t>一键巡检、缓存清理、组件启停。</w:t>
      </w:r>
    </w:p>
    <w:p>
      <w:pPr>
        <w:pStyle w:val="Heading2"/>
      </w:pPr>
      <w:r>
        <w:t>15.4 运行时节点与环境管理</w:t>
      </w:r>
    </w:p>
    <w:p>
      <w:r>
        <w:rPr>
          <w:rFonts w:ascii="宋体" w:hAnsi="宋体" w:eastAsia="宋体" w:cs="宋体"/>
          <w:b/>
        </w:rPr>
        <w:t>运行时节点是任务执行的主机资源池，分两类：</w:t>
      </w:r>
    </w:p>
    <w:p>
      <w:r>
        <w:rPr>
          <w:rFonts w:ascii="宋体" w:hAnsi="宋体" w:eastAsia="宋体" w:cs="宋体"/>
        </w:rPr>
        <w:t>（1）本地节点：系统安装与运行所在主机，默认自动注册。</w:t>
      </w:r>
    </w:p>
    <w:p>
      <w:r>
        <w:rPr>
          <w:rFonts w:ascii="宋体" w:hAnsi="宋体" w:eastAsia="宋体" w:cs="宋体"/>
        </w:rPr>
        <w:t>（2）远程节点：必须完成 SSH 执行配置——主机地址/端口/用户/认证方式（密码或密钥）为必填项；同时配置运行时目录与临时数据目录。</w:t>
      </w:r>
    </w:p>
    <w:p>
      <w:r>
        <w:rPr>
          <w:rFonts w:ascii="宋体" w:hAnsi="宋体" w:eastAsia="宋体" w:cs="宋体"/>
        </w:rPr>
        <w:t>节点列表展示资源状态（CPU/内存/磁盘）；集群模式下可配置任务分发策略：轮询/负载均衡（按节点资源状态）/指定节点。运行实例记录实际执行节点（见 9.3）。SSH 主机信息以运行时节点页为唯一权威注册表：脚本远程执行、部署中心的远程操作均引用该注册表，不重复维护。</w:t>
      </w:r>
    </w:p>
    <w:p>
      <w:pPr>
        <w:pStyle w:val="Heading2"/>
      </w:pPr>
      <w:r>
        <w:t>15.5 告警管理与通知渠道</w:t>
      </w:r>
    </w:p>
    <w:p>
      <w:r>
        <w:rPr>
          <w:rFonts w:ascii="宋体" w:hAnsi="宋体" w:eastAsia="宋体" w:cs="宋体"/>
        </w:rPr>
        <w:t>告警规则（CPU/内存/任务失败率/SLA 达标率阈值）+ 告警记录（确认/处理）。通知渠道：邮件（SMTP 服务器/端口/SSL/账号/授权码/发件人）与短信（服务商/AccessKey/签名/模板），均提供发送测试（回执 SENT、messageId/bizId、耗时）；飞书/钉钉渠道规划中。</w:t>
      </w:r>
    </w:p>
    <w:p>
      <w:pPr>
        <w:pStyle w:val="Heading2"/>
      </w:pPr>
      <w:r>
        <w:t>15.6 消息中心闭环</w:t>
      </w:r>
    </w:p>
    <w:p>
      <w:r>
        <w:rPr>
          <w:rFonts w:ascii="宋体" w:hAnsi="宋体" w:eastAsia="宋体" w:cs="宋体"/>
        </w:rPr>
        <w:t>消息形成：DAG/质量/部署三类告警规则命中、渠道测试回执。消息分发：顶栏铃铛站内消息（未读徽标、点击已读并跳转关联页，已读状态持久化）+ 邮件 + 短信。发送结果回执写回消息记录，形成闭环。</w:t>
      </w:r>
    </w:p>
    <w:p>
      <w:pPr>
        <w:pStyle w:val="Heading1"/>
      </w:pPr>
      <w:r>
        <w:t>16 开放接口</w:t>
      </w:r>
    </w:p>
    <w:p>
      <w:pPr>
        <w:pStyle w:val="Heading2"/>
      </w:pPr>
      <w:r>
        <w:t>16.1 定位与边界</w:t>
      </w:r>
    </w:p>
    <w:p>
      <w:r>
        <w:rPr>
          <w:rFonts w:ascii="宋体" w:hAnsi="宋体" w:eastAsia="宋体" w:cs="宋体"/>
        </w:rPr>
        <w:t>开放接口面向“本系统设计产出与自身运行相关数据”的对外服务，仅提供三类 API：流数据（融合结果）、数据质量（三级报告）、元数据（目录与血缘）。系统不做数据共享服务类 API（数据库同步共享、文件导出共享等），后续按需在本菜单内扩充分类。开放接口为独立菜单（命名由用户裁定为“开放接口”，位于数据治理分组内、与数据安全平级），内含三页。</w:t>
      </w:r>
    </w:p>
    <w:p>
      <w:pPr>
        <w:pStyle w:val="Heading2"/>
      </w:pPr>
      <w:r>
        <w:t>16.2 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页面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API 管理（/open/api）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API 列表（服务名/分类/路径/方法/限流/状态/最近调用）；新建 API：选分类 → 绑定来源（融合组件/质量报告/元数据目录）→ 定义返回字段与限流；模拟调用：返回 mock 数据与耗时，供联调演示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API-Key 管理（/open/key）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创建（名称/备注/有效期/绑定 API 范围）→ 生成随机 Key，掩码展示、一键复制（线下分发给第三方）；启用/禁用；调用统计（次数/成功率/最近调用）；一套 Key 通用三类 API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调用日志（/open/log）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时间/Key/API/状态码/耗时/来源 IP 检索；失败调用标红</w:t>
            </w:r>
          </w:p>
        </w:tc>
      </w:tr>
    </w:tbl>
    <w:p/>
    <w:p>
      <w:pPr>
        <w:pStyle w:val="Heading2"/>
      </w:pPr>
      <w:r>
        <w:t>16.3 预置 API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API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分类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GET /openapi/v1/stream/{fusion}/latest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流数据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返回指定融合组件最近窗口数据（大屏取数）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GET /openapi/v1/qc/reports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总体/专项报告列表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GET /openapi/v1/qc/reports/{id}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报告详情（含细项）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GET /openapi/v1/meta/tables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元数据目录（按域/分层过滤）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GET /openapi/v1/meta/lineage/{table}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指定表的血缘链路</w:t>
            </w:r>
          </w:p>
        </w:tc>
      </w:tr>
    </w:tbl>
    <w:p/>
    <w:p>
      <w:pPr>
        <w:pStyle w:val="Heading2"/>
      </w:pPr>
      <w:r>
        <w:t>16.4 调用与鉴权规则</w:t>
      </w:r>
    </w:p>
    <w:p>
      <w:r>
        <w:rPr>
          <w:rFonts w:ascii="宋体" w:hAnsi="宋体" w:eastAsia="宋体" w:cs="宋体"/>
        </w:rPr>
        <w:t>（1）管理员在 API-Key 页创建密钥并线下分发（复制交付）</w:t>
      </w:r>
    </w:p>
    <w:p>
      <w:r>
        <w:rPr>
          <w:rFonts w:ascii="宋体" w:hAnsi="宋体" w:eastAsia="宋体" w:cs="宋体"/>
        </w:rPr>
        <w:t>（2）第三方系统调用时在请求头携带 X-API-Key</w:t>
      </w:r>
    </w:p>
    <w:p>
      <w:r>
        <w:rPr>
          <w:rFonts w:ascii="宋体" w:hAnsi="宋体" w:eastAsia="宋体" w:cs="宋体"/>
        </w:rPr>
        <w:t>（3）网关校验：Key 有效性、绑定范围、限流（超限返回 429）</w:t>
      </w:r>
    </w:p>
    <w:p>
      <w:r>
        <w:rPr>
          <w:rFonts w:ascii="宋体" w:hAnsi="宋体" w:eastAsia="宋体" w:cs="宋体"/>
        </w:rPr>
        <w:t>（4）调用流水写入调用日志，失败（401/403/429/500）标红</w:t>
      </w:r>
    </w:p>
    <w:p>
      <w:r>
        <w:rPr>
          <w:rFonts w:ascii="宋体" w:hAnsi="宋体" w:eastAsia="宋体" w:cs="宋体"/>
        </w:rPr>
        <w:t>（5）管理操作（API 注册/Key 管理）仅 admin/dev 可执行</w:t>
      </w:r>
    </w:p>
    <w:p>
      <w:pPr>
        <w:pStyle w:val="Heading1"/>
      </w:pPr>
      <w:r>
        <w:t>17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类别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要求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内存优化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避免不必要的对象创建；及时释放不再需要的资源；注意内存泄漏问题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计算优化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避免重复计算；使用适当的数据结构和算法；延迟计算直到必要时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并行优化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识别可并行化的任务；避免不必要的同步；注意线程安全问题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兼容性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现代浏览器（Chrome/Edge）；信创数据源与麒麟 OS 适配标记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可维护性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组件复用（ListFilterPanel/GraphWorkbench/Inspector）；类型检查 vue-tsc 零错误；单元测试 vitest 全通过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交付形态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真实通道（任务编排/调度执行/流处理/数据源/同步/IDE/血缘/运行节点）+ 演示态（治理域模块，顶栏挂「演示数据」标识）；纯前端 mock 模式经 VITE_API_MODE=mock 保留（单测与本地演示用）</w:t>
            </w:r>
          </w:p>
        </w:tc>
      </w:tr>
    </w:tbl>
    <w:p/>
    <w:p>
      <w:pPr>
        <w:pStyle w:val="Heading1"/>
      </w:pPr>
      <w:r>
        <w:t>18 实施状态说明</w:t>
      </w:r>
    </w:p>
    <w:p>
      <w:r>
        <w:rPr>
          <w:rFonts w:ascii="宋体" w:hAnsi="宋体" w:eastAsia="宋体" w:cs="宋体"/>
        </w:rPr>
        <w:t>本章为 I9 功能收尾后的实施态口径，作为验收对照时区分「已实测功能」与「演示功能」的唯一依据。</w:t>
      </w:r>
    </w:p>
    <w:p>
      <w:pPr>
        <w:pStyle w:val="Heading2"/>
      </w:pPr>
      <w:r>
        <w:t>18.1 状态口径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状态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定义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用户可见标识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页面数据经后端 API 读写，并已在实测环境通过四角色回归（26/26）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无标识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双态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页面同时具备 real/mock 实现，经 VITE_API_MODE 切换（默认 real）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无标识（real 生效）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本期范围外模块，数据为本地演示样例（localStorage）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顶栏「演示数据」低饱和描边 tag，悬停提示「本期范围外模块，数据为演示样例」</w:t>
            </w:r>
          </w:p>
        </w:tc>
      </w:tr>
    </w:tbl>
    <w:p/>
    <w:p>
      <w:pPr>
        <w:pStyle w:val="Heading2"/>
      </w:pPr>
      <w:r>
        <w:t>18.2 已实测接真清单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API 通道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覆盖页面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能力要点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graphApi（图定义/调度/实例）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任务中心四任务页签画布、/dag/design/:id、/dag/instances、/dep/runtime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定义 CRUD 与标签过滤、调度（crontab 预览/上下线/补数）、运行/停止/重跑/日志、SSH 运行节点注册表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syncApi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/sync/list、/sync/detail/:id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同步任务列表、批次记录与趋势、启停/重跑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datasourceApi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/ds/list、/ds/detail/:id、IDE 库表树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连接测试、schema/表探测、引用统计、删除保护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ideApi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/ide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SQL 执行与结果网格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lineageApi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/meta/lineage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表级/字段级血缘与影响分析（isMock 双态）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streamApi（流引擎）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/stream/design/:id、流任务运行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流任务启停/日志/数据预览；流重启按已提交位点续跑（seek 修复实测：重启代际仅消费新消息，不整题重放）</w:t>
            </w:r>
          </w:p>
        </w:tc>
      </w:tr>
    </w:tbl>
    <w:p/>
    <w:p>
      <w:pPr>
        <w:pStyle w:val="Heading2"/>
      </w:pPr>
      <w:r>
        <w:t>18.3 演示态清单（45 条路由挂「演示数据」标识）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分组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演示页面（路由）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数仓建模（/model/list·design·lineage）、ER 画布（/model/er）、脚本任务（/script/*）、参数配置（/param/*）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数据质量六页（/qc/*，含评分总览）、元数据目录/标签/资产地图（/meta/catalog·tag·map）、数据标准五页（/std/*）、指标管理三页（/ind/*）、数据安全三页（/sec/*）、开放接口三页（/open/*）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部署中心/集群监控/组件日志/告警管理/运维操作（/dep/center·monitor·log·alarm·ops）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告警与SLA 页签（/dag/alarm，页签内容顶部另挂提示条）、ETL 任务列表（/etl/list）、流数据处理列表与详情（/stream/list、/stream/detail/:id）</w:t>
            </w:r>
          </w:p>
        </w:tc>
      </w:tr>
    </w:tbl>
    <w:p/>
    <w:p>
      <w:pPr>
        <w:pStyle w:val="Heading2"/>
      </w:pPr>
      <w:r>
        <w:t>18.4 已知边界</w:t>
      </w:r>
    </w:p>
    <w:p>
      <w:r>
        <w:rPr>
          <w:rFonts w:ascii="宋体" w:hAnsi="宋体" w:eastAsia="宋体" w:cs="宋体"/>
        </w:rPr>
        <w:t>（1）ETL/流任务「看列表」弹窗与独立列表页（/etl/list、/stream/list、/stream/detail/:id）数据为本地演示样例（页面均已挂「演示数据」标识，F56a）：画布本体走真实图定义通道，列表接真随后续增量收口。</w:t>
      </w:r>
    </w:p>
    <w:p>
      <w:r>
        <w:rPr>
          <w:rFonts w:ascii="宋体" w:hAnsi="宋体" w:eastAsia="宋体" w:cs="宋体"/>
        </w:rPr>
        <w:t>（2）UI/UX 已随 UI 重启阶段（F56a/b/c，2026-09-20）收口：IA 收敛、画布交互增强 N1~N17（P1）、话术清理落地；critic 循环 6 轮 5.5~6/10 平台期经用户裁定收口，受原型/类型色既有裁定保护项（三层头部、节点类型色图标、MiniMap 类型色、「扩展（演示）」分组）按裁定保留。</w:t>
      </w:r>
    </w:p>
    <w:p>
      <w:pPr>
        <w:pStyle w:val="Heading2"/>
      </w:pPr>
      <w:r>
        <w:t>18.5 部署与验证形态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项</w:t>
            </w:r>
          </w:p>
        </w:tc>
        <w:tc>
          <w:tcPr>
            <w:tcW w:type="dxa" w:w="4706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实测环境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192.168.1.9：五模块容器（web/api/worker 等）+ mysql-meta/src/dw + redis + zookeeper + kafka（KRaft）；入口 http://192.168.1.9:8090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账号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admin/Admin@123、dev/Dev@123、analyst/Analyst@123、viewer/Viewer@123（RBAC 见第 3 章）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验证门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前端 vue-tsc 零错误 + vitest 137 用例全绿（16 文件）+ build 成功；后端 ruff 全绿；API 冒烟（smoke 链路/注册中心/real 通道）；四角色回归 26/26；流 seek 位点续跑实测通过；UI 门1~门3 收口（IA 收敛 / 画布增强 N1~N17 P1 / critic 循环经用户裁定收口）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回归方法</w:t>
            </w:r>
          </w:p>
        </w:tc>
        <w:tc>
          <w:tcPr>
            <w:tcW w:type="dxa" w:w="4706"/>
          </w:tcPr>
          <w:p>
            <w:r/>
            <w:r>
              <w:rPr>
                <w:rFonts w:ascii="宋体" w:hAnsi="宋体" w:eastAsia="宋体" w:cs="宋体"/>
                <w:sz w:val="19"/>
              </w:rPr>
              <w:t>playwright 四角色矩阵（登录/页签/编辑只读口径/real 通道），页签切换以点击驱动（SPA hash 跳转不重置页签态）</w:t>
            </w:r>
          </w:p>
        </w:tc>
      </w:tr>
    </w:tbl>
    <w:p/>
    <w:p>
      <w:pPr>
        <w:pStyle w:val="Heading1"/>
      </w:pPr>
      <w:r>
        <w:t>19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版本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日期</w:t>
            </w:r>
          </w:p>
        </w:tc>
        <w:tc>
          <w:tcPr>
            <w:tcW w:type="dxa" w:w="313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变更内容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V1.0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—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初版，对应原型功能范围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V2.0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2026-09-16 前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同步九轮增量实施现状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V3.0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2026-09-16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按 2026-09-16 用户评审裁决，将九项变更以实施后目标态写入：同步双导航与多 schema 探测（第 7 章）、DAG 统一工作台五页签与两层画布（2.4/9.1）、部分结果数据依赖（9.2）、工作流变量迁入工作台（9.4）、融合组件（10.2）、预制三规则与三级质量报告（11）、指标去审批（13）、运行时节点与 SSH 注册表（15.4）、开放接口菜单（16）；删除采集任务、指标审批、质量覆盖度、独立工作流变量页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V3.0（同日修订）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2026-09-16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IA 归类合并（用户裁定布局三原则，见 2.5）：任务中心统一任务入口（六页签+画布直达+看列表弹窗，跨流依赖页删除、依赖配置归工作台依赖页签）；脚本任务/参数配置/质量报告 Hub 壳页签合并；集群拓扑并入集群监控（/deploy 重定向）；开放接口菜单定名并归入数据治理分组；菜单-路由表与保留路由清单同步（附录 A）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V3.0（实施态回写）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2026-09-19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I9 功能收尾后按实施态回写：新增第 18 章实施状态说明（实测接真/双态/演示态口径与清单、已知边界、部署与验证形态）；菜单-路由表增列实施状态；运行监控页签改挂运行实例引擎视图（/dag/instances，/dag/runs 重定向）；/etl/design/:id、/sync/wizard、/batch/board 删除注记；1.2/2.1/9.1/17 章同步真实后端交付形态；演示模块顶栏「演示数据」标识（F56e）写入规格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V3.0（UI 轮回写）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2026-09-20</w:t>
            </w:r>
          </w:p>
        </w:tc>
        <w:tc>
          <w:tcPr>
            <w:tcW w:type="dxa" w:w="3137"/>
          </w:tcPr>
          <w:p>
            <w:r/>
            <w:r>
              <w:rPr>
                <w:rFonts w:ascii="宋体" w:hAnsi="宋体" w:eastAsia="宋体" w:cs="宋体"/>
                <w:sz w:val="19"/>
              </w:rPr>
              <w:t>UI 重启（F56a/b/c）收口后同步实施态：演示态 42→45 条路由（/etl/list、/stream/list、/stream/detail/:id 挂「演示数据」标识）；已知边界更新（首页统计卡接真、UI 交互债销项、受裁定保护项注记）；验证门 vitest 131→137 用例并补 UI 门1~门3；附录 A 保留路由表实施状态同步</w:t>
            </w:r>
          </w:p>
        </w:tc>
      </w:tr>
    </w:tbl>
    <w:p/>
    <w:p>
      <w:pPr>
        <w:pStyle w:val="Heading1"/>
      </w:pPr>
      <w:r>
        <w:t>附录 A 菜单-路由全量表（实施后）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一级菜单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二级菜单</w:t>
            </w:r>
          </w:p>
        </w:tc>
        <w:tc>
          <w:tcPr>
            <w:tcW w:type="dxa" w:w="158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路径</w:t>
            </w:r>
          </w:p>
        </w:tc>
        <w:tc>
          <w:tcPr>
            <w:tcW w:type="dxa" w:w="3288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功能摘要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实施状态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总览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工作台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系统总览与快捷入口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混合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数据集成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数据源管理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/ds/list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数据源连接配置、连接测试、schema 探测、引用统计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数据集成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/dag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统一任务入口，顶部页签：工作流/同步任务/ETL任务/流任务/运行监控/告警与SLA；四类任务均为「画布直达（默认打开上次编辑）+看列表弹窗」模式；运行监控页签为运行实例引擎视图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实测接真（告警页签演示）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数仓建模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/model/list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模型 CRUD、逆向导入（含批量业务域标注）、血缘影响；ER 设计器/字段设计器/模型血缘自列表行内进入（可视化直达，无独立子菜单）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数据开发IDE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/ide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SQL 编辑执行、目录树、四格式导出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脚本任务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/script/list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顶部页签三合一：脚本库/环境与依赖/远程执行(SSH)；/script/env、/script/remote 为同壳页签路由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数据开发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参数配置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/param/global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顶部页签四合一：全局参数/内置时间参数/环境参数组/引用检测与预览；/param/builtin、/param/env、/param/tools 为同壳页签路由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数据质量-质量规则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/qc/rule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规则管理（含 3 条系统预制规则）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数据质量-检查任务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/qc/task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质量检查调度与执行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数据质量-异常数据核查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/qc/exception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异常闭环、趋势、下载、保留策略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数据质量-质量报告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/qc/report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三级报告合并单入口，顶部页签：总体/专项(DAG)/细项(表)；/qc/report-dag、/qc/report-table 为同壳页签路由，细项保留资产地图跳转参数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数据质量-质量告警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/qc/alarm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质量告警规则与记录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元数据管理-元数据目录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/meta/catalog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资产目录、脱敏预览、行级权限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元数据管理-血缘分析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/meta/lineage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表级/字段级血缘与影响分析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实测接真（双态）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元数据管理-数据资产地图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/meta/map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业务域/分层双视图、质量分入口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元数据管理-标签管理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/meta/tag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资产标签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数据标准-数据元标准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/std/element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数据元管理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数据标准-代码标准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/std/code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码表管理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数据标准-命名规范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/std/naming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词根与命名校验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数据标准-标准映射与合规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/std/mapping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标准↔字段映射、合规率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数据标准-标准审批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/std/approval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提交/审批/发布状态流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指标管理-指标目录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/ind/list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指标口径、版本、核查三入口（创建即生效）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指标管理-指标看板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/ind/board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指标趋势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指标管理-一致性检查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/ind/consistency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同名不同义/同义不同名检测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数据安全-权限管理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/sec/perm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角色权限矩阵、用户管理、密级说明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数据安全-脱敏规则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/sec/mask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脱敏策略配置与敏感发现统计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数据安全-访问审计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/sec/audit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访问日志检索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开放接口-API管理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/open/api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三类开放 API 注册、绑定来源、模拟调用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开放接口-API-Key管理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/open/key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密钥创建、线下分发、启用禁用、调用统计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数据治理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开放接口-调用日志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/open/log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调用流水检索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一键部署-运行时节点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/dep/runtime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本地/远程节点管理、SSH 注册、资源状态、集群分发策略（SSH 主机信息唯一权威注册表）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一键部署-部署中心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/dep/center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六步部署向导、配置下发、滚动重启、备份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一键部署-集群监控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/dep/monitor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资源曲线与组件状态；内嵌集群拓扑工作台（原独立拓扑页 /deploy 重定向至此）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一键部署-组件日志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/dep/log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日志检索与下载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一键部署-告警管理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/dep/alarm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告警规则、记录、通知渠道与测试发送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部署运维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sz w:val="19"/>
              </w:rPr>
              <w:t>一键部署-运维操作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/dep/ops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 w:cs="宋体"/>
                <w:sz w:val="19"/>
              </w:rPr>
              <w:t>巡检、缓存清理、组件启停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</w:tbl>
    <w:p/>
    <w:p>
      <w:r>
        <w:rPr>
          <w:rFonts w:ascii="楷体" w:hAnsi="楷体" w:eastAsia="楷体" w:cs="楷体"/>
        </w:rPr>
        <w:t>实施状态口径见第 18 章；「实测接真」=已接真实后端并在 1.9 环境实测；「演示态」=本期范围外模块，页面顶栏挂「演示数据」标识。</w:t>
      </w:r>
    </w:p>
    <w:p>
      <w:r>
        <w:rPr>
          <w:rFonts w:ascii="宋体" w:hAnsi="宋体" w:eastAsia="宋体" w:cs="宋体"/>
          <w:b/>
        </w:rPr>
        <w:t>保留路由（不在左侧菜单展示，经页签内嵌、行内按钮或弹窗进入）：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路径</w:t>
            </w:r>
          </w:p>
        </w:tc>
        <w:tc>
          <w:tcPr>
            <w:tcW w:type="dxa" w:w="4195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进入方式</w:t>
            </w:r>
          </w:p>
        </w:tc>
        <w:tc>
          <w:tcPr>
            <w:tcW w:type="dxa" w:w="1587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实施状态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/dag/design/:id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可视化编排（DAG 工作台全屏路由）：任务中心画布内嵌为主，列表行内按钮跳转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/stream/design/:id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流设计器：任务中心流任务页签画布内嵌，或列表行内「可视化编排」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/dag/instances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运行实例（引擎视图）：任务中心「运行监控」页签内嵌；run_mode 筛选、实例 DAG 染色、日志抽屉、停止/重跑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实测接真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/dag/runs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 → /dag/instances（原 mock 运行实例页已删除）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/sync/list、/etl/list、/stream/list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任务中心「看列表」弹窗内嵌（embed 模式），行内按钮原位切画布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sync 实测接真；etl/stream 演示态（挂「演示数据」标识）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/sync/detail/:id、/stream/detail/:id、/ds/detail/:id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详情页：列表行内进入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sync/ds 实测接真；stream 演示态（挂「演示数据」标识）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/model/design/:id、/model/lineage/:id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模型设计/模型血缘：模型列表行内进入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/model/er、/qc/score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ER 设计器自模型列表页头按钮进入；评分总览为数据质量父级落点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演示态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宋体" w:hAnsi="宋体" w:eastAsia="宋体" w:cs="宋体"/>
                <w:sz w:val="19"/>
              </w:rPr>
              <w:t>/deploy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 → /dep/monitor（集群拓扑已并入集群监控页）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 w:cs="宋体"/>
                <w:sz w:val="19"/>
              </w:rPr>
              <w:t>重定向</w:t>
            </w:r>
          </w:p>
        </w:tc>
      </w:tr>
    </w:tbl>
    <w:p/>
    <w:p>
      <w:r>
        <w:rPr>
          <w:rFonts w:ascii="楷体" w:hAnsi="楷体" w:eastAsia="楷体" w:cs="楷体"/>
        </w:rPr>
        <w:t>已删除路由（规格演进注记）：/etl/design/:id（I1 意见③：ETL 设计画布内嵌任务中心 ETL 页签，独立入口删除）、/sync/wizard 与 /batch/board（I6：向导与进度看板下线，监控走同步列表/详情）、/dag/depend（跨流依赖页删除，依赖配置归工作台「依赖」页签）、/param/wfvars（工作流变量迁入工作台「变量」页签）。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黑体" w:hAnsi="黑体" w:eastAsia="黑体" w:cs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