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spacing w:after="200" w:before="4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健康风险评估师</w:t>
      </w:r>
    </w:p>
    <w:p>
      <w:pPr>
        <w:spacing w:after="200" w:before="1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需求规格说明书</w:t>
      </w:r>
    </w:p>
    <w:p>
      <w:pPr>
        <w:spacing w:after="400" w:before="100"/>
        <w:jc w:val="center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（软件需求规格说明 SRS）</w:t>
      </w:r>
    </w:p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spacing w:after="120" w:before="200"/>
        <w:jc w:val="center"/>
      </w:pPr>
      <w:r>
        <w:rPr>
          <w:rFonts w:ascii="Arial" w:eastAsia="Microsoft YaHei" w:hAnsi="Arial"/>
          <w:b/>
          <w:bCs/>
          <w:sz w:val="28"/>
          <w:szCs w:val="28"/>
        </w:rPr>
        <w:t xml:space="preserve">版本：v1.3</w:t>
      </w:r>
    </w:p>
    <w:p>
      <w:pPr>
        <w:spacing w:after="120" w:before="100"/>
        <w:jc w:val="center"/>
      </w:pPr>
      <w:r>
        <w:rPr>
          <w:rFonts w:ascii="Arial" w:eastAsia="Microsoft YaHei" w:hAnsi="Arial"/>
          <w:b w:val="false"/>
          <w:bCs w:val="false"/>
          <w:sz w:val="26"/>
          <w:szCs w:val="26"/>
        </w:rPr>
        <w:t xml:space="preserve">日期：2026-07-31</w:t>
      </w:r>
    </w:p>
    <w:p>
      <w:pPr>
        <w:spacing w:after="400" w:before="100"/>
        <w:jc w:val="center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适用范围：健康风险评估师模块-AI对话式交互版</w:t>
      </w:r>
    </w:p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pStyle w:val="Heading1"/>
        <w:keepNext w:val="false"/>
        <w:keepLines w:val="false"/>
        <w:shd w:fill="1F3864" w:color="auto" w:val="clear"/>
        <w:spacing w:after="200" w:before="360" w:line="360"/>
        <w:jc w:val="center"/>
      </w:pPr>
      <w:r>
        <w:rPr>
          <w:rFonts w:ascii="Arial" w:eastAsia="Microsoft YaHei" w:hAnsi="Arial"/>
          <w:b/>
          <w:bCs/>
          <w:color w:val="FFFFFF"/>
          <w:sz w:val="30"/>
          <w:szCs w:val="30"/>
        </w:rPr>
        <w:t xml:space="preserve"> 6  综合健康风险分析模块需求 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本章定义综合健康风险分析模块的功能需求、数据需求、接口需求与非功能需求。该模块作为健康风险评估师的核心AI能力，采用AI对话式交互模式，基于老人基础信息与舌诊报告数据，通过统一的通信模式输出中医体质复合风险评估，支持语音输入、意图识别、富文本卡片渲染与报告导出。</w:t>
      </w:r>
    </w:p>
    <w:p>
      <w:pPr>
        <w:pStyle w:val="Heading2"/>
        <w:keepNext w:val="false"/>
        <w:keepLines w:val="false"/>
        <w:shd w:fill="2E5395" w:color="auto" w:val="clear"/>
        <w:spacing w:after="160" w:before="280" w:line="360"/>
      </w:pPr>
      <w:r>
        <w:rPr>
          <w:rFonts w:ascii="Arial" w:eastAsia="Microsoft YaHei" w:hAnsi="Arial"/>
          <w:b/>
          <w:bCs/>
          <w:color w:val="FFFFFF"/>
          <w:sz w:val="26"/>
          <w:szCs w:val="26"/>
        </w:rPr>
        <w:t xml:space="preserve"> 6.1  功能需求 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综合健康风险分析模块包含以下功能需求：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6.1.1  FR-COMP-001  数据汇聚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系统须支持双数据源汇聚，汇聚舌诊报告数据与老人基础信息数据：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从评估数据服务读取老人最新舌诊报告数据（舌色、苔色、舌体、舌下络脉、舌诊总述、脉象、面色等定性指标）。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从老人档案中提取年龄、性别、区域、慢病信息、失智等级、失能等级等基础信息。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系统须在汇聚数据后向用户说明当前评估对象与数据状态。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6.1.2  FR-COMP-004  中医体质与证型复合风险计算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系统须提供 calculateCompositeRisk 计算函数，用于综合风险评估。该函数融合舌色、苔色、舌体、舌下络脉、脉象、面色六项定性指标，计算中医体质与证型复合风险。触发条件：≥2个有效指标异常。基于10分制计算，叠加6项场景权重因子（单维度封顶3.75），输出五级风险等级（0-4等级编号）及综合风险评估卡片（riskOverviewCard），支持导出报告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6.1.3  FR-COMP-007  单维度风险定级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系统须支持单维度直接分级，采用10分制区间映射法：单维度风险计算（0-10分制）→ 等级标准化（按区间映射为0-4等级编号）。无需二次综合修正。10分制风险等级映射关系如下表所示：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500"/>
        <w:gridCol w:w="1500"/>
      </w:tblGrid>
      <w:tr>
        <w:trPr>
          <w:cantSplit/>
          <w:tblHeader/>
        </w:trPr>
        <w:tc>
          <w:tcPr>
            <w:tcW w:type="dxa" w:w="2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分值区间</w:t>
            </w:r>
          </w:p>
        </w:tc>
        <w:tc>
          <w:tcPr>
            <w:tcW w:type="dxa" w:w="2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1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等级编号</w:t>
            </w:r>
          </w:p>
        </w:tc>
        <w:tc>
          <w:tcPr>
            <w:tcW w:type="dxa" w:w="15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15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色值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0-2分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无风险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绿色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#34C759</w:t>
            </w:r>
          </w:p>
        </w:tc>
      </w:tr>
      <w:tr>
        <w:trPr>
          <w:cantSplit/>
        </w:trP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2-4分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低风险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蓝色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#1677FF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4-6分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中风险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黄色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#FF9500</w:t>
            </w:r>
          </w:p>
        </w:tc>
      </w:tr>
      <w:tr>
        <w:trPr>
          <w:cantSplit/>
        </w:trP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6-8分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高风险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橙色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#FF6B35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8-10分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紧急风险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红色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#FF3B30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6.1.4  FR-COMP-016  场景权重因子计算（6项简化版）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系统须支持6项场景权重因子的判定与叠加计算，单维度封顶3.75。本需求采用简化版6项因子（替代原16项细粒度因子），仅应用于单维度中医体质与证型复合风险计算。6项场景权重因子及其权重值如下表所示：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500"/>
        <w:gridCol w:w="1800"/>
      </w:tblGrid>
      <w:tr>
        <w:trPr>
          <w:cantSplit/>
          <w:tblHeader/>
        </w:trPr>
        <w:tc>
          <w:tcPr>
            <w:tcW w:type="dxa" w:w="1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因子标识</w:t>
            </w:r>
          </w:p>
        </w:tc>
        <w:tc>
          <w:tcPr>
            <w:tcW w:type="dxa" w:w="25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因子名称</w:t>
            </w:r>
          </w:p>
        </w:tc>
        <w:tc>
          <w:tcPr>
            <w:tcW w:type="dxa" w:w="1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权重值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age_70_79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年龄70-79岁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+0.75</w:t>
            </w:r>
          </w:p>
        </w:tc>
      </w:tr>
      <w:tr>
        <w:trPr>
          <w:cantSplit/>
        </w:trP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age_80_plus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年龄≥80岁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+1.50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dementia_mild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轻度失智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+0.75</w:t>
            </w:r>
          </w:p>
        </w:tc>
      </w:tr>
      <w:tr>
        <w:trPr>
          <w:cantSplit/>
        </w:trP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dementia_severe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中重度失智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+1.50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economic_low_income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普通、低保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+0.50</w:t>
            </w:r>
          </w:p>
        </w:tc>
      </w:tr>
      <w:tr>
        <w:trPr>
          <w:cantSplit/>
        </w:trP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economic_extreme_poverty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低保、特困供养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+1.00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系统根据老人档案中的年龄分层、失智等级、失能等级等字段，自动判定上述6个因子的命中状态，并叠加至基础分值（单维度封顶3.75）。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6.1.5  FR-COMP-017  AI对话式交互界面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系统须采用AI对话式交互界面替代传统网页列表+详情页模式，界面布局包含以下区域：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b/>
          <w:bCs/>
          <w:sz w:val="21"/>
          <w:szCs w:val="21"/>
        </w:rPr>
        <w:t xml:space="preserve">顶部Header：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左侧显示logo+主标题"健康风险评估师"+副标题"v1.3 中医体质复合风险"，右侧显示老人切换按钮（当前老人姓名+下拉箭头）。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b/>
          <w:bCs/>
          <w:sz w:val="21"/>
          <w:szCs w:val="21"/>
        </w:rPr>
        <w:t xml:space="preserve">中间聊天区域：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AI消息（白色气泡+头像）与用户消息（橙色气泡）交替显示，支持滚动浏览历史对话。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b/>
          <w:bCs/>
          <w:sz w:val="21"/>
          <w:szCs w:val="21"/>
        </w:rPr>
        <w:t xml:space="preserve">底部输入栏：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包含文本输入框、语音按钮、发送按钮，支持回车发送。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b/>
          <w:bCs/>
          <w:sz w:val="21"/>
          <w:szCs w:val="21"/>
        </w:rPr>
        <w:t xml:space="preserve">卡片消息：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AI回复支持富文本卡片展示，卡片最大宽度92%，圆角28px，白色背景，支持图文混排与交互按钮。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6.1.6  FR-COMP-018  通信模式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系统须支持统一的通信模式，基于老人舌诊数据完成综合风险评估，处理路径如下：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用户询问老人健康风险 → AI拉取老人基础信息+最新舌诊报告 → 执行 calculateCompositeRisk 计算 → 输出综合风险评估卡片（riskOverviewCard）→ 支持导出报告。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系统须在对话中向用户说明当前评估对象与数据状态，确保交互流程清晰连贯。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6.1.7  FR-COMP-019  同名老人确认流程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当用户输入老人姓名时，系统须检测是否存在同名老人，并按以下流程处理：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若存在多位同名老人：输出"同名老人确认卡片"（duplicateConfirmCard），显示候选人列表。候选人列表字段包括：编号、姓名、区域标签、年龄性别、失能等级、慢病信息。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用户可通过点击候选人或输入"第X位"进行选择。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确认选择后，系统切换至该老人并加载最新评估数据。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若姓名唯一匹配，直接切换至该老人，无需确认。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6.1.8  FR-COMP-020  语音输入功能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系统须支持中文语音输入功能，具体要求如下：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支持基于Web Speech API进行中文语音识别（语言标识zh-CN）。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语音按钮点击后开始录音，输入框显示"正在聆听…请说话"。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识别完成后自动填入输入框并发送。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不支持语音识别的浏览器须提示用户使用文字输入。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6.1.9  FR-COMP-021  AI免责声明展示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系统须在所有AI生成卡片顶部显示橙色背景声明条，固定文本为："AI生成 | 本报告由人工智能分析生成，仅供参考，不构成医疗诊断依据。"声明条须在 riskOverviewCard、reportOverviewCard 等所有内容卡片顶部统一展示，确保用户知晓AI生成性质。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6.1.10  FR-COMP-022  对话意图识别与关键词匹配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系统须支持对话意图识别，通过关键词匹配将用户输入映射至对应处理逻辑。系统支持以下9种对话意图（含帮助意图）：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2300"/>
      </w:tblGrid>
      <w:tr>
        <w:trPr>
          <w:cantSplit/>
          <w:tblHeader/>
        </w:trPr>
        <w:tc>
          <w:tcPr>
            <w:tcW w:type="dxa" w:w="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意图标识</w:t>
            </w:r>
          </w:p>
        </w:tc>
        <w:tc>
          <w:tcPr>
            <w:tcW w:type="dxa" w:w="3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匹配关键词</w:t>
            </w:r>
          </w:p>
        </w:tc>
        <w:tc>
          <w:tcPr>
            <w:tcW w:type="dxa" w:w="23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viewOverview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综合/总评/整体/概况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查看综合风险评估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viewDetail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详情/舌色/苔色/舌体/脉象/面色/体质/证型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查看中医体质风险详情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viewAdvice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建议/康养/调理/干预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查看结构化康养建议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viewIndicators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指标/定性/正常值/数据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查看指标评分数据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switchElderly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切换/换老人/选择老人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切换查看其他老人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viewSceneFactors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场景/因子/权重/因素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查看场景因子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generateReport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报告/生成/导出/下载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生成完整风险评估报告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viewRiskPoints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风险点/风险因素/有哪些风险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查看风险点列表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help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帮助/怎么用/功能/能做什么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查看使用帮助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匹配规则：系统对用户输入文本进行分词与关键词命中检测，按优先级返回首个匹配意图；若无匹配则回退至默认意图（综合风险评估）。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6.1.11  FR-COMP-024  卡片消息渲染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系统须支持7种富文本卡片类型的渲染：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700"/>
      </w:tblGrid>
      <w:tr>
        <w:trPr>
          <w:cantSplit/>
          <w:tblHeader/>
        </w:trPr>
        <w:tc>
          <w:tcPr>
            <w:tcW w:type="dxa" w:w="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卡片标识</w:t>
            </w:r>
          </w:p>
        </w:tc>
        <w:tc>
          <w:tcPr>
            <w:tcW w:type="dxa" w:w="1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卡片名称</w:t>
            </w:r>
          </w:p>
        </w:tc>
        <w:tc>
          <w:tcPr>
            <w:tcW w:type="dxa" w:w="47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riskOverviewCard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综合风险评估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9个内容区块：基础信息、风险等级大徽章、定性文字+正常/异常状态、总评结论、舌诊指标（定性）、分值计算明细、场景因子、核心隐患、康养建议、报告信息+导出按钮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indicatorDetailCard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中医体质风险详情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指标定性网格、正常值判定、维度结论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careAdviceCard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结构化康养建议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按分类列表展示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sceneFactorCard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场景因子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命中因子列表、权重占比图、因子池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reportOverviewCard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完整风险评估报告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4大模块可折叠：基础信息[展开]、综合风险总评[展开]、中医体质风险详情[折叠]、康养建议[折叠]+导出按钮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duplicateConfirmCard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同名老人确认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提示信息、候选人列表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helpCard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使用帮助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功能说明、示例问题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卡片样式规范：最大宽度92%，圆角28px，白色背景；所有内容卡片顶部须显示AI免责声明条。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6.1.12  FR-COMP-009  综合报告详情与展示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展示8大固定模块：基础信息、综合风险总评、中医体质风险详情、疾病风险分析、体质辨识详情、中医证候分析、个性化调理方案、禁忌提醒与康养建议。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6.1.13  FR-COMP-010  报告生成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系统须支持手动触发（用户在对话中发起"生成报告"意图）和自动触发（定时任务每日凌晨自动为所有有舌诊数据的老人生成综合报告）两种模式。报告生成后自动存储并关联至老人档案。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6.1.14  FR-COMP-011  报告导出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系统须支持风险评估报告导出功能，具体要求如下：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导出内容包含8大模块完整信息。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文件名格式：风险评估报告_姓名_报告编号.txt。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6.1.15  FR-COMP-013  分级康养建议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系统须直接从舌诊报告数据中提取康养建议内容（含中药调理/穴位保健/膳食建议/运动指导/禁忌提醒），不做模板化加工，保持报告原文。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6.1.16  FR-COMP-025  老人切换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系统须支持多种老人切换方式：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右上角点击老人名打开底部弹出选择器（支持搜索），选择器列表显示：风险色点、姓名、年龄性别+区域+慢病、右侧风险等级标签。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直接输入老人姓名切换：唯一匹配直接切换，多个匹配进入重名确认流程。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直接输入数字编号切换至对应序号老人。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切换后自动加载该老人的最新评估数据并更新当前会话上下文。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6.1.17  FR-COMP-026  打招呼与引导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初始化时须输出固定打招呼语句："您好！我是健康风险评估师AI助手。直接告诉我您想了解哪位老人的健康风险，我来帮您分析。"打招呼语句须简洁，不再附加冗长功能说明；用户可通过输入"帮助"查看完整功能说明（helpCard）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6.1.18  FR-COMP-015  闭环流程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系统须支持简化闭环流程：数据汇聚 → 智能计算 → 报告生成 → 消息推送 → 随访干预 → 复评验证。去除时序趋势分析相关步骤。紧急风险等级报告须同步推送至家属端。</w:t>
      </w:r>
    </w:p>
    <w:p>
      <w:pPr>
        <w:pStyle w:val="Heading2"/>
        <w:keepNext w:val="false"/>
        <w:keepLines w:val="false"/>
        <w:shd w:fill="2E5395" w:color="auto" w:val="clear"/>
        <w:spacing w:after="160" w:before="280" w:line="360"/>
      </w:pPr>
      <w:r>
        <w:rPr>
          <w:rFonts w:ascii="Arial" w:eastAsia="Microsoft YaHei" w:hAnsi="Arial"/>
          <w:b/>
          <w:bCs/>
          <w:color w:val="FFFFFF"/>
          <w:sz w:val="26"/>
          <w:szCs w:val="26"/>
        </w:rPr>
        <w:t xml:space="preserve"> 6.2  数据需求 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综合健康风险分析模块涉及以下数据实体与字段定义：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6.2.1  核心数据实体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系统新增/复用以下数据实体：</w:t>
      </w:r>
    </w:p>
    <w:p>
      <w:pPr>
        <w:keepNext w:val="false"/>
        <w:keepLines w:val="false"/>
        <w:spacing w:after="80" w:before="160" w:line="360"/>
      </w:pPr>
      <w:r>
        <w:rPr>
          <w:rFonts w:ascii="Arial" w:eastAsia="Microsoft YaHei" w:hAnsi="Arial"/>
          <w:b/>
          <w:bCs/>
          <w:color w:val="2E5395"/>
          <w:sz w:val="22"/>
          <w:szCs w:val="22"/>
        </w:rPr>
        <w:t xml:space="preserve">（1）CompositeRiskReport（综合风险报告）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rPr>
          <w:cantSplit/>
          <w:tblHeader/>
        </w:trPr>
        <w:tc>
          <w:tcPr>
            <w:tcW w:type="dxa" w:w="2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6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reportId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报告唯一标识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reportCode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报告编号（用于导出文件名）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elderlyId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老人档案ID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generateTime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报告生成时间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dataSource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数据来源（舌诊报告+基础档案）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overallRiskLevel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综合风险等级编号（0-4）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overallRiskLabel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综合风险等级标签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overallScore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综合风险分值（0-10）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sceneWeightTotal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场景权重累计值（封顶3.75）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hasTongueData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是否存在舌诊数据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keepNext w:val="false"/>
        <w:keepLines w:val="false"/>
        <w:spacing w:after="80" w:before="160" w:line="360"/>
      </w:pPr>
      <w:r>
        <w:rPr>
          <w:rFonts w:ascii="Arial" w:eastAsia="Microsoft YaHei" w:hAnsi="Arial"/>
          <w:b/>
          <w:bCs/>
          <w:color w:val="2E5395"/>
          <w:sz w:val="22"/>
          <w:szCs w:val="22"/>
        </w:rPr>
        <w:t xml:space="preserve">（2）CompositeRiskDimension（维度分项结果）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rPr>
          <w:cantSplit/>
          <w:tblHeader/>
        </w:trPr>
        <w:tc>
          <w:tcPr>
            <w:tcW w:type="dxa" w:w="2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6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dimensionId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维度ID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dimensionName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维度名称（舌色/苔色/舌体/舌下络脉/脉象/面色）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riskLevel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维度风险等级（0-4）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riskLabel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维度风险标签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baseScore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基础分值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sceneWeight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场景权重叠加值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finalScore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最终分值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triggerIndicators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触发异常指标列表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keepNext w:val="false"/>
        <w:keepLines w:val="false"/>
        <w:spacing w:after="80" w:before="160" w:line="360"/>
      </w:pPr>
      <w:r>
        <w:rPr>
          <w:rFonts w:ascii="Arial" w:eastAsia="Microsoft YaHei" w:hAnsi="Arial"/>
          <w:b/>
          <w:bCs/>
          <w:color w:val="2E5395"/>
          <w:sz w:val="22"/>
          <w:szCs w:val="22"/>
        </w:rPr>
        <w:t xml:space="preserve">（3）CareAdviceRecord（康养建议记录）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rPr>
          <w:cantSplit/>
          <w:tblHeader/>
        </w:trPr>
        <w:tc>
          <w:tcPr>
            <w:tcW w:type="dxa" w:w="2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6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adviceId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建议记录唯一标识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reportId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关联报告ID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dimensionId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关联维度ID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dimensionName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维度名称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riskLevel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adviceItems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建议条目列表（JSON）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6.2.2  Elderly老人档案实体扩展字段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Elderly（老人档案实体）在原有基础上扩展以下字段，用于场景权重判定与档案信息展示：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3000"/>
      </w:tblGrid>
      <w:tr>
        <w:trPr>
          <w:cantSplit/>
          <w:tblHeader/>
        </w:trPr>
        <w:tc>
          <w:tcPr>
            <w:tcW w:type="dxa" w:w="24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取值范围</w:t>
            </w:r>
          </w:p>
        </w:tc>
        <w:tc>
          <w:tcPr>
            <w:tcW w:type="dxa" w:w="3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ageTier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枚举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AGE_60_69/AGE_70_79/AGE_80_PLUS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判定年龄相关场景权重因子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dementiaLevel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枚举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NONE/MILD/SEVERE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判定失智相关场景权重因子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economicCondition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枚举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NORMAL/LOW_INCOME/EXTREME_POVERTY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判定经济相关场景权重因子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区域名称（如XX社区/XX街道）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区域标签，用于同名老人确认卡片展示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livingSituation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枚举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FAMILY/ALONE/INSTITUTION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居住情况，用于老人档案信息展示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chronicDiseases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慢病名称列表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慢病信息，用于老人档案信息展示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majorDiseaseHistory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重大疾病史（脑梗/冠心病/肾衰竭等）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用于老人档案信息展示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说明：本版本采用6项简化场景权重因子，故Elderly扩展字段聚焦于年龄分层（ageTier）、失智等级（dementiaLevel）、失能等级（disabilityLevel）三项核心判定字段；同时新增area（区域）字段用于同名老人确认卡片的区域标签展示。chronicDiseases字段用于慢病信息记录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6.2.3  6项场景权重因子定义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场景权重因子数据定义如下（单维度封顶3.75）：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1200"/>
        <w:gridCol w:w="1800"/>
      </w:tblGrid>
      <w:tr>
        <w:trPr>
          <w:cantSplit/>
          <w:tblHeader/>
        </w:trPr>
        <w:tc>
          <w:tcPr>
            <w:tcW w:type="dxa" w:w="26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因子标识</w:t>
            </w:r>
          </w:p>
        </w:tc>
        <w:tc>
          <w:tcPr>
            <w:tcW w:type="dxa" w:w="2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判定字段</w:t>
            </w:r>
          </w:p>
        </w:tc>
        <w:tc>
          <w:tcPr>
            <w:tcW w:type="dxa" w:w="2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判定条件</w:t>
            </w:r>
          </w:p>
        </w:tc>
        <w:tc>
          <w:tcPr>
            <w:tcW w:type="dxa" w:w="12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权重值</w:t>
            </w:r>
          </w:p>
        </w:tc>
        <w:tc>
          <w:tcPr>
            <w:tcW w:type="dxa" w:w="1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所属维度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age_70_79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ageTier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AGE_70_79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+0.75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年龄维度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age_80_plus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ageTier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AGE_80_PLUS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+1.50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年龄维度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dementia_mild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dementiaLevel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+0.75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失智维度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dementia_severe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dementiaLevel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SEVERE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+1.50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失智维度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economic_low_income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economicCondition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LOW_INCOME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+0.50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经济维度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economic_extreme_poverty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economicCondition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EXTREME_POVERTY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+1.00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经济维度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pStyle w:val="Heading2"/>
        <w:keepNext w:val="false"/>
        <w:keepLines w:val="false"/>
        <w:shd w:fill="2E5395" w:color="auto" w:val="clear"/>
        <w:spacing w:after="160" w:before="280" w:line="360"/>
      </w:pPr>
      <w:r>
        <w:rPr>
          <w:rFonts w:ascii="Arial" w:eastAsia="Microsoft YaHei" w:hAnsi="Arial"/>
          <w:b/>
          <w:bCs/>
          <w:color w:val="FFFFFF"/>
          <w:sz w:val="26"/>
          <w:szCs w:val="26"/>
        </w:rPr>
        <w:t xml:space="preserve"> 6.3  接口需求 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综合健康风险分析模块与现有模块的接口需求如下：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6.3.1  数据与档案接口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00"/>
      </w:tblGrid>
      <w:tr>
        <w:trPr>
          <w:cantSplit/>
          <w:tblHeader/>
        </w:trPr>
        <w:tc>
          <w:tcPr>
            <w:tcW w:type="dxa" w:w="22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24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接口方向</w:t>
            </w:r>
          </w:p>
        </w:tc>
        <w:tc>
          <w:tcPr>
            <w:tcW w:type="dxa" w:w="5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数据读取接口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评估数据服务→本模块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从评估数据服务读取最新舌诊报告数据（舌色/苔色/舌体/舌下络脉/舌诊总述/脉象类型/脉率/脉象解读/面色/面诊解读）</w:t>
            </w:r>
          </w:p>
        </w:tc>
      </w:tr>
      <w:tr>
        <w:trPr>
          <w:cantSplit/>
        </w:trP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档案读取接口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老人档案服务→本模块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读取老人静态档案（姓名/年龄/性别/区域area/居住类型/慢病基线/失智等级/经济状况/重大疾病史）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扩展档案读取接口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老人档案服务→本模块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读取扩展字段（ageTier/dementiaLevel/economicCondition/area/livingSituation/chronicDiseases等）</w:t>
            </w:r>
          </w:p>
        </w:tc>
      </w:tr>
      <w:tr>
        <w:trPr>
          <w:cantSplit/>
        </w:trP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报告存储接口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本模块→报告存储服务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将生成的综合风险报告存储至CompositeRiskReport表及相关子表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消息推送接口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本模块→消息服务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将紧急风险报告推送至医护人员APP/管理端及家属端</w:t>
            </w:r>
          </w:p>
        </w:tc>
      </w:tr>
      <w:tr>
        <w:trPr>
          <w:cantSplit/>
        </w:trP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报告导出接口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本模块→文件服务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生成TXT格式报告文件并触发下载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6.3.2  语音识别接口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系统须提供前端语音识别接口，基于浏览器原生Web Speech API实现：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00"/>
      </w:tblGrid>
      <w:tr>
        <w:trPr>
          <w:cantSplit/>
          <w:tblHeader/>
        </w:trPr>
        <w:tc>
          <w:tcPr>
            <w:tcW w:type="dxa" w:w="2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接口/方法</w:t>
            </w:r>
          </w:p>
        </w:tc>
        <w:tc>
          <w:tcPr>
            <w:tcW w:type="dxa" w:w="1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SpeechRecognition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 API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浏览器原生语音识别接口，语言标识设为zh-CN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recognition.start()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方法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开始录音识别，触发后输入框显示"正在聆听…请说话"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recognition.onresult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事件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识别结果回调，将识别文本自动填入输入框并发送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recognition.onerror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事件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错误回调，处理不支持语音或识别失败场景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SpeechRecognition支持检测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方法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检测浏览器是否支持Web Speech API，不支持时提示用户使用文字输入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6.3.3  对话意图匹配接口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系统须提供对话意图匹配接口，将用户输入文本映射至9种意图之一：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00"/>
      </w:tblGrid>
      <w:tr>
        <w:trPr>
          <w:cantSplit/>
          <w:tblHeader/>
        </w:trPr>
        <w:tc>
          <w:tcPr>
            <w:tcW w:type="dxa" w:w="2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接口/方法</w:t>
            </w:r>
          </w:p>
        </w:tc>
        <w:tc>
          <w:tcPr>
            <w:tcW w:type="dxa" w:w="18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000"/>
            <w:shd w:fill="D6E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matchIntent(inputText)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方法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对话意图匹配主入口，接收用户输入文本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关键词词库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9种意图对应的关键词集合（viewOverview/viewDetail/viewAdvice/viewIndicators/switchElderly/viewSceneFactors/generateReport/viewRiskPoints/help）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分词处理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方法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对输入文本进行中文分词与关键词命中检测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意图返回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返回值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返回首个匹配意图标识；无匹配时回退至默认意图viewOverview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卡片路由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方法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根据意图标识路由至对应卡片渲染逻辑</w:t>
            </w:r>
          </w:p>
        </w:tc>
      </w:tr>
    </w:tbl>
    <w:p>
      <w:p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pStyle w:val="Heading2"/>
        <w:keepNext w:val="false"/>
        <w:keepLines w:val="false"/>
        <w:shd w:fill="2E5395" w:color="auto" w:val="clear"/>
        <w:spacing w:after="160" w:before="280" w:line="360"/>
      </w:pPr>
      <w:r>
        <w:rPr>
          <w:rFonts w:ascii="Arial" w:eastAsia="Microsoft YaHei" w:hAnsi="Arial"/>
          <w:b/>
          <w:bCs/>
          <w:color w:val="FFFFFF"/>
          <w:sz w:val="26"/>
          <w:szCs w:val="26"/>
        </w:rPr>
        <w:t xml:space="preserve"> 6.4  非功能需求 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综合健康风险分析模块的非功能需求如下：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6.4.1  语音兼容性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系统须兼容支持Web Speech API的主流浏览器（Chrome、Edge等）；不支持语音识别的浏览器（如部分IE/Firefox版本）须优雅降级，隐藏语音按钮或禁用并提示"当前浏览器不支持语音输入，请使用文字输入"。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语音识别须限定中文（zh-CN），识别准确率在安静环境下不低于85%。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语音录音过程中须提供实时状态反馈（"正在聆听…请说话"），用户可随时取消录音。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语音识别失败或超时（如15秒无输入）须自动停止并恢复输入框常态。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6.4.2  AI声明展示规范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以下卡片须在顶部统一展示AI免责声明条：riskOverviewCard、reportOverviewCard、indicatorDetailCard、careAdviceCard、riskLevelCard、constitutionCard、diseaseRiskCard、syndromeCard、personalizedCareCard、contraindicationsCard。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声明条固定文本："AI生成 | 本报告由人工智能分析生成，仅供参考，不构成医疗诊断依据。"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声明条样式：橙色背景、白色或深色文字、字号不小于10pt、居中显示、不可关闭。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导出的TXT报告文件头部同样须包含AI免责声明文本。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6.4.3  性能与响应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对话响应延迟：AI卡片渲染须在用户发送后3秒内完成（不含网络传输）。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综合风险计算（calculateCompositeRisk）单次执行时间不超过2秒。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报告导出TXT文件生成时间不超过3秒。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6.4.4  易用性与交互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对话界面须支持历史消息滚动浏览，AI消息与用户消息视觉区分明确（白色气泡vs橙色气泡）。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卡片渲染须自适应屏幕宽度，最大宽度92%，圆角28px，移动端与桌面端均可用。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老人切换选择器须支持搜索过滤，列表项信息完整（风险色点、姓名、年龄性别、区域、慢病、风险等级）。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同名老人确认卡片须支持点击选择与"第X位"文本输入两种确认方式。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6.4.5  字体与中文显示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文档与界面中文须使用微软雅黑字体，确保中文显示正常、清晰。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风险等级颜色须严格按10分制映射表色值显示（绿#34C759/蓝#1677FF/黄#FF9500/橙#FF6B35/红#FF3B30）。</w:t>
      </w:r>
    </w:p>
    <w:p>
      <w:pPr>
        <w:pStyle w:val="Heading2"/>
        <w:keepNext w:val="false"/>
        <w:keepLines w:val="false"/>
        <w:shd w:fill="2E5395" w:color="auto" w:val="clear"/>
        <w:spacing w:after="160" w:before="280" w:line="360"/>
      </w:pPr>
      <w:r>
        <w:rPr>
          <w:rFonts w:ascii="Arial" w:eastAsia="Microsoft YaHei" w:hAnsi="Arial"/>
          <w:b/>
          <w:bCs/>
          <w:color w:val="FFFFFF"/>
          <w:sz w:val="26"/>
          <w:szCs w:val="26"/>
        </w:rPr>
        <w:t xml:space="preserve"> 6.5  使用场景与入口模式 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本章定义综合健康风险分析模块的入口模式、使用场景与用户类型。系统须支持两种入口模式，以满足不同操作路径下的使用需求。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6.5.1  入口模式A：档案跳转模式（archiveJump）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使用场景：护理人员或管理人员在B端系统的老人档案页面，点击"AI健康风险评估"按钮，系统携带老人ID（elderId）跳转至AI对话页面。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URL参数规范：?elderId={老人档案ID}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进入后AI自动识别老人身份，直接展示该老人的综合风险评估卡片。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用户类型：护理人员、管理人员。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优势：不需要通过对话选择老人，减少操作步骤。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6.5.2  入口模式B：对话选择模式（dialog）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使用场景：用户直接打开AI对话页面，通过对话输入老人姓名或点击右上角切换老人按钮选择评估对象。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AI先读取对话上下文，若无绑定老人则提示用户选择。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支持同名老人确认流程（参见FR-COMP-019）。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用户类型：护理人员、家属、管理人员。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6.5.3  场景判断逻辑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系统须在初始化时解析URL参数，判断入口模式。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若URL包含elderId参数且匹配到有效老人，则进入档案跳转模式，自动展示评估结果。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若URL无elderId参数或参数无效，则进入对话选择模式，展示通用欢迎语。</w:t>
      </w:r>
    </w:p>
    <w:p>
      <w:pPr>
        <w:pStyle w:val="Heading3"/>
        <w:keepNext w:val="false"/>
        <w:keepLines w:val="false"/>
        <w:pBdr>
          <w:left w:val="single" w:color="2E5395" w:sz="24" w:space="8"/>
        </w:pBdr>
        <w:spacing w:after="120" w:before="220" w:line="360"/>
      </w:pPr>
      <w:r>
        <w:rPr>
          <w:rFonts w:ascii="Arial" w:eastAsia="Microsoft YaHei" w:hAnsi="Arial"/>
          <w:b/>
          <w:bCs/>
          <w:color w:val="1F3864"/>
          <w:sz w:val="24"/>
          <w:szCs w:val="24"/>
        </w:rPr>
        <w:t xml:space="preserve">6.5.4  用户类型定义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护理人员：可在两种入口模式下使用，负责日常老人健康监测与评估查看。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管理人员：可在两种入口模式下使用，拥有全部操作权限。</w:t>
      </w:r>
    </w:p>
    <w:p>
      <w:pPr>
        <w:spacing w:after="40" w:before="40" w:line="340"/>
        <w:ind w:left="720" w:hanging="280"/>
        <w:jc w:val="both"/>
      </w:pPr>
      <w:r>
        <w:rPr>
          <w:rFonts w:ascii="Arial" w:eastAsia="Microsoft YaHei" w:hAnsi="Arial"/>
          <w:sz w:val="21"/>
          <w:szCs w:val="21"/>
        </w:rPr>
        <w:t xml:space="preserve">• 家属：仅在对话选择模式下使用，通过对话选择老人查看评估结果。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—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健康风险评估师 v1.3 | 需求规格说明书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SRS-健康风险评估师-v1.3-需求规格说明书</dc:title>
  <dc:creator>健康风险评估师</dc:creator>
  <cp:lastModifiedBy>Un-named</cp:lastModifiedBy>
  <cp:revision>1</cp:revision>
  <dcterms:created xsi:type="dcterms:W3CDTF">2026-07-31T01:41:33.500Z</dcterms:created>
  <dcterms:modified xsi:type="dcterms:W3CDTF">2026-07-31T01:41:33.501Z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