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Microsoft YaHei" w:hAnsi="Microsoft YaHei" w:eastAsia="Microsoft YaHei"/>
          <w:b/>
          <w:sz w:val="36"/>
        </w:rPr>
        <w:t>自动报关智能体功能文档及后续计划</w:t>
      </w:r>
    </w:p>
    <w:p>
      <w:pPr>
        <w:spacing w:before="0" w:after="160" w:line="252" w:lineRule="auto"/>
        <w:jc w:val="center"/>
      </w:pPr>
      <w:r>
        <w:rPr>
          <w:rFonts w:ascii="Microsoft YaHei" w:hAnsi="Microsoft YaHei" w:eastAsia="Microsoft YaHei"/>
          <w:color w:val="606060"/>
          <w:sz w:val="18"/>
        </w:rPr>
        <w:t>模块范围：整体智能系统中的自动报关能力组件 | 版本：会议后汇报稿</w:t>
      </w:r>
    </w:p>
    <w:p>
      <w:pPr>
        <w:pStyle w:val="Heading1"/>
        <w:spacing w:before="100" w:after="60" w:line="252" w:lineRule="auto"/>
      </w:pPr>
      <w:r>
        <w:t>一、模块定位</w:t>
      </w:r>
    </w:p>
    <w:p>
      <w:pPr>
        <w:spacing w:before="0" w:after="50" w:line="252" w:lineRule="auto"/>
      </w:pPr>
      <w:r>
        <w:t>本模块是整体智能系统中的“自动报关智能体能力”部分，主要面向报关业务场景，提供智能审单、法规检索、技能调用、合规分析、结果导出和外部子智能体委托等能力。模块目标是把报关审核、法规查询和风险提示流程沉淀为可交互、可追溯、可扩展的智能工作流。</w:t>
      </w:r>
    </w:p>
    <w:p>
      <w:pPr>
        <w:spacing w:before="0" w:after="50" w:line="252" w:lineRule="auto"/>
      </w:pPr>
      <w:r>
        <w:t>边界说明：本模块不负责小车调度、异常检测网站和整体平台调度等其他系统能力，仅提供自动报关相关的智能分析与辅助决策能力。</w:t>
      </w:r>
    </w:p>
    <w:p>
      <w:pPr>
        <w:pStyle w:val="Heading1"/>
        <w:spacing w:before="100" w:after="60" w:line="252" w:lineRule="auto"/>
      </w:pPr>
      <w:r>
        <w:t>二、当前已具备功能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417"/>
            <w:shd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功能方向</w:t>
            </w:r>
          </w:p>
        </w:tc>
        <w:tc>
          <w:tcPr>
            <w:tcW w:type="dxa" w:w="5216"/>
            <w:shd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当前能力说明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可展示结果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智能审单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识别报关单中的商品信息、申报价格、用途、监管条件等关键字段，并结合规则输出风险项。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风险清单、风险原因、处理建议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法规检索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围绕海关监管、许可证、旧机电产品、固体废物等问题检索法规依据。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法规条文摘要、依据说明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技能调用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通过本地技能机制扩展专项能力，例如 HS 编码辅助、税费估算等。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专项判断或计算结果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报告生成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将审单、法规和风险分析结果整理为结构化报告或合规建议书。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可留档的分析报告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MCP 文件工具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在限定目录内读取、写入、搜索和管理业务文件，为后续外部工具接入打基础。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文件读取、写入、检索结果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OpenCode 子智能体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由主智能体组织项目背景和本次任务，委托本机 OpenCode 处理复杂文件、脚本或代码任务。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子智能体产物及主智能体验证结果</w:t>
            </w:r>
          </w:p>
        </w:tc>
      </w:tr>
    </w:tbl>
    <w:p>
      <w:pPr>
        <w:spacing w:after="20"/>
      </w:pPr>
    </w:p>
    <w:p>
      <w:pPr>
        <w:pStyle w:val="Heading1"/>
        <w:spacing w:before="100" w:after="60" w:line="252" w:lineRule="auto"/>
      </w:pPr>
      <w:r>
        <w:t>三、本次可展示闭环</w:t>
      </w:r>
    </w:p>
    <w:p>
      <w:pPr>
        <w:spacing w:before="0" w:after="50" w:line="252" w:lineRule="auto"/>
      </w:pPr>
      <w:r>
        <w:t>1. 用户输入报关单或商品申报信息，系统自动触发审单分析。</w:t>
      </w:r>
    </w:p>
    <w:p>
      <w:pPr>
        <w:spacing w:before="0" w:after="50" w:line="252" w:lineRule="auto"/>
      </w:pPr>
      <w:r>
        <w:t>2. 系统输出风险项，并针对关键风险调用法规检索补充依据。</w:t>
      </w:r>
    </w:p>
    <w:p>
      <w:pPr>
        <w:spacing w:before="0" w:after="50" w:line="252" w:lineRule="auto"/>
      </w:pPr>
      <w:r>
        <w:t>3. 涉及 HS 编码、税费测算等专项问题时，调用对应技能进行辅助判断。</w:t>
      </w:r>
    </w:p>
    <w:p>
      <w:pPr>
        <w:spacing w:before="0" w:after="50" w:line="252" w:lineRule="auto"/>
      </w:pPr>
      <w:r>
        <w:t>4. 系统将审单结论、法规依据和建议整理为可读说明或报告内容。</w:t>
      </w:r>
    </w:p>
    <w:p>
      <w:pPr>
        <w:spacing w:before="0" w:after="50" w:line="252" w:lineRule="auto"/>
      </w:pPr>
      <w:r>
        <w:t>5. 对复杂文件或脚本任务，可委托 OpenCode 子智能体执行，并由主智能体验证产物。</w:t>
      </w:r>
    </w:p>
    <w:p>
      <w:r>
        <w:br w:type="page"/>
      </w:r>
    </w:p>
    <w:p>
      <w:pPr>
        <w:pStyle w:val="Heading1"/>
        <w:spacing w:before="100" w:after="60" w:line="252" w:lineRule="auto"/>
      </w:pPr>
      <w:r>
        <w:t>四、上次汇报后主要更新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871"/>
            <w:shd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更新项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价值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技能系统简化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将技能调用收敛为更清晰的“注册 + 激活”模式，减少多层调用理解成本。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提升调用稳定性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MCP 工具接入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接入本地文件系统工具，支持限定目录内的文件读写和检索。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增强文件处理能力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OpenCode 委托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新增本机 OpenCode 子智能体调用，主智能体直接注入背景信息和本次任务。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提升复杂任务处理能力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提示词边界强化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明确审单、法规、技能、MCP 和子智能体的调用边界。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减少误调用和身份混淆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关键链路验证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对技能、MCP、OpenCode 子智能体调用等流程进行本地测试。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支撑稳定演示</w:t>
            </w:r>
          </w:p>
        </w:tc>
      </w:tr>
    </w:tbl>
    <w:p>
      <w:pPr>
        <w:spacing w:after="20"/>
      </w:pPr>
    </w:p>
    <w:p>
      <w:pPr>
        <w:pStyle w:val="Heading1"/>
        <w:spacing w:before="100" w:after="60" w:line="252" w:lineRule="auto"/>
      </w:pPr>
      <w:r>
        <w:t>五、当前问题与不足</w:t>
      </w:r>
    </w:p>
    <w:p>
      <w:pPr>
        <w:spacing w:before="0" w:after="50" w:line="252" w:lineRule="auto"/>
      </w:pPr>
      <w:r>
        <w:t>1. 稳定性仍需加强：部分能力依赖外部模型接口和本地工具环境，需要继续完善超时、失败重试和异常提示。</w:t>
      </w:r>
    </w:p>
    <w:p>
      <w:pPr>
        <w:spacing w:before="0" w:after="50" w:line="252" w:lineRule="auto"/>
      </w:pPr>
      <w:r>
        <w:t>2. 业务规则覆盖还需扩充：当前规则和技能以重点示例场景为主，需要结合真实案例继续补充。</w:t>
      </w:r>
    </w:p>
    <w:p>
      <w:pPr>
        <w:spacing w:before="0" w:after="50" w:line="252" w:lineRule="auto"/>
      </w:pPr>
      <w:r>
        <w:t>3. 标准演示材料还需整理：需要固定案例、输入样例、预期输出和备用方案，保证会议展示稳定。</w:t>
      </w:r>
    </w:p>
    <w:p>
      <w:pPr>
        <w:spacing w:before="0" w:after="50" w:line="252" w:lineRule="auto"/>
      </w:pPr>
      <w:r>
        <w:t>4. 工具调用边界还需细化：MCP 和 OpenCode 能力较强，后续应继续补充权限控制、日志记录和结果校验。</w:t>
      </w:r>
    </w:p>
    <w:p>
      <w:pPr>
        <w:pStyle w:val="Heading1"/>
        <w:spacing w:before="100" w:after="60" w:line="252" w:lineRule="auto"/>
      </w:pPr>
      <w:r>
        <w:t>六、下一阶段计划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928"/>
            <w:shd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计划方向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具体工作</w:t>
            </w:r>
          </w:p>
        </w:tc>
        <w:tc>
          <w:tcPr>
            <w:tcW w:type="dxa" w:w="2324"/>
            <w:shd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演示案例标准化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整理正常报关、风险报关、法规咨询等 2-3 个固定案例。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形成稳定可复现展示流程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规则与知识扩充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补充价格异常、监管证件、旧机电产品、固体废物等规则和案例。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提升审单业务可信度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技能与报告优化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完善 HS 编码、税费估算、材料检查等技能，并优化报告结构。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提高可复用和可留档能力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稳定性与可观测性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增加关键链路日志、超时处理、测试用例和工具调用校验。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降低演示和使用不确定性</w:t>
            </w:r>
          </w:p>
        </w:tc>
      </w:tr>
    </w:tbl>
    <w:p>
      <w:pPr>
        <w:spacing w:after="20"/>
      </w:pPr>
    </w:p>
    <w:p>
      <w:pPr>
        <w:pStyle w:val="Heading1"/>
        <w:spacing w:before="100" w:after="60" w:line="252" w:lineRule="auto"/>
      </w:pPr>
      <w:r>
        <w:t>七、阶段总结</w:t>
      </w:r>
    </w:p>
    <w:p>
      <w:pPr>
        <w:spacing w:before="0" w:after="50" w:line="252" w:lineRule="auto"/>
      </w:pPr>
      <w:r>
        <w:t>总体来看，自动报关智能体模块已经具备从用户输入、智能审单、法规支撑、技能调用到结果输出的基础闭环。下一阶段重点不是单纯增加功能数量，而是围绕真实业务场景补充规则、沉淀案例、稳定演示流程，并提升工具调用的可靠性和可控性。</w:t>
      </w:r>
    </w:p>
    <w:sectPr w:rsidR="00FC693F" w:rsidRPr="0006063C" w:rsidSect="00034616">
      <w:footerReference w:type="default" r:id="rId9"/>
      <w:pgSz w:w="11906" w:h="16838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自动报关智能体模块 | 功能文档及后续计划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自动报关智能体功能文档及后续计划</dc:title>
  <dc:subject>会议后功能说明与建设计划</dc:subject>
  <dc:creator>自动报关智能体项目组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