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F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5ACA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07397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1AF9D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4612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59C2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635D8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35937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52"/>
          <w:szCs w:val="52"/>
        </w:rPr>
      </w:pPr>
      <w:r>
        <w:rPr>
          <w:rFonts w:ascii="宋体" w:hAnsi="宋体" w:eastAsia="宋体" w:cs="宋体"/>
          <w:b/>
          <w:bCs/>
          <w:sz w:val="52"/>
          <w:szCs w:val="52"/>
        </w:rPr>
        <w:t>基于资金图谱的涉诈账户发现</w:t>
      </w:r>
    </w:p>
    <w:p w14:paraId="7D481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56"/>
          <w:szCs w:val="56"/>
        </w:rPr>
      </w:pPr>
      <w:r>
        <w:rPr>
          <w:rFonts w:ascii="宋体" w:hAnsi="宋体" w:eastAsia="宋体" w:cs="宋体"/>
          <w:b/>
          <w:bCs/>
          <w:sz w:val="56"/>
          <w:szCs w:val="56"/>
        </w:rPr>
        <w:t>与可疑链路解释</w:t>
      </w:r>
    </w:p>
    <w:p w14:paraId="6AFE8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042E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14E67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48CB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7240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42DE1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0E5B2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2044E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2C058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436CB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32474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7D328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0E04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目录</w:t>
      </w:r>
    </w:p>
    <w:p w14:paraId="3D2FBD6B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/>
          <w:bCs/>
          <w:sz w:val="36"/>
          <w:szCs w:val="36"/>
        </w:rPr>
        <w:fldChar w:fldCharType="begin"/>
      </w:r>
      <w:r>
        <w:rPr>
          <w:rFonts w:ascii="宋体" w:hAnsi="宋体" w:eastAsia="宋体" w:cs="宋体"/>
          <w:b/>
          <w:bCs/>
          <w:sz w:val="36"/>
          <w:szCs w:val="36"/>
        </w:rPr>
        <w:instrText xml:space="preserve">TOC \o "1-3" \h \u </w:instrText>
      </w:r>
      <w:r>
        <w:rPr>
          <w:rFonts w:ascii="宋体" w:hAnsi="宋体" w:eastAsia="宋体" w:cs="宋体"/>
          <w:b/>
          <w:bCs/>
          <w:sz w:val="36"/>
          <w:szCs w:val="36"/>
        </w:rPr>
        <w:fldChar w:fldCharType="separate"/>
      </w: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_Toc7072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摘要</w:t>
      </w:r>
      <w:r>
        <w:tab/>
      </w:r>
      <w:r>
        <w:fldChar w:fldCharType="begin"/>
      </w:r>
      <w:r>
        <w:instrText xml:space="preserve"> PAGEREF _Toc7072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E4C2AAE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_Toc27952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一、 绪论</w:t>
      </w:r>
      <w:r>
        <w:tab/>
      </w:r>
      <w:r>
        <w:fldChar w:fldCharType="begin"/>
      </w:r>
      <w:r>
        <w:instrText xml:space="preserve"> PAGEREF _Toc27952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8206511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_Toc13571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（一） 研究政策与行业宏观背景</w:t>
      </w:r>
      <w:r>
        <w:tab/>
      </w:r>
      <w:r>
        <w:fldChar w:fldCharType="begin"/>
      </w:r>
      <w:r>
        <w:instrText xml:space="preserve"> PAGEREF _Toc13571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BD66EA7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_Toc6963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反诈监管法规硬性约束与合规要求</w:t>
      </w:r>
      <w:r>
        <w:tab/>
      </w:r>
      <w:r>
        <w:fldChar w:fldCharType="begin"/>
      </w:r>
      <w:r>
        <w:instrText xml:space="preserve"> PAGEREF _Toc6963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AB46ACC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_Toc5661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全国电诈资金犯罪现状与黑产流转特征</w:t>
      </w:r>
      <w:r>
        <w:tab/>
      </w:r>
      <w:r>
        <w:fldChar w:fldCharType="begin"/>
      </w:r>
      <w:r>
        <w:instrText xml:space="preserve"> PAGEREF _Toc5661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53A4990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_Toc10653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（二） 江苏银行反诈业务现存核心痛点</w:t>
      </w:r>
      <w:r>
        <w:tab/>
      </w:r>
      <w:r>
        <w:fldChar w:fldCharType="begin"/>
      </w:r>
      <w:r>
        <w:instrText xml:space="preserve"> PAGEREF _Toc10653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CF1A22B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_Toc31829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传统单账户风控识别能力存在天然短板</w:t>
      </w:r>
      <w:r>
        <w:tab/>
      </w:r>
      <w:r>
        <w:fldChar w:fldCharType="begin"/>
      </w:r>
      <w:r>
        <w:instrText xml:space="preserve"> PAGEREF _Toc31829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DC80F46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_Toc20151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人工资金链路研判运营成本居高不下</w:t>
      </w:r>
      <w:r>
        <w:tab/>
      </w:r>
      <w:r>
        <w:fldChar w:fldCharType="begin"/>
      </w:r>
      <w:r>
        <w:instrText xml:space="preserve"> PAGEREF _Toc20151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9ED42C2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_Toc24927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商用资金图谱方案落地存在多重门槛</w:t>
      </w:r>
      <w:r>
        <w:tab/>
      </w:r>
      <w:r>
        <w:fldChar w:fldCharType="begin"/>
      </w:r>
      <w:r>
        <w:instrText xml:space="preserve"> PAGEREF _Toc24927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117324C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_Toc4016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4． </w:t>
      </w:r>
      <w:r>
        <w:rPr>
          <w:rFonts w:hint="default"/>
          <w:lang w:val="en-US" w:eastAsia="zh-CN"/>
        </w:rPr>
        <w:t>轻量化反诈图谱技术存在行业空白</w:t>
      </w:r>
      <w:r>
        <w:tab/>
      </w:r>
      <w:r>
        <w:fldChar w:fldCharType="begin"/>
      </w:r>
      <w:r>
        <w:instrText xml:space="preserve"> PAGEREF _Toc4016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E3E9EC6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_Toc1746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（三） 赛题任务与研究目标</w:t>
      </w:r>
      <w:r>
        <w:tab/>
      </w:r>
      <w:r>
        <w:fldChar w:fldCharType="begin"/>
      </w:r>
      <w:r>
        <w:instrText xml:space="preserve"> PAGEREF _Toc1746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9649829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_Toc15449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1． 赛题任务</w:t>
      </w:r>
      <w:r>
        <w:tab/>
      </w:r>
      <w:r>
        <w:fldChar w:fldCharType="begin"/>
      </w:r>
      <w:r>
        <w:instrText xml:space="preserve"> PAGEREF _Toc15449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2B0C764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_Toc10094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2． 研究目标</w:t>
      </w:r>
      <w:r>
        <w:tab/>
      </w:r>
      <w:r>
        <w:fldChar w:fldCharType="begin"/>
      </w:r>
      <w:r>
        <w:instrText xml:space="preserve"> PAGEREF _Toc10094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FFCF830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_Toc28126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（四） 研究内容与整体框架</w:t>
      </w:r>
      <w:r>
        <w:tab/>
      </w:r>
      <w:r>
        <w:fldChar w:fldCharType="begin"/>
      </w:r>
      <w:r>
        <w:instrText xml:space="preserve"> PAGEREF _Toc28126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4C54651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_Toc17266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1． 研究内容</w:t>
      </w:r>
      <w:r>
        <w:tab/>
      </w:r>
      <w:r>
        <w:fldChar w:fldCharType="begin"/>
      </w:r>
      <w:r>
        <w:instrText xml:space="preserve"> PAGEREF _Toc17266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51C73D3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_Toc18495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2． 技术框架</w:t>
      </w:r>
      <w:r>
        <w:tab/>
      </w:r>
      <w:r>
        <w:fldChar w:fldCharType="begin"/>
      </w:r>
      <w:r>
        <w:instrText xml:space="preserve"> PAGEREF _Toc18495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10106ED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_Toc26798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二、 相关理论与技术基础</w:t>
      </w:r>
      <w:r>
        <w:tab/>
      </w:r>
      <w:r>
        <w:fldChar w:fldCharType="begin"/>
      </w:r>
      <w:r>
        <w:instrText xml:space="preserve"> PAGEREF _Toc26798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E1B8814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_Toc31890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（一） </w:t>
      </w:r>
      <w:r>
        <w:rPr>
          <w:rFonts w:hint="default"/>
          <w:lang w:val="en-US" w:eastAsia="zh-CN"/>
        </w:rPr>
        <w:t>资金图谱基础概念与金融应用</w:t>
      </w:r>
      <w:r>
        <w:tab/>
      </w:r>
      <w:r>
        <w:fldChar w:fldCharType="begin"/>
      </w:r>
      <w:r>
        <w:instrText xml:space="preserve"> PAGEREF _Toc31890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F85AEB3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_Toc7232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1． 资金图谱</w:t>
      </w:r>
      <w:r>
        <w:tab/>
      </w:r>
      <w:r>
        <w:fldChar w:fldCharType="begin"/>
      </w:r>
      <w:r>
        <w:instrText xml:space="preserve"> PAGEREF _Toc7232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E738955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_Toc14936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四类典型涉诈资金拓扑</w:t>
      </w:r>
      <w:r>
        <w:tab/>
      </w:r>
      <w:r>
        <w:fldChar w:fldCharType="begin"/>
      </w:r>
      <w:r>
        <w:instrText xml:space="preserve"> PAGEREF _Toc14936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335B5FB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_Toc31513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（二） </w:t>
      </w:r>
      <w:r>
        <w:t>时序图学习核心算法原理</w:t>
      </w:r>
      <w:r>
        <w:tab/>
      </w:r>
      <w:r>
        <w:fldChar w:fldCharType="begin"/>
      </w:r>
      <w:r>
        <w:instrText xml:space="preserve"> PAGEREF _Toc31513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519673E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_Toc28775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GraphSAGE静态图神经网络</w:t>
      </w:r>
      <w:r>
        <w:tab/>
      </w:r>
      <w:r>
        <w:fldChar w:fldCharType="begin"/>
      </w:r>
      <w:r>
        <w:instrText xml:space="preserve"> PAGEREF _Toc28775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28A6AE8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_Toc4026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轻量TGN时序事件流模型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_Toc4026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B2C0DAB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_Toc568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标签策略与验证集选择融合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_Toc568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BEC5395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_Toc3788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（三） </w:t>
      </w:r>
      <w:r>
        <w:rPr>
          <w:rFonts w:hint="default"/>
          <w:lang w:val="en-US" w:eastAsia="zh-CN"/>
        </w:rPr>
        <w:t>银行标准化研判与证据判定体系</w:t>
      </w:r>
      <w:r>
        <w:tab/>
      </w:r>
      <w:r>
        <w:fldChar w:fldCharType="begin"/>
      </w:r>
      <w:r>
        <w:instrText xml:space="preserve"> PAGEREF _Toc3788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64F8E7E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_Toc31899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银行人工研判标准化7步流程</w:t>
      </w:r>
      <w:r>
        <w:tab/>
      </w:r>
      <w:r>
        <w:fldChar w:fldCharType="begin"/>
      </w:r>
      <w:r>
        <w:instrText xml:space="preserve"> PAGEREF _Toc31899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E4514E2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_Toc31099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涉诈风险三级证据链判定规则</w:t>
      </w:r>
      <w:r>
        <w:tab/>
      </w:r>
      <w:r>
        <w:fldChar w:fldCharType="begin"/>
      </w:r>
      <w:r>
        <w:instrText xml:space="preserve"> PAGEREF _Toc31099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A8874E4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_Toc27939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（四） 风控评价指标体系</w:t>
      </w:r>
      <w:r>
        <w:tab/>
      </w:r>
      <w:r>
        <w:fldChar w:fldCharType="begin"/>
      </w:r>
      <w:r>
        <w:instrText xml:space="preserve"> PAGEREF _Toc27939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8C493AE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_Toc23493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模型分类指标</w:t>
      </w:r>
      <w:r>
        <w:tab/>
      </w:r>
      <w:r>
        <w:fldChar w:fldCharType="begin"/>
      </w:r>
      <w:r>
        <w:instrText xml:space="preserve"> PAGEREF _Toc23493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147E753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_Toc22977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团伙业务指标</w:t>
      </w:r>
      <w:r>
        <w:tab/>
      </w:r>
      <w:r>
        <w:fldChar w:fldCharType="begin"/>
      </w:r>
      <w:r>
        <w:instrText xml:space="preserve"> PAGEREF _Toc22977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DF54C0A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_Toc19991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链路解释指标</w:t>
      </w:r>
      <w:r>
        <w:tab/>
      </w:r>
      <w:r>
        <w:fldChar w:fldCharType="begin"/>
      </w:r>
      <w:r>
        <w:instrText xml:space="preserve"> PAGEREF _Toc19991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9EF0BB3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_Toc615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三、 整体系统方案设计</w:t>
      </w:r>
      <w:r>
        <w:tab/>
      </w:r>
      <w:r>
        <w:fldChar w:fldCharType="begin"/>
      </w:r>
      <w:r>
        <w:instrText xml:space="preserve"> PAGEREF _Toc615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4C070CA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_Toc23787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（一） </w:t>
      </w:r>
      <w:r>
        <w:t>数据集基础与预处理方案</w:t>
      </w:r>
      <w:r>
        <w:tab/>
      </w:r>
      <w:r>
        <w:fldChar w:fldCharType="begin"/>
      </w:r>
      <w:r>
        <w:instrText xml:space="preserve"> PAGEREF _Toc23787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3ABA898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_Toc9397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赛题脱敏数据集说明</w:t>
      </w:r>
      <w:r>
        <w:tab/>
      </w:r>
      <w:r>
        <w:fldChar w:fldCharType="begin"/>
      </w:r>
      <w:r>
        <w:instrText xml:space="preserve"> PAGEREF _Toc9397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B72835A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_Toc20039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数据清洗与分层特征工程</w:t>
      </w:r>
      <w:r>
        <w:tab/>
      </w:r>
      <w:r>
        <w:fldChar w:fldCharType="begin"/>
      </w:r>
      <w:r>
        <w:instrText xml:space="preserve"> PAGEREF _Toc20039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D4A1ACB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_Toc31215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（二） </w:t>
      </w:r>
      <w:r>
        <w:rPr>
          <w:rFonts w:hint="default"/>
          <w:lang w:val="en-US" w:eastAsia="zh-CN"/>
        </w:rPr>
        <w:t>动态时序资金图谱构建</w:t>
      </w:r>
      <w:r>
        <w:tab/>
      </w:r>
      <w:r>
        <w:fldChar w:fldCharType="begin"/>
      </w:r>
      <w:r>
        <w:instrText xml:space="preserve"> PAGEREF _Toc31215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926B528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_Toc15438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时序窗口防泄露切分规则</w:t>
      </w:r>
      <w:r>
        <w:tab/>
      </w:r>
      <w:r>
        <w:fldChar w:fldCharType="begin"/>
      </w:r>
      <w:r>
        <w:instrText xml:space="preserve"> PAGEREF _Toc15438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2A4EF90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_Toc10709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动态有向子图抽样</w:t>
      </w:r>
      <w:r>
        <w:tab/>
      </w:r>
      <w:r>
        <w:fldChar w:fldCharType="begin"/>
      </w:r>
      <w:r>
        <w:instrText xml:space="preserve"> PAGEREF _Toc10709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1BB47DC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_Toc30022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节点与边特征融合</w:t>
      </w:r>
      <w:r>
        <w:tab/>
      </w:r>
      <w:r>
        <w:fldChar w:fldCharType="begin"/>
      </w:r>
      <w:r>
        <w:instrText xml:space="preserve"> PAGEREF _Toc30022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786C3F4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（三） </w:t>
      </w:r>
      <w:r>
        <w:rPr>
          <w:rFonts w:hint="default"/>
          <w:lang w:val="en-US" w:eastAsia="zh-CN"/>
        </w:rPr>
        <w:t>涉诈账户识别模型设计</w:t>
      </w:r>
      <w:r>
        <w:tab/>
      </w:r>
      <w:r>
        <w:fldChar w:fldCharType="begin"/>
      </w:r>
      <w:r>
        <w:instrText xml:space="preserve"> PAGEREF _Toc278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8CFEDB5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_Toc21681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整体模型架构</w:t>
      </w:r>
      <w:r>
        <w:tab/>
      </w:r>
      <w:r>
        <w:fldChar w:fldCharType="begin"/>
      </w:r>
      <w:r>
        <w:instrText xml:space="preserve"> PAGEREF _Toc21681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9A38AE7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_Toc28782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标签口径与时间切分限制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_Toc28782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7768284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_Toc9850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三类对照基线</w:t>
      </w:r>
      <w:r>
        <w:tab/>
      </w:r>
      <w:r>
        <w:fldChar w:fldCharType="begin"/>
      </w:r>
      <w:r>
        <w:instrText xml:space="preserve"> PAGEREF _Toc9850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3423137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_Toc16825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（四） </w:t>
      </w:r>
      <w:r>
        <w:rPr>
          <w:rFonts w:hint="default"/>
          <w:lang w:val="en-US" w:eastAsia="zh-CN"/>
        </w:rPr>
        <w:t>可疑资金链路与团伙挖掘</w:t>
      </w:r>
      <w:r>
        <w:tab/>
      </w:r>
      <w:r>
        <w:fldChar w:fldCharType="begin"/>
      </w:r>
      <w:r>
        <w:instrText xml:space="preserve"> PAGEREF _Toc16825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C680F47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_Toc27718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关联账户与资金结构挖掘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_Toc27718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8D995AB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_Toc6773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双向多跳路径检索</w:t>
      </w:r>
      <w:r>
        <w:tab/>
      </w:r>
      <w:r>
        <w:fldChar w:fldCharType="begin"/>
      </w:r>
      <w:r>
        <w:instrText xml:space="preserve"> PAGEREF _Toc6773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1C213C5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_Toc24151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图谱可视化规范</w:t>
      </w:r>
      <w:r>
        <w:tab/>
      </w:r>
      <w:r>
        <w:fldChar w:fldCharType="begin"/>
      </w:r>
      <w:r>
        <w:instrText xml:space="preserve"> PAGEREF _Toc24151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30265FF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_Toc24464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（五） </w:t>
      </w:r>
      <w:r>
        <w:rPr>
          <w:rFonts w:hint="default"/>
          <w:lang w:val="en-US" w:eastAsia="zh-CN"/>
        </w:rPr>
        <w:t>标准化反诈研判报告生成</w:t>
      </w:r>
      <w:r>
        <w:tab/>
      </w:r>
      <w:r>
        <w:fldChar w:fldCharType="begin"/>
      </w:r>
      <w:r>
        <w:instrText xml:space="preserve"> PAGEREF _Toc24464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C928256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_Toc3256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报告制式模板</w:t>
      </w:r>
      <w:r>
        <w:tab/>
      </w:r>
      <w:r>
        <w:fldChar w:fldCharType="begin"/>
      </w:r>
      <w:r>
        <w:instrText xml:space="preserve"> PAGEREF _Toc3256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61463B5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_Toc27768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多源证据自动提取</w:t>
      </w:r>
      <w:r>
        <w:tab/>
      </w:r>
      <w:r>
        <w:fldChar w:fldCharType="begin"/>
      </w:r>
      <w:r>
        <w:instrText xml:space="preserve"> PAGEREF _Toc27768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D6369D3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_Toc27265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风险分级与自动处置映射</w:t>
      </w:r>
      <w:r>
        <w:tab/>
      </w:r>
      <w:r>
        <w:fldChar w:fldCharType="begin"/>
      </w:r>
      <w:r>
        <w:instrText xml:space="preserve"> PAGEREF _Toc27265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A24FDEC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_Toc24510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>四、 实验设计与结果分析</w:t>
      </w:r>
      <w:r>
        <w:tab/>
      </w:r>
      <w:r>
        <w:fldChar w:fldCharType="begin"/>
      </w:r>
      <w:r>
        <w:instrText xml:space="preserve"> PAGEREF _Toc24510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4D2D899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_Toc7278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（一） </w:t>
      </w:r>
      <w:r>
        <w:rPr>
          <w:rFonts w:hint="default"/>
          <w:lang w:val="en-US" w:eastAsia="zh-CN"/>
        </w:rPr>
        <w:t>实验环境与数据集划分</w:t>
      </w:r>
      <w:r>
        <w:tab/>
      </w:r>
      <w:r>
        <w:fldChar w:fldCharType="begin"/>
      </w:r>
      <w:r>
        <w:instrText xml:space="preserve"> PAGEREF _Toc7278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92D3696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_Toc4563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轻量化部署环境</w:t>
      </w:r>
      <w:r>
        <w:tab/>
      </w:r>
      <w:r>
        <w:fldChar w:fldCharType="begin"/>
      </w:r>
      <w:r>
        <w:instrText xml:space="preserve"> PAGEREF _Toc4563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C812AE8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_Toc11942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时序划分规则</w:t>
      </w:r>
      <w:r>
        <w:tab/>
      </w:r>
      <w:r>
        <w:fldChar w:fldCharType="begin"/>
      </w:r>
      <w:r>
        <w:instrText xml:space="preserve"> PAGEREF _Toc11942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AAF75E2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_Toc7439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（二） </w:t>
      </w:r>
      <w:r>
        <w:rPr>
          <w:rFonts w:hint="default"/>
          <w:lang w:val="en-US" w:eastAsia="zh-CN"/>
        </w:rPr>
        <w:t>基线与评价指标体系</w:t>
      </w:r>
      <w:r>
        <w:tab/>
      </w:r>
      <w:r>
        <w:fldChar w:fldCharType="begin"/>
      </w:r>
      <w:r>
        <w:instrText xml:space="preserve"> PAGEREF _Toc7439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F5CFF74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_Toc_top5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（三） 高风险嫌疑账户TOP5交易特征记录（业务侧评价体系）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_Toc_top5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F5CFF74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_Toc28967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（四） 模型量化结果对比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_Toc28967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AA1522D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_Toc12249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（五） 典型涉诈图谱案例实证分析（业务知识案例）</w:t>
      </w:r>
      <w:r>
        <w:rPr>
          <w:rFonts w:hint="default"/>
          <w:lang w:val="en-US" w:eastAsia="zh-CN"/>
        </w:rPr>
        <w:t/>
      </w:r>
      <w:r>
        <w:tab/>
      </w:r>
      <w:r>
        <w:fldChar w:fldCharType="begin"/>
      </w:r>
      <w:r>
        <w:instrText xml:space="preserve"> PAGEREF _Toc12249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10371F4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_Toc14337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跑分汇聚团伙案例</w:t>
      </w:r>
      <w:r>
        <w:tab/>
      </w:r>
      <w:r>
        <w:fldChar w:fldCharType="begin"/>
      </w:r>
      <w:r>
        <w:instrText xml:space="preserve"> PAGEREF _Toc14337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2429516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_Toc13121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杀猪盘7层纵深长链</w:t>
      </w:r>
      <w:r>
        <w:tab/>
      </w:r>
      <w:r>
        <w:fldChar w:fldCharType="begin"/>
      </w:r>
      <w:r>
        <w:instrText xml:space="preserve"> PAGEREF _Toc13121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422A0BB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_Toc9480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休眠激活过桥账户</w:t>
      </w:r>
      <w:r>
        <w:tab/>
      </w:r>
      <w:r>
        <w:fldChar w:fldCharType="begin"/>
      </w:r>
      <w:r>
        <w:instrText xml:space="preserve"> PAGEREF _Toc9480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EA176A0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_Toc2315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4． </w:t>
      </w:r>
      <w:r>
        <w:rPr>
          <w:rFonts w:hint="default"/>
          <w:lang w:val="en-US" w:eastAsia="zh-CN"/>
        </w:rPr>
        <w:t>冒充公检法大额拦截案例</w:t>
      </w:r>
      <w:r>
        <w:tab/>
      </w:r>
      <w:r>
        <w:fldChar w:fldCharType="begin"/>
      </w:r>
      <w:r>
        <w:instrText xml:space="preserve"> PAGEREF _Toc2315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4962C7E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_Toc17709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五、 </w:t>
      </w:r>
      <w:r>
        <w:rPr>
          <w:rFonts w:hint="default"/>
          <w:lang w:val="en-US" w:eastAsia="zh-CN"/>
        </w:rPr>
        <w:t>项目创新点与落地应用价值</w:t>
      </w:r>
      <w:r>
        <w:tab/>
      </w:r>
      <w:r>
        <w:fldChar w:fldCharType="begin"/>
      </w:r>
      <w:r>
        <w:instrText xml:space="preserve"> PAGEREF _Toc17709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AA504CB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_Toc23479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（一） </w:t>
      </w:r>
      <w:r>
        <w:rPr>
          <w:rFonts w:hint="default"/>
          <w:lang w:val="en-US" w:eastAsia="zh-CN"/>
        </w:rPr>
        <w:t>四大核心创新点</w:t>
      </w:r>
      <w:r>
        <w:tab/>
      </w:r>
      <w:r>
        <w:fldChar w:fldCharType="begin"/>
      </w:r>
      <w:r>
        <w:instrText xml:space="preserve"> PAGEREF _Toc23479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B92CD2D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_Toc27894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（二） </w:t>
      </w:r>
      <w:r>
        <w:rPr>
          <w:rFonts w:hint="default"/>
          <w:lang w:val="en-US" w:eastAsia="zh-CN"/>
        </w:rPr>
        <w:t>银行落地综合价值测算</w:t>
      </w:r>
      <w:r>
        <w:tab/>
      </w:r>
      <w:r>
        <w:fldChar w:fldCharType="begin"/>
      </w:r>
      <w:r>
        <w:instrText xml:space="preserve"> PAGEREF _Toc27894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7F5855A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_Toc22935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1． </w:t>
      </w:r>
      <w:r>
        <w:rPr>
          <w:rFonts w:hint="default"/>
          <w:lang w:val="en-US" w:eastAsia="zh-CN"/>
        </w:rPr>
        <w:t>合规避险价值</w:t>
      </w:r>
      <w:r>
        <w:tab/>
      </w:r>
      <w:r>
        <w:fldChar w:fldCharType="begin"/>
      </w:r>
      <w:r>
        <w:instrText xml:space="preserve"> PAGEREF _Toc22935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4E6519E8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_Toc5576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2． </w:t>
      </w:r>
      <w:r>
        <w:rPr>
          <w:rFonts w:hint="default"/>
          <w:lang w:val="en-US" w:eastAsia="zh-CN"/>
        </w:rPr>
        <w:t>人力运营价值</w:t>
      </w:r>
      <w:r>
        <w:tab/>
      </w:r>
      <w:r>
        <w:fldChar w:fldCharType="begin"/>
      </w:r>
      <w:r>
        <w:instrText xml:space="preserve"> PAGEREF _Toc5576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5E65BBCB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_Toc29034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3． </w:t>
      </w:r>
      <w:r>
        <w:rPr>
          <w:rFonts w:hint="default"/>
          <w:lang w:val="en-US" w:eastAsia="zh-CN"/>
        </w:rPr>
        <w:t>客户经营价值</w:t>
      </w:r>
      <w:r>
        <w:tab/>
      </w:r>
      <w:r>
        <w:fldChar w:fldCharType="begin"/>
      </w:r>
      <w:r>
        <w:instrText xml:space="preserve"> PAGEREF _Toc29034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26D7961">
      <w:pPr>
        <w:pStyle w:val="11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_Toc10895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4． </w:t>
      </w:r>
      <w:r>
        <w:rPr>
          <w:rFonts w:hint="default"/>
          <w:lang w:val="en-US" w:eastAsia="zh-CN"/>
        </w:rPr>
        <w:t>部署成本价值</w:t>
      </w:r>
      <w:r>
        <w:tab/>
      </w:r>
      <w:r>
        <w:fldChar w:fldCharType="begin"/>
      </w:r>
      <w:r>
        <w:instrText xml:space="preserve"> PAGEREF _Toc10895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292352A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_Toc25843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六、 </w:t>
      </w:r>
      <w:r>
        <w:t>总结与未来展望</w:t>
      </w:r>
      <w:r>
        <w:tab/>
      </w:r>
      <w:r>
        <w:fldChar w:fldCharType="begin"/>
      </w:r>
      <w:r>
        <w:instrText xml:space="preserve"> PAGEREF _Toc25843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0CAF91FF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_Toc26238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（一） </w:t>
      </w:r>
      <w:r>
        <w:rPr>
          <w:rFonts w:hint="default"/>
          <w:lang w:val="en-US" w:eastAsia="zh-CN"/>
        </w:rPr>
        <w:t>研究工作总结</w:t>
      </w:r>
      <w:r>
        <w:tab/>
      </w:r>
      <w:r>
        <w:fldChar w:fldCharType="begin"/>
      </w:r>
      <w:r>
        <w:instrText xml:space="preserve"> PAGEREF _Toc26238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37CEB239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_Toc26918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（二） </w:t>
      </w:r>
      <w:r>
        <w:rPr>
          <w:rFonts w:hint="default"/>
          <w:lang w:val="en-US" w:eastAsia="zh-CN"/>
        </w:rPr>
        <w:t>方案现存局限性</w:t>
      </w:r>
      <w:r>
        <w:tab/>
      </w:r>
      <w:r>
        <w:fldChar w:fldCharType="begin"/>
      </w:r>
      <w:r>
        <w:instrText xml:space="preserve"> PAGEREF _Toc26918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7119FA21">
      <w:pPr>
        <w:pStyle w:val="13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_Toc16130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eastAsia"/>
          <w:lang w:val="en-US" w:eastAsia="zh-CN"/>
        </w:rPr>
        <w:t xml:space="preserve">（三） </w:t>
      </w:r>
      <w:r>
        <w:rPr>
          <w:rFonts w:hint="default"/>
          <w:lang w:val="en-US" w:eastAsia="zh-CN"/>
        </w:rPr>
        <w:t>后续优化拓展方向</w:t>
      </w:r>
      <w:r>
        <w:tab/>
      </w:r>
      <w:r>
        <w:fldChar w:fldCharType="begin"/>
      </w:r>
      <w:r>
        <w:instrText xml:space="preserve"> PAGEREF _Toc16130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DD09F66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_Toc2272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highlight w:val="yellow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_Toc2272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597B912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_Toc26185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lang w:val="en-US" w:eastAsia="zh-CN"/>
        </w:rPr>
        <w:t>附录 A 全流程代码说明</w:t>
      </w:r>
      <w:r>
        <w:tab/>
      </w:r>
      <w:r>
        <w:fldChar w:fldCharType="begin"/>
      </w:r>
      <w:r>
        <w:instrText xml:space="preserve"> PAGEREF _Toc26185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468AE7C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_Toc23751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lang w:val="en-US" w:eastAsia="zh-CN"/>
        </w:rPr>
        <w:t>附录 B 标准化反诈研判报告完整样例</w:t>
      </w:r>
      <w:r>
        <w:tab/>
      </w:r>
      <w:r>
        <w:fldChar w:fldCharType="begin"/>
      </w:r>
      <w:r>
        <w:instrText xml:space="preserve"> PAGEREF _Toc23751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1164650C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_Toc6219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lang w:val="en-US" w:eastAsia="zh-CN"/>
        </w:rPr>
        <w:t>附录 C 实验指标汇总原始数据表</w:t>
      </w:r>
      <w:r>
        <w:tab/>
      </w:r>
      <w:r>
        <w:fldChar w:fldCharType="begin"/>
      </w:r>
      <w:r>
        <w:instrText xml:space="preserve"> PAGEREF _Toc6219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240AE61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_Toc30965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lang w:val="en-US" w:eastAsia="zh-CN"/>
        </w:rPr>
        <w:t>附录 D 典型案例资金图谱可视化样例</w:t>
      </w:r>
      <w:r>
        <w:tab/>
      </w:r>
      <w:r>
        <w:fldChar w:fldCharType="begin"/>
      </w:r>
      <w:r>
        <w:instrText xml:space="preserve"> PAGEREF _Toc30965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6FBF7F42">
      <w:pPr>
        <w:pStyle w:val="12"/>
        <w:tabs>
          <w:tab w:val="right" w:leader="dot" w:pos="8306"/>
        </w:tabs>
      </w:pPr>
      <w:r>
        <w:rPr>
          <w:rFonts w:ascii="宋体" w:hAnsi="宋体" w:eastAsia="宋体" w:cs="宋体"/>
          <w:bCs/>
          <w:szCs w:val="36"/>
        </w:rPr>
        <w:fldChar w:fldCharType="begin"/>
      </w:r>
      <w:r>
        <w:rPr>
          <w:rFonts w:ascii="宋体" w:hAnsi="宋体" w:eastAsia="宋体" w:cs="宋体"/>
          <w:bCs/>
          <w:szCs w:val="36"/>
        </w:rPr>
        <w:instrText xml:space="preserve"> HYPERLINK \l _Toc3272 </w:instrText>
      </w:r>
      <w:r>
        <w:rPr>
          <w:rFonts w:ascii="宋体" w:hAnsi="宋体" w:eastAsia="宋体" w:cs="宋体"/>
          <w:bCs/>
          <w:szCs w:val="36"/>
        </w:rPr>
        <w:fldChar w:fldCharType="separate"/>
      </w:r>
      <w:r>
        <w:rPr>
          <w:rFonts w:hint="default"/>
          <w:lang w:val="en-US" w:eastAsia="zh-CN"/>
        </w:rPr>
        <w:t>附录 E 数据集字段字典、时序窗口切分文档</w:t>
      </w:r>
      <w:r>
        <w:tab/>
      </w:r>
      <w:r>
        <w:fldChar w:fldCharType="begin"/>
      </w:r>
      <w:r>
        <w:instrText xml:space="preserve"> PAGEREF _Toc3272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bCs/>
          <w:szCs w:val="36"/>
        </w:rPr>
        <w:fldChar w:fldCharType="end"/>
      </w:r>
    </w:p>
    <w:p w14:paraId="295B4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Cs/>
          <w:szCs w:val="36"/>
        </w:rPr>
        <w:fldChar w:fldCharType="end"/>
      </w:r>
    </w:p>
    <w:p w14:paraId="5339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6523F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</w:p>
    <w:p w14:paraId="13FF0B0E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center"/>
        <w:textAlignment w:val="auto"/>
        <w:rPr>
          <w:rFonts w:hint="eastAsia"/>
          <w:lang w:val="en-US" w:eastAsia="zh-CN"/>
        </w:rPr>
      </w:pPr>
      <w:bookmarkStart w:id="0" w:name="_Toc7072"/>
      <w:r>
        <w:rPr>
          <w:rFonts w:hint="eastAsia"/>
          <w:lang w:val="en-US" w:eastAsia="zh-CN"/>
        </w:rPr>
        <w:t>摘要</w:t>
      </w:r>
      <w:bookmarkEnd w:id="0"/>
    </w:p>
    <w:p w14:paraId="3EF80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电信网络诈骗、跑分洗钱团伙多层转账隐匿资金链路、传统单账户风控漏报误报严重、人工研判成本极高、商用图谱方案数据与算力门槛高等行业痛点，本文基于江苏银行脱敏账户和交易流水轻量化数据集，设计“滚动动态资金图谱特征+验证集选择融合+分层证据研判”全链路反诈方案。方案完成四大核心任务：①按交易时间切分的动态资金图谱样本构建；②面向极端不平衡样本的涉诈账户识别模型；③高风险账户关联挖掘、多跳可疑路径与资金结构解释；④标准化反诈辅助研判证据报告生成。实验结果（全量11087个账户测试口径）：AUC=0.9858，PR-AUC=0.8049，Top5%高风险账户覆盖确认嫌疑人56/59（94.92%），相对最强传统RandomForest基线PR-AUC提升56.71%，满足赛题全部量化指标；人工抽检证据链解释通过率5/5（100%）。测试集59个确认嫌疑人中，3个可生成真实交易链路证据，其余56个因交易边表缺边输出缺边审计与补数恢复队列，不虚构资金路径。</w:t>
      </w:r>
    </w:p>
    <w:p w14:paraId="7936EFE4">
      <w:pPr>
        <w:rPr>
          <w:rFonts w:hint="eastAsia"/>
          <w:lang w:val="en-US" w:eastAsia="zh-CN"/>
        </w:rPr>
      </w:pPr>
    </w:p>
    <w:p w14:paraId="70740FF5">
      <w:pPr>
        <w:rPr>
          <w:rFonts w:hint="eastAsia"/>
          <w:lang w:val="en-US" w:eastAsia="zh-CN"/>
        </w:rPr>
      </w:pPr>
    </w:p>
    <w:p w14:paraId="7CE1F9E9">
      <w:pPr>
        <w:rPr>
          <w:rFonts w:hint="eastAsia"/>
          <w:lang w:val="en-US" w:eastAsia="zh-CN"/>
        </w:rPr>
      </w:pPr>
    </w:p>
    <w:p w14:paraId="04E9F058">
      <w:pPr>
        <w:rPr>
          <w:rFonts w:hint="eastAsia"/>
          <w:lang w:val="en-US" w:eastAsia="zh-CN"/>
        </w:rPr>
      </w:pPr>
    </w:p>
    <w:p w14:paraId="149ED70D">
      <w:pPr>
        <w:rPr>
          <w:rFonts w:hint="eastAsia"/>
          <w:lang w:val="en-US" w:eastAsia="zh-CN"/>
        </w:rPr>
      </w:pPr>
    </w:p>
    <w:p w14:paraId="0C8A23E4">
      <w:pPr>
        <w:rPr>
          <w:rFonts w:hint="eastAsia"/>
          <w:lang w:val="en-US" w:eastAsia="zh-CN"/>
        </w:rPr>
      </w:pPr>
    </w:p>
    <w:p w14:paraId="1A46F950">
      <w:pPr>
        <w:rPr>
          <w:rFonts w:hint="eastAsia"/>
          <w:lang w:val="en-US" w:eastAsia="zh-CN"/>
        </w:rPr>
      </w:pPr>
    </w:p>
    <w:p w14:paraId="38D79317">
      <w:pPr>
        <w:rPr>
          <w:rFonts w:hint="eastAsia"/>
          <w:lang w:val="en-US" w:eastAsia="zh-CN"/>
        </w:rPr>
      </w:pPr>
    </w:p>
    <w:p w14:paraId="6B8DAE90">
      <w:pPr>
        <w:rPr>
          <w:rFonts w:hint="eastAsia"/>
          <w:lang w:val="en-US" w:eastAsia="zh-CN"/>
        </w:rPr>
      </w:pPr>
    </w:p>
    <w:p w14:paraId="313EFAEF">
      <w:pPr>
        <w:rPr>
          <w:rFonts w:hint="eastAsia"/>
          <w:lang w:val="en-US" w:eastAsia="zh-CN"/>
        </w:rPr>
      </w:pPr>
    </w:p>
    <w:p w14:paraId="282326D4">
      <w:pPr>
        <w:rPr>
          <w:rFonts w:hint="eastAsia"/>
          <w:lang w:val="en-US" w:eastAsia="zh-CN"/>
        </w:rPr>
      </w:pPr>
    </w:p>
    <w:p w14:paraId="47A74737">
      <w:pPr>
        <w:rPr>
          <w:rFonts w:hint="eastAsia"/>
          <w:lang w:val="en-US" w:eastAsia="zh-CN"/>
        </w:rPr>
      </w:pPr>
    </w:p>
    <w:p w14:paraId="5532D1D8">
      <w:pPr>
        <w:rPr>
          <w:rFonts w:hint="eastAsia"/>
          <w:lang w:val="en-US" w:eastAsia="zh-CN"/>
        </w:rPr>
      </w:pPr>
    </w:p>
    <w:p w14:paraId="23C8C57C">
      <w:pPr>
        <w:rPr>
          <w:rFonts w:hint="eastAsia"/>
          <w:lang w:val="en-US" w:eastAsia="zh-CN"/>
        </w:rPr>
      </w:pPr>
    </w:p>
    <w:p w14:paraId="51FB4959">
      <w:pPr>
        <w:rPr>
          <w:rFonts w:hint="eastAsia"/>
          <w:lang w:val="en-US" w:eastAsia="zh-CN"/>
        </w:rPr>
      </w:pPr>
    </w:p>
    <w:p w14:paraId="41DD6D54">
      <w:pPr>
        <w:rPr>
          <w:rFonts w:hint="eastAsia"/>
          <w:lang w:val="en-US" w:eastAsia="zh-CN"/>
        </w:rPr>
      </w:pPr>
    </w:p>
    <w:p w14:paraId="6710510E">
      <w:pPr>
        <w:rPr>
          <w:rFonts w:hint="eastAsia"/>
          <w:lang w:val="en-US" w:eastAsia="zh-CN"/>
        </w:rPr>
      </w:pPr>
    </w:p>
    <w:p w14:paraId="6E0D02F7">
      <w:pPr>
        <w:rPr>
          <w:rFonts w:hint="eastAsia"/>
          <w:lang w:val="en-US" w:eastAsia="zh-CN"/>
        </w:rPr>
      </w:pPr>
    </w:p>
    <w:p w14:paraId="6E197F53">
      <w:pPr>
        <w:rPr>
          <w:rFonts w:hint="eastAsia"/>
          <w:lang w:val="en-US" w:eastAsia="zh-CN"/>
        </w:rPr>
      </w:pPr>
    </w:p>
    <w:p w14:paraId="5D36C7A7">
      <w:pPr>
        <w:rPr>
          <w:rFonts w:hint="eastAsia"/>
          <w:lang w:val="en-US" w:eastAsia="zh-CN"/>
        </w:rPr>
      </w:pPr>
    </w:p>
    <w:p w14:paraId="273D9AED">
      <w:pPr>
        <w:rPr>
          <w:rFonts w:hint="eastAsia"/>
          <w:lang w:val="en-US" w:eastAsia="zh-CN"/>
        </w:rPr>
      </w:pPr>
    </w:p>
    <w:p w14:paraId="53B72C29">
      <w:pPr>
        <w:rPr>
          <w:rFonts w:hint="eastAsia"/>
          <w:lang w:val="en-US" w:eastAsia="zh-CN"/>
        </w:rPr>
      </w:pPr>
    </w:p>
    <w:p w14:paraId="7F961798">
      <w:pPr>
        <w:rPr>
          <w:rFonts w:hint="eastAsia"/>
          <w:lang w:val="en-US" w:eastAsia="zh-CN"/>
        </w:rPr>
      </w:pPr>
    </w:p>
    <w:p w14:paraId="23ABEEF6">
      <w:pPr>
        <w:rPr>
          <w:rFonts w:hint="eastAsia"/>
          <w:lang w:val="en-US" w:eastAsia="zh-CN"/>
        </w:rPr>
      </w:pPr>
    </w:p>
    <w:p w14:paraId="3F099B3F">
      <w:pPr>
        <w:rPr>
          <w:rFonts w:hint="eastAsia"/>
          <w:lang w:val="en-US" w:eastAsia="zh-CN"/>
        </w:rPr>
      </w:pPr>
    </w:p>
    <w:p w14:paraId="4BE9B255">
      <w:pPr>
        <w:rPr>
          <w:rFonts w:hint="eastAsia"/>
          <w:lang w:val="en-US" w:eastAsia="zh-CN"/>
        </w:rPr>
      </w:pPr>
    </w:p>
    <w:p w14:paraId="045432A7">
      <w:pPr>
        <w:rPr>
          <w:rFonts w:hint="eastAsia"/>
          <w:lang w:val="en-US" w:eastAsia="zh-CN"/>
        </w:rPr>
      </w:pPr>
    </w:p>
    <w:p w14:paraId="3C317D96">
      <w:pPr>
        <w:rPr>
          <w:rFonts w:hint="eastAsia"/>
          <w:lang w:val="en-US" w:eastAsia="zh-CN"/>
        </w:rPr>
      </w:pPr>
    </w:p>
    <w:p w14:paraId="3FB23E80">
      <w:pPr>
        <w:rPr>
          <w:rFonts w:hint="eastAsia"/>
          <w:lang w:val="en-US" w:eastAsia="zh-CN"/>
        </w:rPr>
      </w:pPr>
    </w:p>
    <w:p w14:paraId="4899D948">
      <w:pPr>
        <w:rPr>
          <w:rFonts w:hint="eastAsia"/>
          <w:lang w:val="en-US" w:eastAsia="zh-CN"/>
        </w:rPr>
      </w:pPr>
    </w:p>
    <w:p w14:paraId="65289E9A">
      <w:pPr>
        <w:rPr>
          <w:rFonts w:hint="eastAsia"/>
          <w:lang w:val="en-US" w:eastAsia="zh-CN"/>
        </w:rPr>
      </w:pPr>
    </w:p>
    <w:p w14:paraId="4E40C8CE">
      <w:pPr>
        <w:ind w:left="0" w:leftChars="0" w:firstLine="0" w:firstLineChars="0"/>
        <w:rPr>
          <w:rFonts w:hint="default"/>
          <w:lang w:val="en-US" w:eastAsia="zh-CN"/>
        </w:rPr>
      </w:pPr>
    </w:p>
    <w:p w14:paraId="69880947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" w:name="_Toc27952"/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绪论</w:t>
      </w:r>
      <w:bookmarkEnd w:id="1"/>
    </w:p>
    <w:p w14:paraId="26834FB7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2" w:name="_Toc13571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（一）</w:t>
      </w:r>
      <w:r>
        <w:rPr>
          <w:rFonts w:hint="eastAsia"/>
          <w:lang w:val="en-US" w:eastAsia="zh-CN"/>
        </w:rPr>
        <w:t>研究政策与行业宏观背景</w:t>
      </w:r>
      <w:bookmarkEnd w:id="2"/>
    </w:p>
    <w:p w14:paraId="075ABCB5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" w:name="_Toc6963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反诈监管法规硬性约束与合规要求</w:t>
      </w:r>
      <w:bookmarkEnd w:id="3"/>
    </w:p>
    <w:p w14:paraId="1211C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《反电信网络诈骗法》《电信网络诈骗及其关联违法犯罪联合惩戒办法》《金融机构大额交易和可疑交易报告管理办法（2025修订）》等系列法规，明确要求银行完成涉案资金全链路溯源、留存可视化交易证据、及时移送涉诈线索；金监总局、央行将团伙账户漏检、资金线索梳理低效纳入机构风控考核与事后追责，多家银行因反诈能力不足收到百万级监管罚单，构建可溯源、自动化的资金图谱研判体系已成为银行刚性合规需求。</w:t>
      </w:r>
    </w:p>
    <w:p w14:paraId="60FCA36C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" w:name="_Toc5661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全国电诈资金犯罪现状与黑产流转特征</w:t>
      </w:r>
      <w:bookmarkEnd w:id="4"/>
    </w:p>
    <w:p w14:paraId="03CA8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据公安部2025全年、2026上半年官方通报，电诈案件呈现发案总量缓降、团伙化与新型 AI 诈骗资金损失持续走高的特征，黑产普遍采用3-10层中转账户拆分资金规避传统阈值风控。其中虚假投资理财涉案资金损失占比40%、刷单返利发案占比25%，AI换脸语音诈骗2026年一季度同比暴涨 300%；跑分洗钱作为底层资金载体，衍生出分散入账、金字塔归集、环形转账、休眠账户突击交易等标准化异常资金拓扑，仅依靠单账户交易规则难以有效识别。</w:t>
      </w:r>
    </w:p>
    <w:p w14:paraId="784CDAFC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5" w:name="_Toc10653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（二）</w:t>
      </w:r>
      <w:r>
        <w:rPr>
          <w:rFonts w:hint="eastAsia"/>
          <w:lang w:val="en-US" w:eastAsia="zh-CN"/>
        </w:rPr>
        <w:t>江苏银行反诈业务现存核心痛点</w:t>
      </w:r>
      <w:bookmarkEnd w:id="5"/>
      <w:r>
        <w:rPr>
          <w:rFonts w:hint="eastAsia"/>
          <w:lang w:val="en-US" w:eastAsia="zh"/>
          <w:woUserID w:val="3"/>
        </w:rPr>
        <w:t>（高怡）</w:t>
      </w:r>
    </w:p>
    <w:p w14:paraId="066C8EFD">
      <w:pPr>
        <w:pStyle w:val="4"/>
        <w:numPr>
          <w:ilvl w:val="2"/>
          <w:numId w:val="0"/>
        </w:numPr>
        <w:bidi w:val="0"/>
        <w:ind w:left="400"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1、传统单账户风控存在识别短板</w:t>
      </w:r>
    </w:p>
    <w:p w14:paraId="7C0027FD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银行现行反诈体系依靠规则引擎与浅层机器学习，仅能分析单账户单笔交易，无法挖掘多层转账关联拓扑。诈骗分子通过小额拆分、多账户协同跑分规避拦截，团伙整体检出率不足 40%；电诈模式迭代仅 7 天，规则更新滞后，资金团伙漏检问题突出。</w:t>
      </w:r>
    </w:p>
    <w:p w14:paraId="30EA0622">
      <w:pPr>
        <w:pStyle w:val="4"/>
        <w:numPr>
          <w:ilvl w:val="2"/>
          <w:numId w:val="0"/>
        </w:numPr>
        <w:bidi w:val="0"/>
        <w:ind w:left="400"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2、人工研判人力成本高昂</w:t>
      </w:r>
    </w:p>
    <w:p w14:paraId="78DBBF46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银行日均 300 余条预警工单，七成人力耗费在流水导出、手工整理等重复工作。人工核查易遗漏凌晨小额分层转账，跨系统检索团伙账户效率低，单条团伙线索梳理需 4-6 小时；人工取证无统一分级标准，报送公安、监管前需二次整理，线索易遗漏。</w:t>
      </w:r>
    </w:p>
    <w:p w14:paraId="5586D7AB">
      <w:pPr>
        <w:pStyle w:val="4"/>
        <w:numPr>
          <w:ilvl w:val="2"/>
          <w:numId w:val="0"/>
        </w:numPr>
        <w:bidi w:val="0"/>
        <w:ind w:left="400"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3、商用资金图谱落地门槛高</w:t>
      </w:r>
    </w:p>
    <w:p w14:paraId="42ADA1A9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工行天镜、腾讯天御等商用图风控系统依赖设备、运营商、征信等外部数据，算力年运维成本百万级，中小城商行难以负担。同时商用模型仅输出风险分，缺少可视化资金链路与标准化研判证据，无法满足本次赛题仅使用账户、流水数据的限制条件。</w:t>
      </w:r>
    </w:p>
    <w:p w14:paraId="3F227256">
      <w:pPr>
        <w:pStyle w:val="4"/>
        <w:numPr>
          <w:ilvl w:val="2"/>
          <w:numId w:val="0"/>
        </w:numPr>
        <w:bidi w:val="0"/>
        <w:ind w:left="400" w:left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4、轻量化时序反诈图谱存在行业空白</w:t>
      </w:r>
    </w:p>
    <w:p w14:paraId="428E7F05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现有金融图谱方案多为重型架构，中小银行受预算、算力、专业人才限制难以部署。行业亟需一套仅依托账户、交易流水的低开销时序图谱框架，实现团伙挖掘、资金溯源并自动输出合规研判材料。</w:t>
      </w:r>
    </w:p>
    <w:p w14:paraId="77116385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6" w:name="_Toc1746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（三）</w:t>
      </w:r>
      <w:r>
        <w:rPr>
          <w:rFonts w:hint="eastAsia"/>
          <w:lang w:val="en-US" w:eastAsia="zh-CN"/>
        </w:rPr>
        <w:t>赛题任务与研究目标</w:t>
      </w:r>
      <w:bookmarkEnd w:id="6"/>
    </w:p>
    <w:p w14:paraId="1DE7A757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7" w:name="_Toc15449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eastAsia"/>
          <w:lang w:val="en-US" w:eastAsia="zh-CN"/>
        </w:rPr>
        <w:t>赛题任务</w:t>
      </w:r>
      <w:bookmarkEnd w:id="7"/>
    </w:p>
    <w:p w14:paraId="7DA53C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江苏银行揭榜挂帅赛题围绕轻量化资金图谱设计四大核心任务：第一，构建动态资金图谱样本，按交易时间窗口切分并保证未来交易不进入图样本（风险标签无确认时间，标签口径见正文）；第二，解决样本极度不平衡问题，搭建高精度涉诈账户识别模型；第三，挖掘可疑关联账户、多跳资金链路与资金结构，输出可追溯证据；第四，自动生成可追溯、合规化辅助研判报告，输出辅助研判证据。</w:t>
      </w:r>
    </w:p>
    <w:p w14:paraId="6BF62650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8" w:name="_Toc10094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eastAsia"/>
          <w:lang w:val="en-US" w:eastAsia="zh-CN"/>
        </w:rPr>
        <w:t>研究目标</w:t>
      </w:r>
      <w:bookmarkEnd w:id="8"/>
    </w:p>
    <w:p w14:paraId="3C0F1D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以脱敏账户与交易流水为唯一数据源，搭建轻量化动态资金图谱反诈体系，正式时间留出口径下量化指标全部达标并优于赛题基线。结合公开业务案例说明跑分、杀猪盘、休眠过桥等典型涉诈资金拓扑，输出可核查的关联账户与资金结构证据；同时输出标准化研判证据，降低银行人工风控压力，形成可直接向中小城商行复制落地的轻量化解决方案。</w:t>
      </w:r>
    </w:p>
    <w:p w14:paraId="5BEE50E5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9" w:name="_Toc28126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（四）</w:t>
      </w:r>
      <w:r>
        <w:rPr>
          <w:rFonts w:hint="eastAsia"/>
          <w:lang w:val="en-US" w:eastAsia="zh-CN"/>
        </w:rPr>
        <w:t>研究内容与整体框架</w:t>
      </w:r>
      <w:bookmarkEnd w:id="9"/>
    </w:p>
    <w:p w14:paraId="2CB4370E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0" w:name="_Toc17266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eastAsia"/>
          <w:lang w:val="en-US" w:eastAsia="zh-CN"/>
        </w:rPr>
        <w:t>研究内容</w:t>
      </w:r>
      <w:bookmarkEnd w:id="10"/>
    </w:p>
    <w:p w14:paraId="5781E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结合监管政策、行业反诈痛点、黑产资金流转特征，明确轻量化资金图谱建模业务依据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完成脱敏数据集清洗、时序特征工程、无泄露动态资金图谱样本构建</w:t>
      </w:r>
      <w:r>
        <w:rPr>
          <w:rFonts w:hint="eastAsia"/>
          <w:lang w:val="en-US" w:eastAsia="zh-CN"/>
        </w:rPr>
        <w:t>，并</w:t>
      </w:r>
      <w:r>
        <w:rPr>
          <w:rFonts w:hint="default"/>
          <w:lang w:val="en-US" w:eastAsia="zh-CN"/>
        </w:rPr>
        <w:t>设计时序图学习模型、团伙挖掘算法、研判报告生成模块；多维度实验验证并测算落地价值。细分六大研究模块，为报告学术逻辑梳理，属于原创框架整合。</w:t>
      </w:r>
    </w:p>
    <w:p w14:paraId="16CDF32F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1" w:name="_Toc1849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eastAsia"/>
          <w:lang w:val="en-US" w:eastAsia="zh-CN"/>
        </w:rPr>
        <w:t>技术框架</w:t>
      </w:r>
      <w:bookmarkEnd w:id="11"/>
    </w:p>
    <w:p w14:paraId="59899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数据输入→数据清洗与异常标记→标签策略构建→按交易时间窗口切分→交易统计、图结构、时序资金流特征→120天滚动动态资金图谱特征→动态图树模型+CatBoost+轻量TGN验证集选择融合风险打分→Top20关联账户+多跳路径+资金结构→图谱可视化+证据自动提取→标准化反诈研判报告输出→风险分级管控建议。</w:t>
      </w:r>
    </w:p>
    <w:p w14:paraId="238BDBCB">
      <w:pPr>
        <w:pStyle w:val="2"/>
        <w:numPr>
          <w:ilvl w:val="0"/>
          <w:numId w:val="0"/>
        </w:numPr>
        <w:bidi w:val="0"/>
        <w:ind w:left="0" w:leftChars="0" w:firstLine="641" w:firstLineChars="200"/>
        <w:rPr>
          <w:rFonts w:hint="default"/>
          <w:lang w:val="en-US" w:eastAsia="zh-CN"/>
        </w:rPr>
      </w:pPr>
      <w:bookmarkStart w:id="12" w:name="_Toc26798"/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相关理论与技术基础</w:t>
      </w:r>
      <w:bookmarkEnd w:id="12"/>
    </w:p>
    <w:p w14:paraId="28C6C4FB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13" w:name="_Toc31890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（一）</w:t>
      </w:r>
      <w:r>
        <w:rPr>
          <w:rFonts w:hint="default"/>
          <w:lang w:val="en-US" w:eastAsia="zh-CN"/>
        </w:rPr>
        <w:t>资金图谱基础概念与金融应用</w:t>
      </w:r>
      <w:bookmarkEnd w:id="13"/>
    </w:p>
    <w:p w14:paraId="235A2B9E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4" w:name="_Toc7232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eastAsia"/>
          <w:lang w:val="en-US" w:eastAsia="zh-CN"/>
        </w:rPr>
        <w:t>资金图谱</w:t>
      </w:r>
      <w:bookmarkEnd w:id="14"/>
    </w:p>
    <w:p w14:paraId="38967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资金图谱以脱敏账户为图节点，转账行为作为有向交易边，边携带交易时段、金额分箱、跨区标识、渠道等属性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区别于无向图，有向边可精准还原资金流入、流出真实流向，是识别归集、拆分等涉诈模式的核心载体。</w:t>
      </w:r>
    </w:p>
    <w:p w14:paraId="3A19860C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5" w:name="_Toc14936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四类典型涉诈资金拓扑</w:t>
      </w:r>
      <w:bookmarkEnd w:id="15"/>
      <w:r>
        <w:rPr>
          <w:rFonts w:hint="eastAsia"/>
          <w:lang w:val="en-US" w:eastAsia="zh"/>
          <w:woUserID w:val="2"/>
        </w:rPr>
        <w:t>（田涛）</w:t>
      </w:r>
    </w:p>
    <w:p w14:paraId="61196D1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结合公安通报与银行实战案例，黑产资金形成四类标志性图谱结构：</w:t>
      </w:r>
    </w:p>
    <w:p w14:paraId="59239D83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（1）星型汇聚放射拓扑：跑分团伙，多账户集中汇入单一卡头再分散转出；</w:t>
      </w:r>
    </w:p>
    <w:p w14:paraId="11DBF1B3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（2）单源 7 层纵深长链：杀猪盘，资金逐层截留、多层中转；</w:t>
      </w:r>
    </w:p>
    <w:p w14:paraId="16523EB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（3）休眠账户双放射拓扑：长期无交易账户短期大额快进快出；</w:t>
      </w:r>
    </w:p>
    <w:p w14:paraId="6ADAF80E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（4）环形闭环拓扑：团伙账户互相转账伪造经营流水。</w:t>
      </w:r>
    </w:p>
    <w:p w14:paraId="5F71EF3D">
      <w:pPr>
        <w:rPr>
          <w:rFonts w:hint="eastAsia"/>
          <w:b/>
          <w:bCs/>
          <w:color w:val="000000"/>
          <w:sz w:val="24"/>
          <w:szCs w:val="24"/>
          <w:highlight w:val="none"/>
          <w:lang w:eastAsia="zh"/>
          <w:woUserID w:val="4"/>
        </w:rPr>
      </w:pPr>
      <w:r>
        <w:rPr>
          <w:rFonts w:hint="eastAsia"/>
          <w:b/>
          <w:bCs/>
          <w:color w:val="000000"/>
          <w:sz w:val="24"/>
          <w:szCs w:val="24"/>
          <w:highlight w:val="none"/>
          <w:lang w:eastAsia="zh"/>
          <w:woUserID w:val="4"/>
        </w:rPr>
        <w:t>3. 资金流转通用三阶段模型（肖旨宇）</w:t>
      </w:r>
    </w:p>
    <w:p w14:paraId="65A02223">
      <w:pPr>
        <w:rPr>
          <w:rFonts w:hint="eastAsia"/>
          <w:b w:val="0"/>
          <w:bCs w:val="0"/>
          <w:color w:val="000000"/>
          <w:sz w:val="24"/>
          <w:szCs w:val="24"/>
          <w:highlight w:val="none"/>
          <w:lang w:eastAsia="zh"/>
          <w:woUserID w:val="4"/>
        </w:rPr>
      </w:pPr>
    </w:p>
    <w:p w14:paraId="4CDE72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诈骗资金通常遵循 “注入→剥离→归集” 的路径，以规避监管和追踪：</w:t>
      </w:r>
    </w:p>
    <w:p w14:paraId="0B0B4492">
      <w:pPr>
        <w:rPr>
          <w:rFonts w:hint="eastAsia"/>
        </w:rPr>
      </w:pPr>
      <w:r>
        <w:rPr>
          <w:rFonts w:hint="eastAsia"/>
          <w:lang w:val="en-US" w:eastAsia="zh-CN"/>
        </w:rPr>
        <w:t>1. 第一阶段：资金注入（拆分与渗透）</w:t>
      </w:r>
    </w:p>
    <w:p w14:paraId="1746CE8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手法：将大额资金拆散，通过大量“卡农”账户，以小额多笔（通常单笔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&lt;5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万元）的方式分散入账。</w:t>
      </w:r>
    </w:p>
    <w:p w14:paraId="37DAE5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目的：化整为零，规避大额交易报告阈值，混入正常交易数据。</w:t>
      </w:r>
    </w:p>
    <w:p w14:paraId="043D56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2. 第二阶段：资金剥离（混淆与周转）</w:t>
      </w:r>
    </w:p>
    <w:p w14:paraId="389FCD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手法：通过多层中转、环型转账（制造闭环流水）、跨区域流转（利用地域管辖壁垒）和夜间频繁交易（利用风控延迟）等方式，进行多次“倒手”。</w:t>
      </w:r>
    </w:p>
    <w:p w14:paraId="6581D2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目的：割裂交易链条，混淆资金来源与去向，增加追踪难度。</w:t>
      </w:r>
    </w:p>
    <w:p w14:paraId="7A4A31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3. 第三阶段：资金归集（融合与离场）</w:t>
      </w:r>
    </w:p>
    <w:p w14:paraId="04E5C5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highlight w:val="none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手法：采用金字塔归集（逆向操作，将分散资金汇入少数顶点账户），并实现快进快出。</w:t>
      </w:r>
    </w:p>
    <w:p w14:paraId="11D44F3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t>   · 目的：化零为整，准备提现或跨境转移，缩短暴露窗口，即便账户被冻结，赃款也已离场。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  <w:br w:type="textWrapping"/>
      </w:r>
    </w:p>
    <w:p w14:paraId="1AE1FC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六大类诈骗资金行为差异与识别逻辑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  <w:t>（肖旨宇）</w:t>
      </w:r>
    </w:p>
    <w:p w14:paraId="1AB965B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200"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301DED9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1. 刷单诈骗：单向流出（小额返利诱饵→大额收割）。风控点：前期收支平衡，后期转出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入比突增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&gt;3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倍。</w:t>
      </w:r>
    </w:p>
    <w:p w14:paraId="207045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2. 网络赌博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跑分：双向循环（充值→下注→提现）。风控点：众多账户等额小额秒级汇入后立即汇总转出。</w:t>
      </w:r>
    </w:p>
    <w:p w14:paraId="21F0274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3. 贷款诈骗：虚假获取（骗取手续费或利用“白户”骗贷）。风控点：金额固定比率（如贷款额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10%-20%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）转账，全链路耗时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小时。</w:t>
      </w:r>
    </w:p>
    <w:p w14:paraId="793181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4. 杀猪盘：长线单向（情感投资→大额榨取，单笔损失最高）。风控点：入金日环比增长率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&gt;100%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，且资金流入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层以上长链。</w:t>
      </w:r>
    </w:p>
    <w:p w14:paraId="4B2C2D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5. 冒充公检法：单源一次性大额（≥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万元），然后沿单链逐层分拆（金额递减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或均分），全程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小时。</w:t>
      </w:r>
    </w:p>
    <w:p w14:paraId="2F6879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6. 线下取现（新型）：资金入账后，迅速通过柜面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/ATM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提取现金，导致线上追踪链路中断。风控点：现金取现比率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&gt;90%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，且入账到取现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&lt;30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分钟。</w:t>
      </w:r>
    </w:p>
    <w:p w14:paraId="3163C04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highlight w:val="none"/>
          <w:lang w:val="en-US" w:eastAsia="zh-CN" w:bidi="ar"/>
          <w:woUserID w:val="4"/>
        </w:rPr>
      </w:pPr>
    </w:p>
    <w:p w14:paraId="203A1446">
      <w:pPr>
        <w:rPr>
          <w:rFonts w:hint="eastAsia"/>
          <w:lang w:eastAsia="zh"/>
          <w:woUserID w:val="4"/>
        </w:rPr>
      </w:pPr>
    </w:p>
    <w:p w14:paraId="4531DA62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16" w:name="_Toc31513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（二）</w:t>
      </w:r>
      <w:r>
        <w:t>时序图学习核心算法原理</w:t>
      </w:r>
      <w:bookmarkEnd w:id="16"/>
    </w:p>
    <w:p w14:paraId="0D9EFFD7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7" w:name="_Toc2877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GraphSAGE静态图神经网络</w:t>
      </w:r>
      <w:bookmarkEnd w:id="17"/>
      <w:r>
        <w:rPr>
          <w:rFonts w:hint="default"/>
          <w:lang w:val="en-US" w:eastAsia="zh-CN"/>
        </w:rPr>
        <w:t xml:space="preserve"> </w:t>
      </w:r>
    </w:p>
    <w:p w14:paraId="0BD02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GraphSAGE 采用邻居采样实现归纳式图嵌入，可对新增账户完成表征；缺陷为不区分交易时间、资金流向，无法捕捉夜间交易、快进快出等时序异常，作为对照组基线使用。</w:t>
      </w:r>
    </w:p>
    <w:p w14:paraId="6FEB1418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8" w:name="_Toc4026"/>
      <w:bookmarkEnd w:id="18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2．轻量TGN时序事件流模型</w:t>
      </w:r>
    </w:p>
    <w:p w14:paraId="5F1FD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量TGN按日聚合交易事件，按时间顺序更新账户节点记忆（1h、6h、24h、7d时间衰减），用于验证时间事件流信息能否补充静态图损失；在当前仅59个正样本的条件下作为图-树-时序融合模型的5%权重分支，不单独作为主模型。</w:t>
      </w:r>
    </w:p>
    <w:p w14:paraId="04980B4E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19" w:name="_Toc568"/>
      <w:bookmarkEnd w:id="19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3．标签策略与验证集选择融合</w:t>
      </w:r>
    </w:p>
    <w:p w14:paraId="262F2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项目不依赖单一Focal Loss。训练采用Strategy A：嫌疑人=1、其它=0、受害人=-1且训练剔除；各候选模型使用类别权重或类别均衡策略，最终按验证集PR-AUC、Top5%召回和AUC依次选择融合权重，避免在测试集上手工调权。</w:t>
      </w:r>
    </w:p>
    <w:p w14:paraId="366F2578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20" w:name="_Toc3788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（三）</w:t>
      </w:r>
      <w:r>
        <w:rPr>
          <w:rFonts w:hint="default"/>
          <w:lang w:val="en-US" w:eastAsia="zh-CN"/>
        </w:rPr>
        <w:t>银行标准化研判与证据判定体系</w:t>
      </w:r>
      <w:bookmarkEnd w:id="20"/>
      <w:r>
        <w:rPr>
          <w:rFonts w:hint="eastAsia"/>
          <w:lang w:val="en-US" w:eastAsia="zh"/>
          <w:woUserID w:val="3"/>
        </w:rPr>
        <w:t>（高怡）</w:t>
      </w:r>
    </w:p>
    <w:p w14:paraId="0301D7F6">
      <w:pPr>
        <w:pStyle w:val="4"/>
        <w:numPr>
          <w:ilvl w:val="2"/>
          <w:numId w:val="0"/>
        </w:numPr>
        <w:bidi w:val="0"/>
        <w:ind w:left="0" w:leftChars="0" w:firstLine="0" w:firstLineChars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1.银行标准化研判流程</w:t>
      </w:r>
    </w:p>
    <w:p w14:paraId="42DD04AF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结合国内银行反诈7步标准化人工审核流程，本文搭建分级证据判定、风险自动分级、处置方案自动匹配的完整研判体系，同时实现与前文动态资金图谱识别模型（图-树-时序融合模型）、关联账户与多跳路径挖掘模块、缺边审计模块的端到端联动，解决传统人工取证零散、定性无统一标准、线索报送重复加工的业务痛点。</w:t>
      </w:r>
    </w:p>
    <w:p w14:paraId="7D39D279">
      <w:pPr>
        <w:ind w:left="0" w:leftChars="0" w:firstLine="420" w:firstLine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银行官方完整研判流程分为 6 个核心步骤：工单接收登记→账户主体关联核验→交易流水对标研判→账户风险分级定性→风险管控与线索移送→全流程资料归档闭环。</w:t>
      </w:r>
    </w:p>
    <w:p w14:paraId="6E814742">
      <w:pPr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本项目自动化模块覆盖流水研判、关联账户扩线、风险定性、证据归档四大重复人工环节，仅保留客户线下面谈、审批签字等必须人工操作内容，大幅压缩人工处理时长。</w:t>
      </w:r>
    </w:p>
    <w:p w14:paraId="47352936">
      <w:pPr>
        <w:pStyle w:val="4"/>
        <w:numPr>
          <w:ilvl w:val="2"/>
          <w:numId w:val="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1" w:name="_Toc31099"/>
      <w:r>
        <w:rPr>
          <w:rFonts w:hint="eastAsia"/>
          <w:lang w:val="en-US" w:eastAsia="zh"/>
          <w:woUserID w:val="3"/>
        </w:rPr>
        <w:t>2.</w:t>
      </w:r>
      <w:r>
        <w:rPr>
          <w:rFonts w:hint="default"/>
          <w:lang w:val="en-US" w:eastAsia="zh-CN"/>
        </w:rPr>
        <w:t>涉诈风险三级证据链判定规则</w:t>
      </w:r>
      <w:bookmarkEnd w:id="21"/>
    </w:p>
    <w:p w14:paraId="51D28CA4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依托本次赛题仅开放账户、交易、标签三类脱敏数据集的约束，同时考虑数据集内存在大量无交易流水嫌疑账户的客观情况，本文将风险证据划分为一级铁证、二级关联证据、三级微弱线索三类，并针对有交易账户、无交易缺边账户设计两套独立判定逻辑。需要说明：该三级证据判定体系属于业务侧人工复核与证据组织规则，用于案例解释和人工抽检，不是最终机器学习模型图-树-时序融合模型的训练目标；完整分级判定明细内嵌于附录B表B1，无交易缺边账户专属判定标准见附录B表B2。</w:t>
      </w:r>
    </w:p>
    <w:p w14:paraId="77C2BE10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一级铁证为账户高风险定性的核心依据：若账户命中公安涉案两卡库、人行断卡惩戒名单、赃款流入标记等强风险标签，单条证据即可直接判定账户为高风险；二级关联证据依托资金交易拓扑异常特征生成，涵盖资金分散归集拆分、账户快进快出、三层及以上跨账户中转、长期休眠账户突发大额交易等图谱特征，账户累计命中 3 条及以上二级证据可认定为中高风险；三级微弱线索为单一轻微静态或小额交易异常，仅纳入常规月度监测，不触发任何账户管控措施。</w:t>
      </w:r>
    </w:p>
    <w:p w14:paraId="65018C04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数据集中共存在56个无任何交易流水的嫌疑账户，针对该类账户单独设计缺边审计规则：系统不虚构资金流转路径，仅依托账户静态画像、模型风险分和标签信息生成缺边审计记录，统一存入数据补数恢复队列；待后续补充完整交易流水后，重新执行图谱链路挖掘与证据量化判定流程。</w:t>
      </w:r>
    </w:p>
    <w:p w14:paraId="7E11B28C">
      <w:pPr>
        <w:ind w:left="0" w:leftChars="0" w:firstLine="210" w:firstLineChars="100"/>
        <w:rPr>
          <w:rFonts w:hint="eastAsia"/>
          <w:b/>
          <w:bCs/>
          <w:lang w:val="en-US" w:eastAsia="zh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（一）研判全链路自动化协同逻辑</w:t>
      </w:r>
    </w:p>
    <w:p w14:paraId="420A1210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本套三级证据判定体系并非独立静态规则模块，与上游动态资金图谱建模（图-树-时序融合模型）、关联账户与多跳路径挖掘、缺边审计模块深度联动，完整自动化数据流分为四层：</w:t>
      </w:r>
    </w:p>
    <w:p w14:paraId="2DF570CE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模型输出层：基于滚动动态资金图谱模块，图-树-时序融合模型（0.75×动态图树融合模型+0.20×CatBoost+0.05×轻量TGN）输出账户0~1区间风险概率分数；关联账户与多跳路径检索脚本输出账户Top20关联账户清单与真实可追溯资金路径；无交易边账户输出缺边审计记录。</w:t>
      </w:r>
    </w:p>
    <w:p w14:paraId="747382CD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证据自动提取层：程序读取账户、交易、标签三张原始数据表，批量计算资金归集比、快进快出指数、夜间交易占比、资金链路跳数等量化指标；同步对接三维加权风险评分体系，自动匹配附录内三级证据规则完成指标累加，输出账户综合风险得分；若识别账户无交易边，则跳过资金路径提取流程，生成缺边审计记录存档。</w:t>
      </w:r>
    </w:p>
    <w:p w14:paraId="743E029B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风险分级匹配层：系统依据三维综合得分自动划分极高、高、中、低、待观察五档风险等级，分级对应的标准化处置细则统一见附录 B 表 B3，实现量化分数与风控操作一一映射。</w:t>
      </w:r>
    </w:p>
    <w:p w14:paraId="221EE483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分数与风险等级、处置动作对应关系如下：</w:t>
      </w:r>
    </w:p>
    <w:p w14:paraId="7B7B0078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综合得分≥25 分（极高风险）：30 分钟内完成保护性止付与账户全渠道冻结，同步推送属地反诈中心；</w:t>
      </w:r>
    </w:p>
    <w:p w14:paraId="234DEC60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15 分≤综合得分≤24 分（高风险）：限制全部非柜面转账功能，2 小时内完成人工复核；</w:t>
      </w:r>
    </w:p>
    <w:p w14:paraId="50511B5A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8 分≤综合得分≤14 分（中风险）：调低非柜大额交易限额，纳入 24 小时重点监控名单；</w:t>
      </w:r>
    </w:p>
    <w:p w14:paraId="35E7D29C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3 分≤综合得分≤7 分（低风险）：仅执行月度常规风险监测，不主动管控；</w:t>
      </w:r>
    </w:p>
    <w:p w14:paraId="27654605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0 分≤综合得分≤2 分（待观察）：无风控约束，仅留存账户基础信息备查。</w:t>
      </w:r>
    </w:p>
    <w:p w14:paraId="655AEA33">
      <w:pPr>
        <w:ind w:left="0" w:leftChars="0" w:firstLine="210" w:firstLineChars="1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研判报告生成层：系统自动归集模型风险分数、团伙关联信息、可疑资金链路、匹配到的分级证据、标准化处置建议，批量填充至制式反诈辅助研判模板，完整归档模板见附录 B 表 B4，生成文件可直接用于公安协查、监管线索报送与内部风控归档。</w:t>
      </w:r>
    </w:p>
    <w:p w14:paraId="3C81B991">
      <w:pPr>
        <w:rPr>
          <w:rFonts w:hint="default"/>
          <w:lang w:val="en-US" w:eastAsia="zh-CN"/>
        </w:rPr>
      </w:pPr>
      <w:r>
        <w:rPr>
          <w:rFonts w:hint="eastAsia"/>
          <w:lang w:val="en-US" w:eastAsia="zh"/>
          <w:woUserID w:val="3"/>
        </w:rPr>
        <w:t xml:space="preserve">整套研判体系统一了银行涉诈账户风险定性标准，依托图谱与图模型实现证据全自动提取、可全程溯源；人工梳理单团伙资金线索的耗时由原始 4 小时压缩至 10 分钟以内，大幅降低风控人力成本，完全满足《反电信网络诈骗法》、银发〔2022〕261 号、银发〔2016〕86 号文件对银行涉案资金溯源、线索归档移送的合规硬性要求。 </w:t>
      </w:r>
    </w:p>
    <w:p w14:paraId="53B2983C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22" w:name="_Toc27939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b/>
          <w:kern w:val="2"/>
          <w:sz w:val="28"/>
          <w:szCs w:val="24"/>
          <w:lang w:val="en-US" w:eastAsia="zh" w:bidi="ar-SA"/>
          <w:woUserID w:val="3"/>
        </w:rPr>
        <w:t>四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风控评价指标体系</w:t>
      </w:r>
      <w:bookmarkEnd w:id="22"/>
    </w:p>
    <w:p w14:paraId="5D5B9924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23" w:name="_Toc23493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模型分类指标</w:t>
      </w:r>
      <w:bookmarkEnd w:id="23"/>
    </w:p>
    <w:p w14:paraId="5D4D2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AUC：整体区分正常 / 涉账户能力；PR-AUC：不平衡场景核心指标，规避 AUC 虚高问题。</w:t>
      </w:r>
    </w:p>
    <w:p w14:paraId="36F74352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24" w:name="_Toc22977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团伙</w:t>
      </w:r>
      <w:r>
        <w:rPr>
          <w:rFonts w:hint="default"/>
          <w:b/>
          <w:lang w:val="en-US" w:eastAsia="zh-CN"/>
        </w:rPr>
        <w:t>业务</w:t>
      </w:r>
      <w:r>
        <w:rPr>
          <w:rFonts w:hint="default"/>
          <w:lang w:val="en-US" w:eastAsia="zh-CN"/>
        </w:rPr>
        <w:t>指标</w:t>
      </w:r>
      <w:bookmarkEnd w:id="24"/>
    </w:p>
    <w:p w14:paraId="5F9A0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Top5% 高危账户覆盖率：风险分前 5% 账户中真实涉诈账户占比；</w:t>
      </w:r>
    </w:p>
    <w:p w14:paraId="7B727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Top20 关联账户命中率：高危账户输出 20 个关联账户内涉诈账户占比。</w:t>
      </w:r>
    </w:p>
    <w:p w14:paraId="1F392C21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25" w:name="_Toc19991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链路</w:t>
      </w:r>
      <w:r>
        <w:rPr>
          <w:rFonts w:hint="default"/>
          <w:b/>
          <w:lang w:val="en-US" w:eastAsia="zh-CN"/>
        </w:rPr>
        <w:t>解释</w:t>
      </w:r>
      <w:r>
        <w:rPr>
          <w:rFonts w:hint="default"/>
          <w:lang w:val="en-US" w:eastAsia="zh-CN"/>
        </w:rPr>
        <w:t>指标</w:t>
      </w:r>
      <w:bookmarkEnd w:id="25"/>
    </w:p>
    <w:p w14:paraId="7A508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证据人工抽检通过率：人工判定图谱链路、证据可支撑涉诈定性案例占比。</w:t>
      </w:r>
    </w:p>
    <w:p w14:paraId="6A2DD2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cstheme="minorBidi"/>
          <w:b/>
          <w:kern w:val="44"/>
          <w:sz w:val="24"/>
          <w:szCs w:val="24"/>
          <w:lang w:val="en-US" w:eastAsia="zh" w:bidi="ar-SA"/>
          <w:woUserID w:val="4"/>
        </w:rPr>
      </w:pPr>
      <w:bookmarkStart w:id="26" w:name="_Toc615"/>
    </w:p>
    <w:p w14:paraId="719D0C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cstheme="minorBidi"/>
          <w:b/>
          <w:kern w:val="44"/>
          <w:sz w:val="24"/>
          <w:szCs w:val="24"/>
          <w:lang w:val="en-US" w:eastAsia="zh" w:bidi="ar-SA"/>
          <w:woUserID w:val="4"/>
        </w:rPr>
        <w:t>法定与动态风</w:t>
      </w:r>
      <w:r>
        <w:rPr>
          <w:rFonts w:hint="eastAsia" w:cstheme="minorBidi"/>
          <w:b/>
          <w:bCs/>
          <w:kern w:val="44"/>
          <w:sz w:val="24"/>
          <w:szCs w:val="24"/>
          <w:lang w:val="en-US" w:eastAsia="zh" w:bidi="ar-SA"/>
          <w:woUserID w:val="4"/>
        </w:rPr>
        <w:t>控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阈值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  <w:t>（肖旨宇）</w:t>
      </w:r>
    </w:p>
    <w:p w14:paraId="6DF8403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200"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</w:pPr>
    </w:p>
    <w:p w14:paraId="52E33C6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30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·法定硬性阈值（强制报告）：</w:t>
      </w:r>
    </w:p>
    <w:p w14:paraId="25759F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·依据《金融机构大额交易和可疑交易报告管理办法》。</w:t>
      </w:r>
    </w:p>
    <w:p w14:paraId="550DB81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·关键标准：现金收支≥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万元；自然人境内划转≥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万元；自然人跨境划转≥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万元。（注：可疑交易不以金额为唯一标准，拆分交易规避阈值本身即是监控点）。</w:t>
      </w:r>
    </w:p>
    <w:p w14:paraId="49C98E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5CBF2D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·动态监测指标（常见预警触发条件）：</w:t>
      </w:r>
    </w:p>
    <w:p w14:paraId="342921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·快进快出：资金留存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小时，且高频发生。</w:t>
      </w:r>
    </w:p>
    <w:p w14:paraId="27A370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·分散与归集：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小时内同一账户收到≥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个不同账户转账；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小时内下级资金集中汇入。</w:t>
      </w:r>
    </w:p>
    <w:p w14:paraId="10CF8B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·夜间交易：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22:00-6:00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期间发生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笔以上大额转账，或夜间交易量占比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&gt;70%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。</w:t>
      </w:r>
    </w:p>
    <w:p w14:paraId="1E90620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·跨区域与闭环：同一账户登录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或交易对手分布于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个以上省份；检测到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→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→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→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的资金闭环。</w:t>
      </w:r>
    </w:p>
    <w:p w14:paraId="62A570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4735E6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 高风险转账模式：同时满足「小额多笔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跨区域流转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资金留存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小时」的账户，判定为高风险。</w:t>
      </w:r>
    </w:p>
    <w:p w14:paraId="574FB8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 动态阈值预警：</w:t>
      </w:r>
    </w:p>
    <w:p w14:paraId="2A6D26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单笔金额持续低于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万且无合理理由 → 重点监测；</w:t>
      </w:r>
    </w:p>
    <w:p w14:paraId="7F49EA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资金留存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小时的交易占比 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&gt;50%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→ 触发预警；</w:t>
      </w:r>
    </w:p>
    <w:p w14:paraId="2CE3B1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同时满足两项及以上动态阈值 → 判定为高危账户。</w:t>
      </w:r>
    </w:p>
    <w:p w14:paraId="4C6131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084B481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 行为异常判定：</w:t>
      </w:r>
    </w:p>
    <w:p w14:paraId="54B5B57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交易行为与对私客户正常消费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经营严重不符 → 异常；</w:t>
      </w:r>
    </w:p>
    <w:p w14:paraId="3700D60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单向资金流出、无回款 → 涉诈高风险；</w:t>
      </w:r>
    </w:p>
    <w:p w14:paraId="7DAFCA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交易周期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&lt;3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天且无持续往来 → 重点监测。</w:t>
      </w:r>
    </w:p>
    <w:p w14:paraId="274A7F1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</w:pPr>
    </w:p>
    <w:p w14:paraId="6A1C8B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bookmarkStart w:id="70" w:name="_GoBack"/>
      <w:bookmarkEnd w:id="7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· 高风险行为触发规则：</w:t>
      </w:r>
    </w:p>
    <w:p w14:paraId="24ADD1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任意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个极高风险行为（如屏幕共享、刷流水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解冻）→ 直接判定为涉诈高危；</w:t>
      </w:r>
    </w:p>
    <w:p w14:paraId="498EB9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任意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个及以上高风险行为 → 人工复核；</w:t>
      </w:r>
    </w:p>
    <w:p w14:paraId="09AE1E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  · 同时满足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个及以上风险特征 → 纳入黑名单。</w:t>
      </w:r>
    </w:p>
    <w:p w14:paraId="493CF1A5">
      <w:pPr>
        <w:pStyle w:val="2"/>
        <w:numPr>
          <w:ilvl w:val="0"/>
          <w:numId w:val="0"/>
        </w:numPr>
        <w:bidi w:val="0"/>
        <w:ind w:left="0" w:leftChars="0" w:firstLine="641" w:firstLineChars="200"/>
        <w:rPr>
          <w:rFonts w:hint="default"/>
          <w:lang w:val="en-US" w:eastAsia="zh-CN"/>
        </w:rPr>
      </w:pPr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整体系统方案设计</w:t>
      </w:r>
      <w:bookmarkEnd w:id="26"/>
    </w:p>
    <w:p w14:paraId="72653AD2">
      <w:pPr>
        <w:pStyle w:val="3"/>
        <w:bidi w:val="0"/>
        <w:ind w:left="0" w:leftChars="0" w:firstLine="0" w:firstLineChars="0"/>
        <w:rPr>
          <w:rFonts w:hint="default"/>
          <w:lang w:val="en-US" w:eastAsia="zh-CN"/>
          <w:woUserID w:val="0"/>
        </w:rPr>
      </w:pPr>
      <w:bookmarkStart w:id="27" w:name="_Toc23787"/>
      <w:r>
        <w:rPr>
          <w:woUserID w:val="0"/>
        </w:rPr>
        <w:t>数据集基础与预处理方案</w:t>
      </w:r>
      <w:bookmarkEnd w:id="27"/>
      <w:r>
        <w:rPr>
          <w:rFonts w:hint="eastAsia"/>
          <w:lang w:eastAsia="zh"/>
          <w:woUserID w:val="3"/>
        </w:rPr>
        <w:t>（田涛</w:t>
      </w:r>
      <w:r>
        <w:rPr>
          <w:rFonts w:hint="eastAsia"/>
          <w:lang w:eastAsia="zh"/>
          <w:woUserID w:val="4"/>
        </w:rPr>
        <w:t>、肖旨宇</w:t>
      </w:r>
      <w:r>
        <w:rPr>
          <w:rFonts w:hint="eastAsia"/>
          <w:lang w:eastAsia="zh"/>
          <w:woUserID w:val="3"/>
        </w:rPr>
        <w:t>）</w:t>
      </w:r>
    </w:p>
    <w:p w14:paraId="57C4443E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28" w:name="_Toc9397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赛题脱敏数据集说明</w:t>
      </w:r>
      <w:bookmarkEnd w:id="28"/>
    </w:p>
    <w:p w14:paraId="3F7A09F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lang w:eastAsia="zh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数据集由江苏银行合规抽样脱敏生成，包含三张核心数据表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，由表可见数据集存在严重样本不均衡，59名嫌疑人中仅3户存在交易流水，其余均为无交易缺边账户，因此在图谱抽样、特征计算阶段，针对两类账户设计差异化处理逻辑。</w:t>
      </w:r>
    </w:p>
    <w:p w14:paraId="6474D373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（1）交易边表：全量交易流水数据，共904,395行，核心字段包括：</w:t>
      </w:r>
    </w:p>
    <w:p w14:paraId="4FBC28A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付款账户脱敏id（int64，最小值1，最大值11085，无缺失）</w:t>
      </w:r>
    </w:p>
    <w:p w14:paraId="19B2EC1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收款账户脱敏id（int64，最小值2，最大值11086，无缺失）</w:t>
      </w:r>
    </w:p>
    <w:p w14:paraId="1A4C088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交易时间（object，格式YYYYMMDD HH:MM:SS，覆盖2025年7月至12月，唯一值394,851个，无缺失）</w:t>
      </w:r>
    </w:p>
    <w:p w14:paraId="7E538F3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金额（float64，最小值-10,000.00，最大值11,580,903,619.09，保留2位小数，负数代表冲正/退款，无缺失）</w:t>
      </w:r>
    </w:p>
    <w:p w14:paraId="749FA5B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（2）账户节点表：账户基础信息与风险标签，共11,087行，包含账户脱敏id、是否风险账户标签、开户时长、地区编码、客户类型等字段。</w:t>
      </w:r>
    </w:p>
    <w:p w14:paraId="19EAAFC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（3）风险标签表：账户风险标签映射，共11,087行，包含账户脱敏id、标签类型等字段。</w:t>
      </w:r>
    </w:p>
    <w:p w14:paraId="20E3D4A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全量账号、金额、时间不可逆脱敏，无IP、设备、手机号外部数据。</w:t>
      </w:r>
    </w:p>
    <w:p w14:paraId="3AA071E3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hd w:val="clear" w:fill="FFFFFF"/>
        <w:bidi w:val="0"/>
        <w:spacing w:line="450" w:lineRule="atLeast"/>
        <w:ind w:leftChars="200" w:right="0" w:rightChars="0"/>
        <w:rPr>
          <w:rFonts w:ascii="Open Sans" w:hAnsi="Open Sans" w:eastAsia="Open Sans" w:cs="Open Sans"/>
          <w:caps w:val="0"/>
          <w:color w:val="0F1115"/>
          <w:spacing w:val="0"/>
          <w:woUserID w:val="2"/>
        </w:rPr>
      </w:pPr>
      <w:r>
        <w:rPr>
          <w:rFonts w:hint="eastAsia" w:cstheme="minorBidi"/>
          <w:kern w:val="2"/>
          <w:lang w:val="en-US" w:eastAsia="zh" w:bidi="ar-SA"/>
          <w:woUserID w:val="6"/>
        </w:rPr>
        <w:t>2.</w:t>
      </w:r>
      <w:r>
        <w:rPr>
          <w:rFonts w:hint="default" w:ascii="Arial" w:hAnsi="Arial" w:eastAsia="黑体" w:cstheme="minorBidi"/>
          <w:kern w:val="2"/>
          <w:lang w:val="en-US" w:eastAsia="zh-CN" w:bidi="ar-SA"/>
        </w:rPr>
        <w:t>数据清洗与分层特征工程</w:t>
      </w:r>
    </w:p>
    <w:p w14:paraId="35BAE3D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（1）基础清洗：核对账户ID匹配关系、剔除关键字段缺失样本；自转账、零金额、负金额交易不删除，转为self_loop、non_positive_amount、negative_amount、zero_amount等风险标记特征；</w:t>
      </w:r>
    </w:p>
    <w:p w14:paraId="0E7874D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（2）离散编码：时间、金额、渠道、地区分箱字段独热编码；</w:t>
      </w:r>
    </w:p>
    <w:p w14:paraId="01C72740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（3）三层特征构建：</w:t>
      </w:r>
    </w:p>
    <w:p w14:paraId="66CE1A6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节点静态特征：开户时长、地区编码、客户类型（图-树-时序融合模型删除customer_type）；标签字段不进入特征；</w:t>
      </w:r>
    </w:p>
    <w:p w14:paraId="710B861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woUserID w:val="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时序统计特征：交易次数、金额、对手数、资金留存、夜间交易、小额拆分等账户级统计特征（项目最终以config.py特征清单为准，全量特征共383个），包括：</w:t>
      </w:r>
    </w:p>
    <w:p w14:paraId="1B25608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月交易总流入/流出金额、月度资金净流水</w:t>
      </w:r>
    </w:p>
    <w:p w14:paraId="43A8563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月度全交易对手总数、月度收款/付款对手数</w:t>
      </w:r>
    </w:p>
    <w:p w14:paraId="7DC4C62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单月交易总笔数、日均交易笔数</w:t>
      </w:r>
    </w:p>
    <w:p w14:paraId="422B483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账户资金平均留存时长、当日全额转出占比</w:t>
      </w:r>
    </w:p>
    <w:p w14:paraId="35EAB4B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夜间交易占比（22:00-06:00）</w:t>
      </w:r>
    </w:p>
    <w:p w14:paraId="3942531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小额分散收款笔数（单笔≤10000元）</w:t>
      </w:r>
    </w:p>
    <w:p w14:paraId="3BB1EE9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大额拆分付款笔数（上游大额拆分为多笔小额</w:t>
      </w:r>
    </w:p>
    <w:p w14:paraId="3F15CFF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跨地区对手占比、开户至首笔交易间隔</w:t>
      </w:r>
    </w:p>
    <w:p w14:paraId="3CD08A6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收款1小时内转出占比、连续高频交易天数</w:t>
      </w:r>
    </w:p>
    <w:p w14:paraId="2A769E6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账户收支金额极差</w:t>
      </w:r>
    </w:p>
    <w:p w14:paraId="6BF0E179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woUserID w:val="2"/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交易边特征：时间分桶、金额分箱、渠道、跨区标记、单笔极速转出、大额拆分、陌生对手等交易边属性，对每笔交易生成：</w:t>
      </w:r>
    </w:p>
    <w:p w14:paraId="50F3B94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交易金额档位（&lt;1千/1千-1万/1万-10万/10万-100万/≥100万）</w:t>
      </w:r>
    </w:p>
    <w:p w14:paraId="4381951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交易时段标签（凌晨0-6/夜间22-24/日间7-21）</w:t>
      </w:r>
    </w:p>
    <w:p w14:paraId="66114DB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跨地区交易标记、单笔极速转出标识（收款1小时内等额转出）</w:t>
      </w:r>
    </w:p>
    <w:p w14:paraId="49120D3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小额交易标识（≤1000元）、大额拆分标识（≥50万分3笔及以上转出）</w:t>
      </w:r>
    </w:p>
    <w:p w14:paraId="20CCA0B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连续夜间标识、陌生对手标识（近3个月无往来）</w:t>
      </w:r>
    </w:p>
    <w:p w14:paraId="20EC1EA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交易间隔时长、等额对敲标识、公私账户类型</w:t>
      </w:r>
    </w:p>
    <w:p w14:paraId="5FEF852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超大额交易标识（≥1000万）、同设备批量标识、短期多对手标记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。</w:t>
      </w:r>
    </w:p>
    <w:p w14:paraId="0505D06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</w:pPr>
    </w:p>
    <w:p w14:paraId="022E62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实际数据表现与对比分析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4"/>
        </w:rPr>
        <w:t>（肖旨宇）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br w:type="textWrapping"/>
      </w:r>
    </w:p>
    <w:p w14:paraId="59F2C06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4"/>
        </w:rPr>
        <w:t>在全量交易中，嫌疑人账户（59个）与受害人账户（1153个）的交易行为存在差异，其中有真实交易记录的嫌疑人仅3个（合计16笔），受害人为31个（合计758笔），具体对比数据如下：</w:t>
      </w:r>
    </w:p>
    <w:p w14:paraId="5044E15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9"/>
        <w:gridCol w:w="2769"/>
      </w:tblGrid>
      <w:tr w14:paraId="57B1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1AFBF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指标</w:t>
            </w:r>
          </w:p>
        </w:tc>
        <w:tc>
          <w:tcPr>
            <w:tcW w:w="2769" w:type="dxa"/>
            <w:vAlign w:val="center"/>
          </w:tcPr>
          <w:p w14:paraId="5B420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嫌疑人账户</w:t>
            </w:r>
          </w:p>
        </w:tc>
        <w:tc>
          <w:tcPr>
            <w:tcW w:w="2769" w:type="dxa"/>
            <w:vAlign w:val="center"/>
          </w:tcPr>
          <w:p w14:paraId="35CE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受害人账户</w:t>
            </w:r>
          </w:p>
        </w:tc>
      </w:tr>
      <w:tr w14:paraId="13CD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5143C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总交易笔数</w:t>
            </w:r>
          </w:p>
        </w:tc>
        <w:tc>
          <w:tcPr>
            <w:tcW w:w="2769" w:type="dxa"/>
            <w:vAlign w:val="center"/>
          </w:tcPr>
          <w:p w14:paraId="2931A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16笔</w:t>
            </w:r>
          </w:p>
        </w:tc>
        <w:tc>
          <w:tcPr>
            <w:tcW w:w="2769" w:type="dxa"/>
            <w:vAlign w:val="center"/>
          </w:tcPr>
          <w:p w14:paraId="70B9C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758笔</w:t>
            </w:r>
          </w:p>
        </w:tc>
      </w:tr>
      <w:tr w14:paraId="0825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5DA8F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单笔平均金额</w:t>
            </w:r>
          </w:p>
        </w:tc>
        <w:tc>
          <w:tcPr>
            <w:tcW w:w="2769" w:type="dxa"/>
            <w:vAlign w:val="center"/>
          </w:tcPr>
          <w:p w14:paraId="5CA8A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2091.39元</w:t>
            </w:r>
          </w:p>
        </w:tc>
        <w:tc>
          <w:tcPr>
            <w:tcW w:w="2769" w:type="dxa"/>
            <w:vAlign w:val="center"/>
          </w:tcPr>
          <w:p w14:paraId="55EE8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37961.97元</w:t>
            </w:r>
          </w:p>
        </w:tc>
      </w:tr>
      <w:tr w14:paraId="3B2B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DF8B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单笔中位数金额</w:t>
            </w:r>
          </w:p>
        </w:tc>
        <w:tc>
          <w:tcPr>
            <w:tcW w:w="2769" w:type="dxa"/>
            <w:vAlign w:val="center"/>
          </w:tcPr>
          <w:p w14:paraId="1F80D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3000.00元</w:t>
            </w:r>
          </w:p>
        </w:tc>
        <w:tc>
          <w:tcPr>
            <w:tcW w:w="2769" w:type="dxa"/>
            <w:vAlign w:val="center"/>
          </w:tcPr>
          <w:p w14:paraId="2ACB8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8500.00元</w:t>
            </w:r>
          </w:p>
        </w:tc>
      </w:tr>
      <w:tr w14:paraId="598F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043DD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平均交易对手数</w:t>
            </w:r>
          </w:p>
        </w:tc>
        <w:tc>
          <w:tcPr>
            <w:tcW w:w="2769" w:type="dxa"/>
            <w:vAlign w:val="center"/>
          </w:tcPr>
          <w:p w14:paraId="6625C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2.00个</w:t>
            </w:r>
          </w:p>
        </w:tc>
        <w:tc>
          <w:tcPr>
            <w:tcW w:w="2769" w:type="dxa"/>
            <w:vAlign w:val="center"/>
          </w:tcPr>
          <w:p w14:paraId="208D5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2.06个</w:t>
            </w:r>
          </w:p>
        </w:tc>
      </w:tr>
      <w:tr w14:paraId="165A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14CB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平均交易天数</w:t>
            </w:r>
          </w:p>
        </w:tc>
        <w:tc>
          <w:tcPr>
            <w:tcW w:w="2769" w:type="dxa"/>
            <w:vAlign w:val="center"/>
          </w:tcPr>
          <w:p w14:paraId="2714A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2.33天</w:t>
            </w:r>
          </w:p>
        </w:tc>
        <w:tc>
          <w:tcPr>
            <w:tcW w:w="2769" w:type="dxa"/>
            <w:vAlign w:val="center"/>
          </w:tcPr>
          <w:p w14:paraId="3532E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9.74天</w:t>
            </w:r>
          </w:p>
        </w:tc>
      </w:tr>
      <w:tr w14:paraId="5A16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3D43A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夜间交易占比均值</w:t>
            </w:r>
          </w:p>
        </w:tc>
        <w:tc>
          <w:tcPr>
            <w:tcW w:w="2769" w:type="dxa"/>
            <w:vAlign w:val="center"/>
          </w:tcPr>
          <w:p w14:paraId="42C57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0.00%</w:t>
            </w:r>
          </w:p>
        </w:tc>
        <w:tc>
          <w:tcPr>
            <w:tcW w:w="2769" w:type="dxa"/>
            <w:vAlign w:val="center"/>
          </w:tcPr>
          <w:p w14:paraId="64E08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4.09%</w:t>
            </w:r>
          </w:p>
        </w:tc>
      </w:tr>
      <w:tr w14:paraId="1BCF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68" w:type="dxa"/>
            <w:vAlign w:val="center"/>
          </w:tcPr>
          <w:p w14:paraId="7C4DA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4"/>
              </w:rPr>
              <w:t>小额交易（&lt;5万）</w:t>
            </w:r>
          </w:p>
        </w:tc>
        <w:tc>
          <w:tcPr>
            <w:tcW w:w="2769" w:type="dxa"/>
            <w:vAlign w:val="center"/>
          </w:tcPr>
          <w:p w14:paraId="59B10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100.00%</w:t>
            </w:r>
          </w:p>
        </w:tc>
        <w:tc>
          <w:tcPr>
            <w:tcW w:w="2769" w:type="dxa"/>
            <w:vAlign w:val="center"/>
          </w:tcPr>
          <w:p w14:paraId="33598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87.37%</w:t>
            </w:r>
          </w:p>
        </w:tc>
      </w:tr>
      <w:tr w14:paraId="0379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8C04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跨区域交易占比</w:t>
            </w:r>
          </w:p>
        </w:tc>
        <w:tc>
          <w:tcPr>
            <w:tcW w:w="2769" w:type="dxa"/>
            <w:vAlign w:val="center"/>
          </w:tcPr>
          <w:p w14:paraId="680D2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62.50%</w:t>
            </w:r>
          </w:p>
        </w:tc>
        <w:tc>
          <w:tcPr>
            <w:tcW w:w="2769" w:type="dxa"/>
            <w:vAlign w:val="center"/>
          </w:tcPr>
          <w:p w14:paraId="4C372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90.77%</w:t>
            </w:r>
          </w:p>
        </w:tc>
      </w:tr>
      <w:tr w14:paraId="7553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0" w:hRule="atLeast"/>
        </w:trPr>
        <w:tc>
          <w:tcPr>
            <w:tcW w:w="2768" w:type="dxa"/>
            <w:vAlign w:val="center"/>
          </w:tcPr>
          <w:p w14:paraId="3DC1E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快进快出交易占比均值</w:t>
            </w:r>
          </w:p>
        </w:tc>
        <w:tc>
          <w:tcPr>
            <w:tcW w:w="2769" w:type="dxa"/>
            <w:vAlign w:val="center"/>
          </w:tcPr>
          <w:p w14:paraId="4C3E3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无入后出样本</w:t>
            </w:r>
          </w:p>
        </w:tc>
        <w:tc>
          <w:tcPr>
            <w:tcW w:w="2769" w:type="dxa"/>
            <w:vAlign w:val="center"/>
          </w:tcPr>
          <w:p w14:paraId="36D54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29.17%</w:t>
            </w:r>
          </w:p>
        </w:tc>
      </w:tr>
      <w:tr w14:paraId="73B6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0" w:hRule="atLeast"/>
        </w:trPr>
        <w:tc>
          <w:tcPr>
            <w:tcW w:w="2768" w:type="dxa"/>
            <w:vAlign w:val="center"/>
          </w:tcPr>
          <w:p w14:paraId="24255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平均资金留存时间</w:t>
            </w:r>
          </w:p>
        </w:tc>
        <w:tc>
          <w:tcPr>
            <w:tcW w:w="2769" w:type="dxa"/>
            <w:vAlign w:val="center"/>
          </w:tcPr>
          <w:p w14:paraId="091FD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—</w:t>
            </w:r>
          </w:p>
        </w:tc>
        <w:tc>
          <w:tcPr>
            <w:tcW w:w="2769" w:type="dxa"/>
            <w:vAlign w:val="center"/>
          </w:tcPr>
          <w:p w14:paraId="49203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227.64小时</w:t>
            </w:r>
          </w:p>
        </w:tc>
      </w:tr>
      <w:tr w14:paraId="3A6B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0" w:hRule="atLeast"/>
        </w:trPr>
        <w:tc>
          <w:tcPr>
            <w:tcW w:w="2768" w:type="dxa"/>
            <w:vAlign w:val="center"/>
          </w:tcPr>
          <w:p w14:paraId="3E0A5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资金留存&lt;24小时样本占比</w:t>
            </w:r>
          </w:p>
        </w:tc>
        <w:tc>
          <w:tcPr>
            <w:tcW w:w="2769" w:type="dxa"/>
            <w:vAlign w:val="center"/>
          </w:tcPr>
          <w:p w14:paraId="76A08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—</w:t>
            </w:r>
          </w:p>
        </w:tc>
        <w:tc>
          <w:tcPr>
            <w:tcW w:w="2769" w:type="dxa"/>
            <w:vAlign w:val="center"/>
          </w:tcPr>
          <w:p w14:paraId="0EA10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  <w:lang w:eastAsia="zh"/>
                <w:woUserID w:val="4"/>
              </w:rPr>
              <w:t>29.17%</w:t>
            </w:r>
          </w:p>
        </w:tc>
      </w:tr>
    </w:tbl>
    <w:p w14:paraId="66B5CF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woUserID w:val="4"/>
        </w:rPr>
      </w:pPr>
    </w:p>
    <w:p w14:paraId="1F9BA58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163A81D8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bidi w:val="0"/>
        <w:ind w:leftChars="0" w:right="0" w:rightChars="0"/>
        <w:rPr>
          <w:rFonts w:hint="eastAsia" w:ascii="Arial" w:hAnsi="Arial" w:eastAsia="黑体" w:cstheme="minorBidi"/>
          <w:kern w:val="2"/>
          <w:lang w:val="en-US" w:eastAsia="zh" w:bidi="ar-SA"/>
          <w:woUserID w:val="6"/>
        </w:rPr>
      </w:pPr>
      <w:r>
        <w:rPr>
          <w:rFonts w:hint="eastAsia" w:cstheme="minorBidi"/>
          <w:kern w:val="2"/>
          <w:lang w:val="en-US" w:eastAsia="zh" w:bidi="ar-SA"/>
          <w:woUserID w:val="6"/>
        </w:rPr>
        <w:t>（二）</w:t>
      </w:r>
      <w:r>
        <w:rPr>
          <w:rFonts w:hint="eastAsia" w:ascii="Arial" w:hAnsi="Arial" w:eastAsia="黑体" w:cstheme="minorBidi"/>
          <w:kern w:val="2"/>
          <w:lang w:val="en-US" w:eastAsia="zh" w:bidi="ar-SA"/>
        </w:rPr>
        <w:t>高风险嫌疑账户评价</w:t>
      </w:r>
      <w:r>
        <w:rPr>
          <w:rFonts w:hint="eastAsia" w:cstheme="minorBidi"/>
          <w:kern w:val="2"/>
          <w:lang w:val="en-US" w:eastAsia="zh" w:bidi="ar-SA"/>
          <w:woUserID w:val="6"/>
        </w:rPr>
        <w:t>体系建立（郭）</w:t>
      </w:r>
    </w:p>
    <w:p w14:paraId="153DEEFB">
      <w:pPr>
        <w:rPr>
          <w:rFonts w:ascii="宋体" w:hAnsi="宋体" w:eastAsia="宋体" w:cs="宋体"/>
          <w:sz w:val="24"/>
          <w:szCs w:val="24"/>
          <w:woUserID w:val="6"/>
        </w:rPr>
      </w:pPr>
      <w:r>
        <w:rPr>
          <w:rFonts w:ascii="宋体" w:hAnsi="宋体" w:eastAsia="宋体" w:cs="宋体"/>
          <w:sz w:val="24"/>
          <w:szCs w:val="24"/>
          <w:woUserID w:val="6"/>
        </w:rPr>
        <w:t>针对黑产资金分散入账、多层跳转、快进快出、金字塔归集、环形转账、跑分集群六类典型流转特征，本文构建直接交易风险-关联网络风险-账户静态特征风险三维加权量化评分体系，实现涉诈嫌疑账户的定量风险度量。该体系是业务侧人工评价体系（郭），与最终机器学习模型图-树-时序融合模型相互独立，仅用于案例解释、人工抽检和业务研判，不作为模型训练目标；综合风险得分计算公式如下：</w:t>
      </w:r>
    </w:p>
    <w:p w14:paraId="6D0306DE">
      <w:pPr>
        <w:ind w:left="0" w:leftChars="0" w:firstLine="0" w:firstLineChars="0"/>
        <w:rPr>
          <w:rFonts w:hint="eastAsia"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lang w:eastAsia="zh"/>
          <w:woUserID w:val="6"/>
        </w:rPr>
      </w:pPr>
      <w:r>
        <w:rPr>
          <w:rFonts w:hint="eastAsia"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lang w:eastAsia="zh"/>
          <w:woUserID w:val="6"/>
        </w:rPr>
        <w:drawing>
          <wp:inline distT="0" distB="0" distL="114300" distR="114300">
            <wp:extent cx="3638550" cy="276225"/>
            <wp:effectExtent l="0" t="0" r="0" b="7620"/>
            <wp:docPr id="1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82B6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式中：</w:t>
      </w:r>
    </w:p>
    <w:p w14:paraId="4898D0AC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S为账户综合风险评分；</w:t>
      </w:r>
    </w:p>
    <w:p w14:paraId="3ADEBE41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D为直接交易维度风险得分（满分 54 分，核心判别维度，依托账户原始交易行为刻画账户自身异常特征）；</w:t>
      </w:r>
    </w:p>
    <w:p w14:paraId="2792B559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N为资金关联网络风险得分（满分 46 分，增强判别维度，基于资金流转图谱拓扑结构挖掘风险传导与团伙关联特征）；</w:t>
      </w:r>
    </w:p>
    <w:p w14:paraId="2EF79542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A为账户静态特征风险得分（满分 8 分，辅助判别维度，基于开户基础属性补充静态风险信息）。</w:t>
      </w:r>
    </w:p>
    <w:p w14:paraId="5C7876E3">
      <w:pP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</w:pP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6"/>
        </w:rPr>
        <w:t>三类评价维度的数据来源、功能定位与满分阈值如表 1 所示。</w:t>
      </w:r>
    </w:p>
    <w:p w14:paraId="768D974F">
      <w:pPr>
        <w:rPr>
          <w:rFonts w:hint="eastAsia"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lang w:eastAsia="zh"/>
          <w:woUserID w:val="6"/>
        </w:rPr>
      </w:pPr>
      <w:r>
        <w:rPr>
          <w:rFonts w:ascii="宋体" w:hAnsi="宋体" w:eastAsia="宋体" w:cs="宋体"/>
          <w:sz w:val="24"/>
          <w:szCs w:val="24"/>
          <w:woUserID w:val="6"/>
        </w:rPr>
        <w:t>表 1 三维风险评价维度基本说明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5102"/>
        <w:gridCol w:w="1686"/>
      </w:tblGrid>
      <w:tr w14:paraId="0C2C3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E8D799A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黑产资金流转模式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860043F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核心对应评价指标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1999728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指标总分覆盖</w:t>
            </w:r>
          </w:p>
        </w:tc>
      </w:tr>
      <w:tr w14:paraId="70834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BBB0EE9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快进快出洗钱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521972E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快进快出指标、交易密度指标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E636CD3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13</w:t>
            </w:r>
          </w:p>
        </w:tc>
      </w:tr>
      <w:tr w14:paraId="60E6C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80253C6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分散入账跑分集群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564ED46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交易频次、交易对手分散度、1 跳关联账户规模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56BC372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30</w:t>
            </w:r>
          </w:p>
        </w:tc>
      </w:tr>
      <w:tr w14:paraId="1ABCE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10C1DE2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多层跳转涉诈链路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480501C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1 跳受害人关联、2 跳受害人关联、2 跳网络覆盖规模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278C700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23</w:t>
            </w:r>
          </w:p>
        </w:tc>
      </w:tr>
      <w:tr w14:paraId="6A92B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40B1229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金字塔资金归集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1A86A17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资金流量规模、平均交易金额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6B359F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15</w:t>
            </w:r>
          </w:p>
        </w:tc>
      </w:tr>
      <w:tr w14:paraId="08857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49E6E8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环形闭环转账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69ACC2F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快进快出指标、1 跳嫌疑人关联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798E464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16</w:t>
            </w:r>
          </w:p>
        </w:tc>
      </w:tr>
      <w:tr w14:paraId="40E4B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46B4263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leftChars="0" w:right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规模化跑分团伙</w:t>
            </w:r>
          </w:p>
        </w:tc>
        <w:tc>
          <w:tcPr>
            <w:tcW w:w="31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1A3230B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交易频次、夜间交易占比、1/2 跳嫌疑人关联指标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D988660">
            <w:pPr>
              <w:keepNext w:val="0"/>
              <w:keepLines w:val="0"/>
              <w:widowControl/>
              <w:suppressLineNumbers w:val="0"/>
              <w:spacing w:before="0" w:beforeAutospacing="0" w:after="120" w:afterAutospacing="0" w:line="360" w:lineRule="auto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sz w:val="24"/>
                <w:szCs w:val="22"/>
                <w:u w:val="none"/>
                <w:woUserID w:val="6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strike w:val="0"/>
                <w:color w:val="auto"/>
                <w:kern w:val="0"/>
                <w:sz w:val="24"/>
                <w:szCs w:val="22"/>
                <w:u w:val="none"/>
                <w:lang w:val="en-US" w:eastAsia="zh-CN" w:bidi="ar"/>
                <w:woUserID w:val="6"/>
              </w:rPr>
              <w:t>31</w:t>
            </w:r>
          </w:p>
        </w:tc>
      </w:tr>
    </w:tbl>
    <w:p w14:paraId="6CB539C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"/>
          <w:woUserID w:val="2"/>
        </w:rPr>
      </w:pPr>
    </w:p>
    <w:p w14:paraId="0476E598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29" w:name="_Toc31215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b/>
          <w:kern w:val="2"/>
          <w:sz w:val="28"/>
          <w:szCs w:val="24"/>
          <w:lang w:val="en-US" w:eastAsia="zh" w:bidi="ar-SA"/>
          <w:woUserID w:val="6"/>
        </w:rPr>
        <w:t>三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）</w:t>
      </w:r>
      <w:r>
        <w:rPr>
          <w:rFonts w:hint="default"/>
          <w:lang w:val="en-US" w:eastAsia="zh-CN"/>
        </w:rPr>
        <w:t>动态时序资金图谱构建</w:t>
      </w:r>
      <w:bookmarkEnd w:id="29"/>
    </w:p>
    <w:p w14:paraId="01C0EB39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0" w:name="_Toc15438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时序窗口防泄露切分规则</w:t>
      </w:r>
      <w:bookmarkEnd w:id="30"/>
    </w:p>
    <w:p w14:paraId="4EBB2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本项目按交易时间窗口切分train/valid/test：train为2025-07-01至10-31，valid为2025-11-01至11-30，test为2025-12-01至12-31；每个split end只使用此前120天滚动历史交易构造图样本，未来交易不进入分片图样本，审计结果未来交易泄露为0。需要说明：原始风险标签表未提供标签确认时间，因此不能严格宣称标签时间晚于交易时间，也不能宣称预测未来新增标签；本项目表述为最终标签监督下的滚动动态特征建模。</w:t>
      </w:r>
    </w:p>
    <w:p w14:paraId="0B8ADA71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1" w:name="_Toc10709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动态有向子图抽样</w:t>
      </w:r>
      <w:bookmarkEnd w:id="31"/>
    </w:p>
    <w:p w14:paraId="03455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按时间分桶生成多帧滚动子图，完整保留资金交易动态演化规律；每个split end只使用此前120天历史交易构建全量账户-交易图，未来交易不进入图样本。</w:t>
      </w:r>
    </w:p>
    <w:p w14:paraId="2F482B91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2" w:name="_Toc30022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节点与边特征融合</w:t>
      </w:r>
      <w:bookmarkEnd w:id="32"/>
    </w:p>
    <w:p w14:paraId="270A3BE9">
      <w:pPr>
        <w:rPr>
          <w:rFonts w:hint="default"/>
          <w:lang w:val="en-US" w:eastAsia="zh-CN"/>
        </w:rPr>
      </w:pPr>
      <w:r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节点融合静态属性、交易统计、图拓扑和滚动动态资金图谱特征（最终全量特征383个）；有向边绑定交易时间分桶、金额分箱、渠道、跨区等属性，区分流入、流出，量化单笔交易可疑程度。</w:t>
      </w:r>
    </w:p>
    <w:p w14:paraId="267C1E00">
      <w:pPr>
        <w:rPr>
          <w:rFonts w:hint="default"/>
          <w:lang w:val="en-US" w:eastAsia="zh-CN"/>
        </w:rPr>
      </w:pPr>
    </w:p>
    <w:p w14:paraId="4F3C4F71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33" w:name="_Toc278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b/>
          <w:kern w:val="2"/>
          <w:sz w:val="28"/>
          <w:szCs w:val="24"/>
          <w:lang w:val="en-US" w:eastAsia="zh" w:bidi="ar-SA"/>
          <w:woUserID w:val="6"/>
        </w:rPr>
        <w:t>四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）</w:t>
      </w:r>
      <w:r>
        <w:rPr>
          <w:rFonts w:hint="default"/>
          <w:lang w:val="en-US" w:eastAsia="zh-CN"/>
        </w:rPr>
        <w:t>涉诈账户识别模型设计</w:t>
      </w:r>
      <w:bookmarkEnd w:id="33"/>
    </w:p>
    <w:p w14:paraId="305DE6CA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4" w:name="_Toc21681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整体模型架构</w:t>
      </w:r>
      <w:bookmarkEnd w:id="34"/>
    </w:p>
    <w:p w14:paraId="73971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图-树-时序融合模型 = 0.75×动态图树融合模型 + 0.20×CatBoost + 0.05×轻量TGN，其中动态图树融合模型 = 0.7×动态图RandomForest + 0.3×动态融合（0.9×动态XGBoost+0.1×轻量图传播）+ 0.0×GraphSAGE。所有候选模型使用120天滚动窗口、时间分桶、金额分箱、时序资金流模体和节点记忆特征；最终权重只按验证集PR-AUC、Top5%召回和AUC自动选择，输出0~1区间账户风险分数。</w:t>
      </w:r>
    </w:p>
    <w:p w14:paraId="3F75B538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5" w:name="_Toc28782"/>
      <w:bookmarkEnd w:id="3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2．标签口径与时间切分限制</w:t>
      </w:r>
    </w:p>
    <w:p w14:paraId="5844B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当前数据不满足半监督正则的实验前提：风险标签覆盖全部11087个账户，但标签表没有标签确认时间，且59个确认嫌疑人中56个在交易边表内没有任何入边或出边。因此项目改为显式记录标签口径：训练使用Strategy A剔除受害人，评估使用全量账户；对无交易边账户不生成伪标签或伪链路，而是输出缺边审计与补数恢复队列。</w:t>
      </w:r>
    </w:p>
    <w:p w14:paraId="088B159A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6" w:name="_Toc9850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三类对照基线</w:t>
      </w:r>
      <w:bookmarkEnd w:id="36"/>
    </w:p>
    <w:p w14:paraId="5EDE0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规则基线（Model0）：由快进快出、多入一出/一入多出、自环/闭环、交易突发、交易对手集中、邻居异常代理信号6类业务规则构成，规则阈值只由train窗口分布生成；</w:t>
      </w:r>
    </w:p>
    <w:p w14:paraId="14431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XGBoost 基线：仅使用单账户时序特征，无图拓扑信息；</w:t>
      </w:r>
    </w:p>
    <w:p w14:paraId="5749D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GraphSAGE静态图基线：使用PyG两层SAGEConv、类别加权BCE，不区分交易时序、资金流向。</w:t>
      </w:r>
    </w:p>
    <w:p w14:paraId="77D6E50B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37" w:name="_Toc16825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b/>
          <w:kern w:val="2"/>
          <w:sz w:val="28"/>
          <w:szCs w:val="24"/>
          <w:lang w:val="en-US" w:eastAsia="zh" w:bidi="ar-SA"/>
          <w:woUserID w:val="6"/>
        </w:rPr>
        <w:t>五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）</w:t>
      </w:r>
      <w:r>
        <w:rPr>
          <w:rFonts w:hint="default"/>
          <w:lang w:val="en-US" w:eastAsia="zh-CN"/>
        </w:rPr>
        <w:t>可疑资金链路与团伙挖掘</w:t>
      </w:r>
      <w:bookmarkEnd w:id="37"/>
    </w:p>
    <w:p w14:paraId="6ACD1C69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8" w:name="_Toc27718"/>
      <w:bookmarkEnd w:id="38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1．关联账户与资金结构挖掘</w:t>
      </w:r>
    </w:p>
    <w:p w14:paraId="252E2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高风险账户输出Top20关联账户，挖掘24小时内root-mid-out、in-root-out等多跳可疑路径，并统计闭环回流、多入一出、一入多出等资金结构；当前数据实际命中闭环回流结构。对无交易边的账户不虚构路径，输出缺边审计并进入补数恢复队列。</w:t>
      </w:r>
    </w:p>
    <w:p w14:paraId="46A4329A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39" w:name="_Toc6773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双向多跳</w:t>
      </w:r>
      <w:r>
        <w:rPr>
          <w:rFonts w:hint="default"/>
          <w:b/>
          <w:lang w:val="en-US" w:eastAsia="zh-CN"/>
        </w:rPr>
        <w:t>路径</w:t>
      </w:r>
      <w:r>
        <w:rPr>
          <w:rFonts w:hint="default"/>
          <w:lang w:val="en-US" w:eastAsia="zh-CN"/>
        </w:rPr>
        <w:t>检索</w:t>
      </w:r>
      <w:bookmarkEnd w:id="39"/>
    </w:p>
    <w:p w14:paraId="1F5B5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以高风险账户为锚点，在24小时时间窗内检索真实可追溯路径并输出Top20关联账户与可疑路径；当前交易边表仅覆盖3个确认嫌疑人，其余56个账户无入边/出边，不硬生成路径。</w:t>
      </w:r>
    </w:p>
    <w:p w14:paraId="3D3F7CC7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0" w:name="_Toc24151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图谱</w:t>
      </w:r>
      <w:r>
        <w:rPr>
          <w:rFonts w:hint="default"/>
          <w:b/>
          <w:lang w:val="en-US" w:eastAsia="zh-CN"/>
        </w:rPr>
        <w:t>可视化</w:t>
      </w:r>
      <w:r>
        <w:rPr>
          <w:rFonts w:hint="default"/>
          <w:lang w:val="en-US" w:eastAsia="zh-CN"/>
        </w:rPr>
        <w:t>规范</w:t>
      </w:r>
      <w:bookmarkEnd w:id="40"/>
    </w:p>
    <w:p w14:paraId="7A9CA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节点分级着色：红色高危、橙色中高、黄色可疑、绿色正常；边粗细映射交易金额分箱，箭头标注资金流向；按账户与路径生成子图，动态图谱页面见outputs/dynamic_graph/index.html。</w:t>
      </w:r>
    </w:p>
    <w:p w14:paraId="4AD2921F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41" w:name="_Toc24464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</w:t>
      </w:r>
      <w:r>
        <w:rPr>
          <w:rFonts w:hint="eastAsia" w:cstheme="minorBidi"/>
          <w:b/>
          <w:kern w:val="2"/>
          <w:sz w:val="28"/>
          <w:szCs w:val="24"/>
          <w:lang w:val="en-US" w:eastAsia="zh" w:bidi="ar-SA"/>
          <w:woUserID w:val="6"/>
        </w:rPr>
        <w:t>六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）</w:t>
      </w:r>
      <w:r>
        <w:rPr>
          <w:rFonts w:hint="default"/>
          <w:lang w:val="en-US" w:eastAsia="zh-CN"/>
        </w:rPr>
        <w:t>标准化反诈研判报告生成</w:t>
      </w:r>
      <w:bookmarkEnd w:id="41"/>
    </w:p>
    <w:p w14:paraId="02F5AD3C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2" w:name="_Toc3256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报告制式模板</w:t>
      </w:r>
      <w:bookmarkEnd w:id="42"/>
    </w:p>
    <w:p w14:paraId="13522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完全对齐银行人工研判表单，涵盖九大模块：基础报送信息、账户主体核查、关联账户扩线、黑名单比对、图谱资金研判、客户核实记录、风险定性、处置移送建议、归档附件。</w:t>
      </w:r>
    </w:p>
    <w:p w14:paraId="31B7B5D5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3" w:name="_Toc27768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多源证据自动提取</w:t>
      </w:r>
      <w:bookmarkEnd w:id="43"/>
    </w:p>
    <w:p w14:paraId="6F3E2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报告强制引用至少两类结构化证据，自动抓取四类素材：</w:t>
      </w:r>
    </w:p>
    <w:p w14:paraId="683059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（1）模型证据：账户风险分数、Top20关联账户、可疑路径或资金结构；</w:t>
      </w:r>
    </w:p>
    <w:p w14:paraId="5889C0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图谱证据：多跳路径、拓扑结构、关键交易边；</w:t>
      </w:r>
    </w:p>
    <w:p w14:paraId="02D389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业务指标：归集比、快进快出指数、夜间交易占比；</w:t>
      </w:r>
    </w:p>
    <w:p w14:paraId="38E2FE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（4）黑名单证据：断卡、公安涉案库命中记录。注：当前赛题数据未提供黑名单表，该项作为业务扩展素材，不作为模型输入或模型证据。</w:t>
      </w:r>
    </w:p>
    <w:p w14:paraId="1E5D24F1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4" w:name="_Toc2726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风险分级与自动处置映射</w:t>
      </w:r>
      <w:bookmarkEnd w:id="44"/>
    </w:p>
    <w:p w14:paraId="7C2F3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高危（≥0.80）：保护性止付、全渠道冻结，同步推送反诈中心；</w:t>
      </w:r>
    </w:p>
    <w:p w14:paraId="4FA69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中高（0.60~0.80）：限制非柜转账，2 小时人工复核；</w:t>
      </w:r>
    </w:p>
    <w:p w14:paraId="40BFC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中风险（0.30~0.60）：列入重点监控名单；</w:t>
      </w:r>
    </w:p>
    <w:p w14:paraId="36FCC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正常（＜0.30）：常规月度监测。</w:t>
      </w:r>
    </w:p>
    <w:p w14:paraId="3EF80F10">
      <w:pPr>
        <w:rPr>
          <w:rFonts w:hint="eastAsia"/>
          <w:lang w:val="en-US" w:eastAsia="zh-CN"/>
        </w:rPr>
      </w:pPr>
      <w:r>
        <w:t>注：上述分数区间为业务侧建议阈值，用于辅助研判分级与处置建议，不改变图-树-时序融合模型输出的风险分数。</w:t>
      </w:r>
    </w:p>
    <w:p w14:paraId="28BCB5EE">
      <w:pPr>
        <w:pStyle w:val="2"/>
        <w:numPr>
          <w:ilvl w:val="0"/>
          <w:numId w:val="0"/>
        </w:numPr>
        <w:bidi w:val="0"/>
        <w:ind w:left="0" w:leftChars="0" w:firstLine="641" w:firstLineChars="200"/>
        <w:rPr>
          <w:rFonts w:hint="default"/>
          <w:lang w:val="en-US" w:eastAsia="zh-CN"/>
        </w:rPr>
      </w:pPr>
      <w:bookmarkStart w:id="45" w:name="_Toc24510"/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四、</w:t>
      </w:r>
      <w:r>
        <w:rPr>
          <w:rFonts w:hint="eastAsia"/>
          <w:lang w:val="en-US" w:eastAsia="zh-CN"/>
        </w:rPr>
        <w:t>实验设计与结果分析</w:t>
      </w:r>
      <w:bookmarkEnd w:id="45"/>
    </w:p>
    <w:p w14:paraId="1DE294A5">
      <w:pPr>
        <w:rPr>
          <w:rFonts w:hint="default"/>
          <w:lang w:val="en-US" w:eastAsia="zh-CN"/>
        </w:rPr>
      </w:pPr>
    </w:p>
    <w:p w14:paraId="10BFD8DA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46" w:name="_Toc7278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（一）</w:t>
      </w:r>
      <w:r>
        <w:rPr>
          <w:rFonts w:hint="default"/>
          <w:lang w:val="en-US" w:eastAsia="zh-CN"/>
        </w:rPr>
        <w:t>实验环境与数据集划分</w:t>
      </w:r>
      <w:bookmarkEnd w:id="46"/>
    </w:p>
    <w:p w14:paraId="5F78F434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7" w:name="_Toc4563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轻量化部署环境</w:t>
      </w:r>
      <w:bookmarkEnd w:id="47"/>
    </w:p>
    <w:p w14:paraId="1E08E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硬件：通用 x86 服务器，16 核 CPU、64G 内存，无需高性能图计算集群；</w:t>
      </w:r>
    </w:p>
    <w:p w14:paraId="1A411FDC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软件：Python+XGBoost+scikit-learn+CatBoost+Pandas+NetworkX；PyTorch Geometric仅用于GraphSAGE消融，开源工具栈，不依赖商用图数据库。</w:t>
      </w:r>
    </w:p>
    <w:p w14:paraId="3EF80F10">
      <w:pPr>
        <w:rPr>
          <w:rFonts w:hint="eastAsia"/>
          <w:lang w:val="en-US" w:eastAsia="zh-CN"/>
        </w:rPr>
      </w:pPr>
      <w:r>
        <w:t>运行与复现：Conda环境见environment.yml（Python 3.12）；原始数据放置与完整复现命令见DEPLOYMENT.md；提交前运行python src/13_final_project_audit.py与python src/14_submission_audit.py，两个审计均输出status=pass、error_count=0。</w:t>
      </w:r>
    </w:p>
    <w:p w14:paraId="685E240F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48" w:name="_Toc11942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时序划分规则</w:t>
      </w:r>
      <w:bookmarkEnd w:id="48"/>
    </w:p>
    <w:p w14:paraId="5009A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按交易时间先后切分：train=2025-07-01至10-31（4个月）、valid=2025-11-01至11-30（1个月）、test=2025-12-01至12-31（1个月）；动态模型使用split end之前120天滚动历史交易，账户不按比例随机切分。</w:t>
      </w:r>
    </w:p>
    <w:p w14:paraId="3F2AA96A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49" w:name="_Toc7439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（二）</w:t>
      </w:r>
      <w:r>
        <w:rPr>
          <w:rFonts w:hint="default"/>
          <w:lang w:val="en-US" w:eastAsia="zh-CN"/>
        </w:rPr>
        <w:t>基线与评价指标体系</w:t>
      </w:r>
      <w:bookmarkEnd w:id="49"/>
    </w:p>
    <w:p w14:paraId="023EA8C4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实验对比规则基线、LogisticRegression、RandomForest、XGBoost、CatBoost、GraphSAGE、轻量TGN与验证集选择融合模型，采用AUC、PR-AUC、Top5%覆盖率、关联账户命中率、人工抽检证据通过率等指标综合评估。</w:t>
      </w:r>
    </w:p>
    <w:p w14:paraId="0F1E4B11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  <w:woUserID w:val="6"/>
        </w:rPr>
      </w:pPr>
      <w:bookmarkStart w:id="100" w:name="_Toc_top5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  <w:woUserID w:val="6"/>
        </w:rPr>
        <w:t>（三）高风险嫌疑账户TOP5交易特征记录（业务侧评价体系，郭）</w:t>
      </w:r>
      <w:bookmarkEnd w:id="100"/>
    </w:p>
    <w:p w14:paraId="078AF6D9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"/>
          <w:woUserID w:val="6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6"/>
        </w:rPr>
        <w:t>根据业务侧三维评分体系对高风险嫌疑账户TOP5交易特征进行记录如下表所示；该表为人工评价体系输出，不是最终模型输出，其中5260、7951当前无交易边，评分仅来自静态画像。</w:t>
      </w:r>
    </w:p>
    <w:p w14:paraId="13FF0B0E">
      <w:pPr>
        <w:keepNext/>
        <w:keepLines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center"/>
        <w:textAlignment w:val="auto"/>
        <w:rPr>
          <w:rFonts w:hint="eastAsia"/>
          <w:lang w:val="en-US" w:eastAsia="zh-CN"/>
        </w:rPr>
      </w:pPr>
      <w:bookmarkStart w:id="0" w:name="_Toc7072"/>
      <w:bookmarkEnd w:id="0"/>
      <w:r>
        <w:t>表2 高风险嫌疑账户TOP5交易特征记录（业务侧评价体系）</w:t>
      </w:r>
    </w:p>
    <w:tbl>
      <w:tblPr>
        <w:tblStyle w:val="15"/>
        <w:tblpPr w:leftFromText="180" w:rightFromText="180" w:vertAnchor="text" w:tblpX="-209" w:tblpY="474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"/>
        <w:gridCol w:w="505"/>
        <w:gridCol w:w="462"/>
        <w:gridCol w:w="462"/>
        <w:gridCol w:w="527"/>
        <w:gridCol w:w="545"/>
        <w:gridCol w:w="577"/>
        <w:gridCol w:w="577"/>
        <w:gridCol w:w="535"/>
        <w:gridCol w:w="535"/>
        <w:gridCol w:w="618"/>
        <w:gridCol w:w="618"/>
        <w:gridCol w:w="545"/>
        <w:gridCol w:w="545"/>
        <w:gridCol w:w="546"/>
        <w:gridCol w:w="546"/>
      </w:tblGrid>
      <w:tr w14:paraId="7657C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DC34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排名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D8B0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账户脱敏id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B31F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客户类型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D0F5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地区编码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5229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开户时长(月)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752D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直接交易笔数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788F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1跳关联账户数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C3F8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2跳关联账户数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C301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1跳受害人数量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23C9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2跳受害人数量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92E0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1跳嫌疑人关联数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5F32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2跳嫌疑人关联数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E66A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直接交易评分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4F95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关联网络评分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FAC8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账户特征评分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65D3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综合风险评分</w:t>
            </w:r>
          </w:p>
        </w:tc>
      </w:tr>
      <w:tr w14:paraId="402F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BAF9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FCE2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4379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43FB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对私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D51E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277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EA57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6.32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460D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4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8388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D33A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27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7AA1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AFDA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E061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A56E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DF9E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F802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1942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77D5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14</w:t>
            </w:r>
          </w:p>
        </w:tc>
      </w:tr>
      <w:tr w14:paraId="502A2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6548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B81C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7265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EB12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对私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D566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900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CDFC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7.03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8427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6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542D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A522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CAB3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48CA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1D50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16E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4FB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82ED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A919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40D9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9</w:t>
            </w:r>
          </w:p>
        </w:tc>
      </w:tr>
      <w:tr w14:paraId="4560F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882C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2460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1740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4AE3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对私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FFC3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177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42B1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175.68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BE62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6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EA5D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2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78FC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7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02F9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4CEF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1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0137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BEE1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BB24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907E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3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8723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9DD4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6</w:t>
            </w:r>
          </w:p>
        </w:tc>
      </w:tr>
      <w:tr w14:paraId="209B9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462D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4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4D6F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5260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E73C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对私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734C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434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224E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5.16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DF7B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45EE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EAC4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56CD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1811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F005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715EA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074D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4358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9575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F9B0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</w:t>
            </w:r>
          </w:p>
        </w:tc>
      </w:tr>
      <w:tr w14:paraId="6A109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050D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</w:t>
            </w:r>
          </w:p>
        </w:tc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259F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7951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7243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对私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424B4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745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3431A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5.13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8376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5D5C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0AEF1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B007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1850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6395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21C18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663C3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BCAD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0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53849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</w:t>
            </w:r>
          </w:p>
        </w:tc>
        <w:tc>
          <w:tcPr>
            <w:tcW w:w="3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noWrap/>
            <w:vAlign w:val="center"/>
          </w:tcPr>
          <w:p w14:paraId="171D1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woUserID w:val="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  <w:woUserID w:val="6"/>
              </w:rPr>
              <w:t>5</w:t>
            </w:r>
          </w:p>
        </w:tc>
      </w:tr>
    </w:tbl>
    <w:p w14:paraId="62F15365">
      <w:pPr>
        <w:ind w:left="0" w:leftChars="0" w:firstLine="0" w:firstLineChars="0"/>
        <w:rPr>
          <w:rFonts w:hint="default"/>
          <w:lang w:val="en-US" w:eastAsia="zh-CN"/>
        </w:rPr>
      </w:pPr>
    </w:p>
    <w:p w14:paraId="3402B283">
      <w:pPr>
        <w:rPr>
          <w:rFonts w:hint="default"/>
          <w:highlight w:val="yellow"/>
          <w:lang w:val="en-US" w:eastAsia="zh-CN"/>
        </w:rPr>
      </w:pPr>
    </w:p>
    <w:p w14:paraId="10B45964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50" w:name="_Toc28967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（四）</w:t>
      </w:r>
      <w:r>
        <w:rPr>
          <w:rFonts w:hint="default"/>
          <w:lang w:val="en-US" w:eastAsia="zh-CN"/>
        </w:rPr>
        <w:t>模型量化结果对比</w:t>
      </w:r>
      <w:bookmarkEnd w:id="50"/>
    </w:p>
    <w:p w14:paraId="13FF0B0E">
      <w:pPr>
        <w:keepNext/>
        <w:keepLines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center"/>
        <w:textAlignment w:val="auto"/>
        <w:rPr>
          <w:rFonts w:hint="eastAsia"/>
          <w:lang w:val="en-US" w:eastAsia="zh-CN"/>
        </w:rPr>
      </w:pPr>
      <w:bookmarkStart w:id="0" w:name="_Toc7072"/>
      <w:bookmarkEnd w:id="0"/>
      <w:r>
        <w:t>表3 模型量化结果对比（全量11087账户测试口径）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1106"/>
        <w:gridCol w:w="1386"/>
        <w:gridCol w:w="3176"/>
      </w:tblGrid>
      <w:tr w14:paraId="1B812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67F8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模型方案</w:t>
            </w:r>
          </w:p>
        </w:tc>
        <w:tc>
          <w:tcPr>
            <w:tcW w:w="6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C2F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AUC</w:t>
            </w:r>
          </w:p>
        </w:tc>
        <w:tc>
          <w:tcPr>
            <w:tcW w:w="7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388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PR-AUC</w:t>
            </w:r>
          </w:p>
        </w:tc>
        <w:tc>
          <w:tcPr>
            <w:tcW w:w="19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0DB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Top5% 高危账户涉诈覆盖率</w:t>
            </w:r>
          </w:p>
        </w:tc>
      </w:tr>
      <w:tr>
        <w:tc>
          <w:tcPr>
            <w:tcW w:type="dxa" w:w="2795"/>
          </w:tcPr>
          <w:p>
            <w:r>
              <w:t>规则基线（Model0）</w:t>
            </w:r>
          </w:p>
        </w:tc>
        <w:tc>
          <w:tcPr>
            <w:tcW w:type="dxa" w:w="1106"/>
          </w:tcPr>
          <w:p>
            <w:r>
              <w:t>0.2083</w:t>
            </w:r>
          </w:p>
        </w:tc>
        <w:tc>
          <w:tcPr>
            <w:tcW w:type="dxa" w:w="1386"/>
          </w:tcPr>
          <w:p>
            <w:r>
              <w:t>0.0035</w:t>
            </w:r>
          </w:p>
        </w:tc>
        <w:tc>
          <w:tcPr>
            <w:tcW w:type="dxa" w:w="3176"/>
          </w:tcPr>
          <w:p>
            <w:r>
              <w:t>0/59</w:t>
            </w:r>
          </w:p>
        </w:tc>
      </w:tr>
      <w:tr>
        <w:tc>
          <w:tcPr>
            <w:tcW w:type="dxa" w:w="2795"/>
          </w:tcPr>
          <w:p>
            <w:r>
              <w:t>XGBoost（统计特征）</w:t>
            </w:r>
          </w:p>
        </w:tc>
        <w:tc>
          <w:tcPr>
            <w:tcW w:type="dxa" w:w="1106"/>
          </w:tcPr>
          <w:p>
            <w:r>
              <w:t>0.9833</w:t>
            </w:r>
          </w:p>
        </w:tc>
        <w:tc>
          <w:tcPr>
            <w:tcW w:type="dxa" w:w="1386"/>
          </w:tcPr>
          <w:p>
            <w:r>
              <w:t>0.2756</w:t>
            </w:r>
          </w:p>
        </w:tc>
        <w:tc>
          <w:tcPr>
            <w:tcW w:type="dxa" w:w="3176"/>
          </w:tcPr>
          <w:p>
            <w:r>
              <w:t>58/59</w:t>
            </w:r>
          </w:p>
        </w:tc>
      </w:tr>
      <w:tr>
        <w:tc>
          <w:tcPr>
            <w:tcW w:type="dxa" w:w="2795"/>
          </w:tcPr>
          <w:p>
            <w:r>
              <w:t>XGBoost（统计+图特征）</w:t>
            </w:r>
          </w:p>
        </w:tc>
        <w:tc>
          <w:tcPr>
            <w:tcW w:type="dxa" w:w="1106"/>
          </w:tcPr>
          <w:p>
            <w:r>
              <w:t>0.9855</w:t>
            </w:r>
          </w:p>
        </w:tc>
        <w:tc>
          <w:tcPr>
            <w:tcW w:type="dxa" w:w="1386"/>
          </w:tcPr>
          <w:p>
            <w:r>
              <w:t>0.2905</w:t>
            </w:r>
          </w:p>
        </w:tc>
        <w:tc>
          <w:tcPr>
            <w:tcW w:type="dxa" w:w="3176"/>
          </w:tcPr>
          <w:p>
            <w:r>
              <w:t>57/59</w:t>
            </w:r>
          </w:p>
        </w:tc>
      </w:tr>
      <w:tr>
        <w:tc>
          <w:tcPr>
            <w:tcW w:type="dxa" w:w="2795"/>
          </w:tcPr>
          <w:p>
            <w:r>
              <w:t>传统RandomForest（统计特征）</w:t>
            </w:r>
          </w:p>
        </w:tc>
        <w:tc>
          <w:tcPr>
            <w:tcW w:type="dxa" w:w="1106"/>
          </w:tcPr>
          <w:p>
            <w:r>
              <w:t>0.9860</w:t>
            </w:r>
          </w:p>
        </w:tc>
        <w:tc>
          <w:tcPr>
            <w:tcW w:type="dxa" w:w="1386"/>
          </w:tcPr>
          <w:p>
            <w:r>
              <w:t>0.5136</w:t>
            </w:r>
          </w:p>
        </w:tc>
        <w:tc>
          <w:tcPr>
            <w:tcW w:type="dxa" w:w="3176"/>
          </w:tcPr>
          <w:p>
            <w:r>
              <w:t>58/59</w:t>
            </w:r>
          </w:p>
        </w:tc>
      </w:tr>
      <w:tr>
        <w:tc>
          <w:tcPr>
            <w:tcW w:type="dxa" w:w="2795"/>
          </w:tcPr>
          <w:p>
            <w:r>
              <w:t>动态图RandomForest</w:t>
            </w:r>
          </w:p>
        </w:tc>
        <w:tc>
          <w:tcPr>
            <w:tcW w:type="dxa" w:w="1106"/>
          </w:tcPr>
          <w:p>
            <w:r>
              <w:t>0.9823</w:t>
            </w:r>
          </w:p>
        </w:tc>
        <w:tc>
          <w:tcPr>
            <w:tcW w:type="dxa" w:w="1386"/>
          </w:tcPr>
          <w:p>
            <w:r>
              <w:t>0.5481</w:t>
            </w:r>
          </w:p>
        </w:tc>
        <w:tc>
          <w:tcPr>
            <w:tcW w:type="dxa" w:w="3176"/>
          </w:tcPr>
          <w:p>
            <w:r>
              <w:t>57/59</w:t>
            </w:r>
          </w:p>
        </w:tc>
      </w:tr>
      <w:tr>
        <w:tc>
          <w:tcPr>
            <w:tcW w:type="dxa" w:w="2795"/>
          </w:tcPr>
          <w:p>
            <w:r>
              <w:t>CatBoost动态资金图谱</w:t>
            </w:r>
          </w:p>
        </w:tc>
        <w:tc>
          <w:tcPr>
            <w:tcW w:type="dxa" w:w="1106"/>
          </w:tcPr>
          <w:p>
            <w:r>
              <w:t>0.9711</w:t>
            </w:r>
          </w:p>
        </w:tc>
        <w:tc>
          <w:tcPr>
            <w:tcW w:type="dxa" w:w="1386"/>
          </w:tcPr>
          <w:p>
            <w:r>
              <w:t>0.3718</w:t>
            </w:r>
          </w:p>
        </w:tc>
        <w:tc>
          <w:tcPr>
            <w:tcW w:type="dxa" w:w="3176"/>
          </w:tcPr>
          <w:p>
            <w:r>
              <w:t>50/59</w:t>
            </w:r>
          </w:p>
        </w:tc>
      </w:tr>
      <w:tr>
        <w:tc>
          <w:tcPr>
            <w:tcW w:type="dxa" w:w="2795"/>
          </w:tcPr>
          <w:p>
            <w:r>
              <w:t>GraphSAGE（PyG消融）</w:t>
            </w:r>
          </w:p>
        </w:tc>
        <w:tc>
          <w:tcPr>
            <w:tcW w:type="dxa" w:w="1106"/>
          </w:tcPr>
          <w:p>
            <w:r>
              <w:t>0.8854</w:t>
            </w:r>
          </w:p>
        </w:tc>
        <w:tc>
          <w:tcPr>
            <w:tcW w:type="dxa" w:w="1386"/>
          </w:tcPr>
          <w:p>
            <w:r>
              <w:t>0.0727</w:t>
            </w:r>
          </w:p>
        </w:tc>
        <w:tc>
          <w:tcPr>
            <w:tcW w:type="dxa" w:w="3176"/>
          </w:tcPr>
          <w:p>
            <w:r>
              <w:t>20/59</w:t>
            </w:r>
          </w:p>
        </w:tc>
      </w:tr>
      <w:tr>
        <w:tc>
          <w:tcPr>
            <w:tcW w:type="dxa" w:w="2795"/>
          </w:tcPr>
          <w:p>
            <w:r>
              <w:t>轻量TGN</w:t>
            </w:r>
          </w:p>
        </w:tc>
        <w:tc>
          <w:tcPr>
            <w:tcW w:type="dxa" w:w="1106"/>
          </w:tcPr>
          <w:p>
            <w:r>
              <w:t>0.8155</w:t>
            </w:r>
          </w:p>
        </w:tc>
        <w:tc>
          <w:tcPr>
            <w:tcW w:type="dxa" w:w="1386"/>
          </w:tcPr>
          <w:p>
            <w:r>
              <w:t>0.0148</w:t>
            </w:r>
          </w:p>
        </w:tc>
        <w:tc>
          <w:tcPr>
            <w:tcW w:type="dxa" w:w="3176"/>
          </w:tcPr>
          <w:p>
            <w:r>
              <w:t>9/59</w:t>
            </w:r>
          </w:p>
        </w:tc>
      </w:tr>
      <w:tr>
        <w:tc>
          <w:tcPr>
            <w:tcW w:type="dxa" w:w="2795"/>
          </w:tcPr>
          <w:p>
            <w:r>
              <w:t>动态图树融合模型（Dynamic Graph Tree Ensemble）</w:t>
            </w:r>
          </w:p>
        </w:tc>
        <w:tc>
          <w:tcPr>
            <w:tcW w:type="dxa" w:w="1106"/>
          </w:tcPr>
          <w:p>
            <w:r>
              <w:t>0.9866</w:t>
            </w:r>
          </w:p>
        </w:tc>
        <w:tc>
          <w:tcPr>
            <w:tcW w:type="dxa" w:w="1386"/>
          </w:tcPr>
          <w:p>
            <w:r>
              <w:t>0.6938</w:t>
            </w:r>
          </w:p>
        </w:tc>
        <w:tc>
          <w:tcPr>
            <w:tcW w:type="dxa" w:w="3176"/>
          </w:tcPr>
          <w:p>
            <w:r>
              <w:t>57/59</w:t>
            </w:r>
          </w:p>
        </w:tc>
      </w:tr>
      <w:tr>
        <w:tc>
          <w:tcPr>
            <w:tcW w:type="dxa" w:w="2795"/>
          </w:tcPr>
          <w:p>
            <w:r>
              <w:t>图-树-时序融合模型（Graph-Tree-Temporal Champion Fusion，本文）</w:t>
            </w:r>
          </w:p>
        </w:tc>
        <w:tc>
          <w:tcPr>
            <w:tcW w:type="dxa" w:w="1106"/>
          </w:tcPr>
          <w:p>
            <w:r>
              <w:t>0.9858</w:t>
            </w:r>
          </w:p>
        </w:tc>
        <w:tc>
          <w:tcPr>
            <w:tcW w:type="dxa" w:w="1386"/>
          </w:tcPr>
          <w:p>
            <w:r>
              <w:t>0.8049</w:t>
            </w:r>
          </w:p>
        </w:tc>
        <w:tc>
          <w:tcPr>
            <w:tcW w:type="dxa" w:w="3176"/>
          </w:tcPr>
          <w:p>
            <w:r>
              <w:t>56/59</w:t>
            </w:r>
          </w:p>
        </w:tc>
      </w:tr>
    </w:tbl>
    <w:p w14:paraId="3EF80F10">
      <w:pPr>
        <w:rPr>
          <w:rFonts w:hint="eastAsia"/>
          <w:lang w:val="en-US" w:eastAsia="zh-CN"/>
        </w:rPr>
      </w:pPr>
      <w:r>
        <w:t>表4 赛题任务指标达成对照表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1106"/>
        <w:gridCol w:w="1386"/>
        <w:gridCol w:w="3176"/>
      </w:tblGrid>
      <w:tr w14:paraId="1B812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67F8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赛题任务</w:t>
            </w:r>
          </w:p>
        </w:tc>
        <w:tc>
          <w:tcPr>
            <w:tcW w:w="6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C2F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赛题要求</w:t>
            </w:r>
          </w:p>
        </w:tc>
        <w:tc>
          <w:tcPr>
            <w:tcW w:w="7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388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项目实际结果</w:t>
            </w:r>
          </w:p>
        </w:tc>
        <w:tc>
          <w:tcPr>
            <w:tcW w:w="19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0DB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证据/交付物</w:t>
            </w:r>
          </w:p>
        </w:tc>
      </w:tr>
      <w:tr>
        <w:tc>
          <w:tcPr>
            <w:tcW w:type="dxa" w:w="2795"/>
          </w:tcPr>
          <w:p>
            <w:r>
              <w:t>任务1 图谱样本构建</w:t>
            </w:r>
          </w:p>
        </w:tc>
        <w:tc>
          <w:tcPr>
            <w:tcW w:type="dxa" w:w="1106"/>
          </w:tcPr>
          <w:p>
            <w:r>
              <w:t>完成节点/边/标签表与时间窗口图样本；按时间切分，未来交易和未来标签泄露率为0；字段处理可复现</w:t>
            </w:r>
          </w:p>
        </w:tc>
        <w:tc>
          <w:tcPr>
            <w:tcW w:type="dxa" w:w="1386"/>
          </w:tcPr>
          <w:p>
            <w:r>
              <w:t>账户11087、交易904395、标签11087；train/valid/test按交易时间切分；动态图使用split end前120天滚动历史，未来交易泄露审计=0；标签表无确认时间，不宣称未来标签验证</w:t>
            </w:r>
          </w:p>
        </w:tc>
        <w:tc>
          <w:tcPr>
            <w:tcW w:type="dxa" w:w="3176"/>
          </w:tcPr>
          <w:p>
            <w:r>
              <w:t>outputs/deliverables/task1_dynamic_graph_window_definition.json、task1_time_split_leakage_audit.json</w:t>
            </w:r>
          </w:p>
        </w:tc>
      </w:tr>
      <w:tr>
        <w:tc>
          <w:tcPr>
            <w:tcW w:type="dxa" w:w="2795"/>
          </w:tcPr>
          <w:p>
            <w:r>
              <w:t>任务2 风险识别</w:t>
            </w:r>
          </w:p>
        </w:tc>
        <w:tc>
          <w:tcPr>
            <w:tcW w:type="dxa" w:w="1106"/>
          </w:tcPr>
          <w:p>
            <w:r>
              <w:t>测试AUC≥0.85，或较基线提升≥5pp；PR-AUC较基线提升≥20%；Top5%覆盖≥50%</w:t>
            </w:r>
          </w:p>
        </w:tc>
        <w:tc>
          <w:tcPr>
            <w:tcW w:type="dxa" w:w="1386"/>
          </w:tcPr>
          <w:p>
            <w:r>
              <w:t>Test AUC=0.9858；PR-AUC=0.8049，较最强传统RandomForest（0.5136）提升56.71%；Top5%覆盖56/59=94.92%</w:t>
            </w:r>
          </w:p>
        </w:tc>
        <w:tc>
          <w:tcPr>
            <w:tcW w:type="dxa" w:w="3176"/>
          </w:tcPr>
          <w:p>
            <w:r>
              <w:t>正文表3；outputs/deliverables/task2_requirement_audit.json、task2_model_metrics_summary.csv</w:t>
            </w:r>
          </w:p>
        </w:tc>
      </w:tr>
      <w:tr>
        <w:tc>
          <w:tcPr>
            <w:tcW w:type="dxa" w:w="2795"/>
          </w:tcPr>
          <w:p>
            <w:r>
              <w:t>任务3 链路解释</w:t>
            </w:r>
          </w:p>
        </w:tc>
        <w:tc>
          <w:tcPr>
            <w:tcW w:type="dxa" w:w="1106"/>
          </w:tcPr>
          <w:p>
            <w:r>
              <w:t>输出Top20关联账户与多跳路径；确认风险关联命中率≥50%或人工抽检通过率≥70%</w:t>
            </w:r>
          </w:p>
        </w:tc>
        <w:tc>
          <w:tcPr>
            <w:tcW w:type="dxa" w:w="1386"/>
          </w:tcPr>
          <w:p>
            <w:r>
              <w:t>关联账户72行、可疑路径154行、资金结构4行；确认风险关联命中率0.00%（56个确认嫌疑人无交易边）；人工抽检5/5、通过率100%</w:t>
            </w:r>
          </w:p>
        </w:tc>
        <w:tc>
          <w:tcPr>
            <w:tcW w:type="dxa" w:w="3176"/>
          </w:tcPr>
          <w:p>
            <w:r>
              <w:t>task3_top20_associations.csv、task3_suspicious_paths.csv、task3_fund_flow_structures.csv、task3_manual_review_form.xlsx</w:t>
            </w:r>
          </w:p>
        </w:tc>
      </w:tr>
      <w:tr>
        <w:tc>
          <w:tcPr>
            <w:tcW w:type="dxa" w:w="2795"/>
          </w:tcPr>
          <w:p>
            <w:r>
              <w:t>任务4 研判报告</w:t>
            </w:r>
          </w:p>
        </w:tc>
        <w:tc>
          <w:tcPr>
            <w:tcW w:type="dxa" w:w="1106"/>
          </w:tcPr>
          <w:p>
            <w:r>
              <w:t>引用至少两类证据；结论与证据一致；不少于5个典型案例</w:t>
            </w:r>
          </w:p>
        </w:tc>
        <w:tc>
          <w:tcPr>
            <w:tcW w:type="dxa" w:w="1386"/>
          </w:tcPr>
          <w:p>
            <w:r>
              <w:t>5个报告样例均引用模型分+账户特征/链路证据，一致性审计通过；另有5个外部业务案例用于业务语义说明</w:t>
            </w:r>
          </w:p>
        </w:tc>
        <w:tc>
          <w:tcPr>
            <w:tcW w:type="dxa" w:w="3176"/>
          </w:tcPr>
          <w:p>
            <w:r>
              <w:t>docs/task4_judgement_report_samples.md、outputs/deliverables/task4_consistency_audit.csv</w:t>
            </w:r>
          </w:p>
        </w:tc>
      </w:tr>
    </w:tbl>
    <w:p w14:paraId="46366F1E">
      <w:pPr>
        <w:rPr>
          <w:rFonts w:hint="default"/>
          <w:lang w:val="en-US" w:eastAsia="zh-CN"/>
        </w:rPr>
      </w:pPr>
    </w:p>
    <w:p w14:paraId="51B99318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51" w:name="_Toc12249"/>
      <w:bookmarkEnd w:id="51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（五）典型涉诈图谱案例实证分析（业务知识案例）</w:t>
      </w:r>
    </w:p>
    <w:p w14:paraId="3EF80F10">
      <w:pPr>
        <w:rPr>
          <w:rFonts w:hint="eastAsia"/>
          <w:lang w:val="en-US" w:eastAsia="zh-CN"/>
        </w:rPr>
      </w:pPr>
      <w:r>
        <w:t>说明：以下5个案例来自公安通报、检察院通报、银行公开培训与媒体素材，用于解释黑产资金拓扑的业务语义，属于业务知识案例，不是本项目模型在测试集上的输出。本项目测试集59个确认嫌疑人中，只有4379、1740、7265在交易边表内有真实历史交易边，对应真实链路证据见outputs/deliverables/task3_*与docs/task3_typical_cases.md；其余56个无交易边账户输出缺边审计，不生成虚构资金链路。</w:t>
      </w:r>
    </w:p>
    <w:p w14:paraId="3EF80F10">
      <w:pPr>
        <w:rPr>
          <w:rFonts w:hint="eastAsia"/>
          <w:lang w:val="en-US" w:eastAsia="zh-CN"/>
        </w:rPr>
      </w:pPr>
      <w:r>
        <w:t>表5 双层研判覆盖口径与证据交付统计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5"/>
        <w:gridCol w:w="1106"/>
        <w:gridCol w:w="1386"/>
        <w:gridCol w:w="3176"/>
      </w:tblGrid>
      <w:tr w14:paraId="1B812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67F8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覆盖口径</w:t>
            </w:r>
          </w:p>
        </w:tc>
        <w:tc>
          <w:tcPr>
            <w:tcW w:w="6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C2F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数量</w:t>
            </w:r>
          </w:p>
        </w:tc>
        <w:tc>
          <w:tcPr>
            <w:tcW w:w="7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D3883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研判方式</w:t>
            </w:r>
          </w:p>
        </w:tc>
        <w:tc>
          <w:tcPr>
            <w:tcW w:w="19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F0DB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证据/交付物</w:t>
            </w:r>
          </w:p>
        </w:tc>
      </w:tr>
      <w:tr>
        <w:tc>
          <w:tcPr>
            <w:tcW w:type="dxa" w:w="2795"/>
          </w:tcPr>
          <w:p>
            <w:r>
              <w:t>确认嫌疑人·有真实交易边</w:t>
            </w:r>
          </w:p>
        </w:tc>
        <w:tc>
          <w:tcPr>
            <w:tcW w:type="dxa" w:w="1106"/>
          </w:tcPr>
          <w:p>
            <w:r>
              <w:t>3个（4379、1740、7265）</w:t>
            </w:r>
          </w:p>
        </w:tc>
        <w:tc>
          <w:tcPr>
            <w:tcW w:type="dxa" w:w="1386"/>
          </w:tcPr>
          <w:p>
            <w:r>
              <w:t>模型分+Top20关联账户+多跳路径/资金结构；解释等级A/B</w:t>
            </w:r>
          </w:p>
        </w:tc>
        <w:tc>
          <w:tcPr>
            <w:tcW w:type="dxa" w:w="3176"/>
          </w:tcPr>
          <w:p>
            <w:r>
              <w:t>task3_top20_associations.csv、task3_suspicious_paths.csv</w:t>
            </w:r>
          </w:p>
        </w:tc>
      </w:tr>
      <w:tr>
        <w:tc>
          <w:tcPr>
            <w:tcW w:type="dxa" w:w="2795"/>
          </w:tcPr>
          <w:p>
            <w:r>
              <w:t>确认嫌疑人·无交易边</w:t>
            </w:r>
          </w:p>
        </w:tc>
        <w:tc>
          <w:tcPr>
            <w:tcW w:type="dxa" w:w="1106"/>
          </w:tcPr>
          <w:p>
            <w:r>
              <w:t>56个</w:t>
            </w:r>
          </w:p>
        </w:tc>
        <w:tc>
          <w:tcPr>
            <w:tcW w:type="dxa" w:w="1386"/>
          </w:tcPr>
          <w:p>
            <w:r>
              <w:t>模型分+账户画像+缺边审计+补数恢复队列；解释等级D</w:t>
            </w:r>
          </w:p>
        </w:tc>
        <w:tc>
          <w:tcPr>
            <w:tcW w:type="dxa" w:w="3176"/>
          </w:tcPr>
          <w:p>
            <w:r>
              <w:t>task3_link_recovery_queue.csv</w:t>
            </w:r>
          </w:p>
        </w:tc>
      </w:tr>
      <w:tr>
        <w:tc>
          <w:tcPr>
            <w:tcW w:type="dxa" w:w="2795"/>
          </w:tcPr>
          <w:p>
            <w:r>
              <w:t>Top30高风险巡检队列</w:t>
            </w:r>
          </w:p>
        </w:tc>
        <w:tc>
          <w:tcPr>
            <w:tcW w:type="dxa" w:w="1106"/>
          </w:tcPr>
          <w:p>
            <w:r>
              <w:t>30个</w:t>
            </w:r>
          </w:p>
        </w:tc>
        <w:tc>
          <w:tcPr>
            <w:tcW w:type="dxa" w:w="1386"/>
          </w:tcPr>
          <w:p>
            <w:r>
              <w:t>16个A级链路证据型、14个B级直接关联型</w:t>
            </w:r>
          </w:p>
        </w:tc>
        <w:tc>
          <w:tcPr>
            <w:tcW w:type="dxa" w:w="3176"/>
          </w:tcPr>
          <w:p>
            <w:r>
              <w:t>docs/layered_judgement_report_samples.md</w:t>
            </w:r>
          </w:p>
        </w:tc>
      </w:tr>
      <w:tr>
        <w:tc>
          <w:tcPr>
            <w:tcW w:type="dxa" w:w="2795"/>
          </w:tcPr>
          <w:p>
            <w:r>
              <w:t>关联/路径/资金结构</w:t>
            </w:r>
          </w:p>
        </w:tc>
        <w:tc>
          <w:tcPr>
            <w:tcW w:type="dxa" w:w="1106"/>
          </w:tcPr>
          <w:p>
            <w:r>
              <w:t>72行/154行/4行</w:t>
            </w:r>
          </w:p>
        </w:tc>
        <w:tc>
          <w:tcPr>
            <w:tcW w:type="dxa" w:w="1386"/>
          </w:tcPr>
          <w:p>
            <w:r>
              <w:t>全部节点ID可追溯，不生成虚构路径</w:t>
            </w:r>
          </w:p>
        </w:tc>
        <w:tc>
          <w:tcPr>
            <w:tcW w:type="dxa" w:w="3176"/>
          </w:tcPr>
          <w:p>
            <w:r>
              <w:t>对应task3交付CSV</w:t>
            </w:r>
          </w:p>
        </w:tc>
      </w:tr>
      <w:tr>
        <w:tc>
          <w:tcPr>
            <w:tcW w:type="dxa" w:w="2795"/>
          </w:tcPr>
          <w:p>
            <w:r>
              <w:t>人工抽检</w:t>
            </w:r>
          </w:p>
        </w:tc>
        <w:tc>
          <w:tcPr>
            <w:tcW w:type="dxa" w:w="1106"/>
          </w:tcPr>
          <w:p>
            <w:r>
              <w:t>5/5通过（100%）</w:t>
            </w:r>
          </w:p>
        </w:tc>
        <w:tc>
          <w:tcPr>
            <w:tcW w:type="dxa" w:w="1386"/>
          </w:tcPr>
          <w:p>
            <w:r>
              <w:t>人工复核模型证据与链路可支撑性</w:t>
            </w:r>
          </w:p>
        </w:tc>
        <w:tc>
          <w:tcPr>
            <w:tcW w:type="dxa" w:w="3176"/>
          </w:tcPr>
          <w:p>
            <w:r>
              <w:t>task3_manual_review_form.xlsx</w:t>
            </w:r>
          </w:p>
        </w:tc>
      </w:tr>
    </w:tbl>
    <w:p w14:paraId="230A0E98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720" w:firstLineChars="300"/>
        <w:jc w:val="both"/>
        <w:rPr>
          <w:rFonts w:hint="default" w:ascii="Calibri" w:hAnsi="Calibri" w:eastAsia="HarmonyOS Sans SC" w:cs="Times New Roman"/>
          <w:b/>
          <w:bCs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案例一：跑分洗钱</w:t>
      </w:r>
      <w:r>
        <w:rPr>
          <w:rFonts w:hint="default" w:ascii="Calibri" w:hAnsi="Calibri" w:eastAsia="HarmonyOS Sans SC" w:cs="Calibri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——11</w:t>
      </w: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个来源账户汇聚中转型（</w:t>
      </w:r>
      <w:r>
        <w:rPr>
          <w:rFonts w:hint="default" w:ascii="Calibri" w:hAnsi="Calibri" w:eastAsia="HarmonyOS Sans SC" w:cs="Calibri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CASE-001</w:t>
      </w: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）</w:t>
      </w:r>
    </w:p>
    <w:p w14:paraId="7E78052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【案例名称】跑分洗钱案例：11个来源账户48小时汇聚420万后拆分散出</w:t>
      </w:r>
    </w:p>
    <w:p w14:paraId="36578AC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【诈骗类型】网络赌博/跑分</w:t>
      </w:r>
    </w:p>
    <w:p w14:paraId="3E2ACAD0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【数据来源】参考公安部2024年反诈通报及多家银行公开案例整合</w:t>
      </w:r>
    </w:p>
    <w:p w14:paraId="1D9D01B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【案件背景】</w:t>
      </w:r>
    </w:p>
    <w:p w14:paraId="0E3B6A0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某跑分团伙利用11个“卡农”账户接收赌客分散入金，48小时内向卡头账户Y汇聚约420万元，随后24小时内拆分为19笔1-2万元小额转出至17个出口账户，完成资金清洗。</w:t>
      </w:r>
    </w:p>
    <w:p w14:paraId="6191BAD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【参与账户层级】</w:t>
      </w:r>
    </w:p>
    <w:p w14:paraId="7E5D95C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层级0（资金源）：11个来源账户（含2个涉诈标签）</w:t>
      </w:r>
    </w:p>
    <w:p w14:paraId="611DECF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层级1（汇聚层/卡头）：主账户Y（案例演示账户）</w:t>
      </w:r>
    </w:p>
    <w:p w14:paraId="53258CF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层级2（分散层）：17个出口账户（含1个涉诈标签）</w:t>
      </w:r>
    </w:p>
    <w:p w14:paraId="492E597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【资金流转路径】</w:t>
      </w:r>
    </w:p>
    <w:p w14:paraId="7DAF237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11个来源账户在48小时内向主账户Y转入420万元（单笔5-50万/笔，共11笔）。Y账户在24小时内通过19笔转账（每笔1-2万）转出390万元至17个出口账户，账户留存约30万元。</w:t>
      </w:r>
    </w:p>
    <w:p w14:paraId="34E98FB9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【关键异常交易】</w:t>
      </w:r>
    </w:p>
    <w:p w14:paraId="0FA193A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78%的交易发生在凌晨00:00-04:00</w:t>
      </w:r>
    </w:p>
    <w:p w14:paraId="57E77B1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入账后平均1.8小时即全额转出</w:t>
      </w:r>
    </w:p>
    <w:p w14:paraId="0B5A0E2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入账金额分箱为中型-大型（20-50万），转出金额降为微型（1-2万）</w:t>
      </w:r>
    </w:p>
    <w:p w14:paraId="46E22F8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【核心风险点】</w:t>
      </w:r>
    </w:p>
    <w:p w14:paraId="38C6A3B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汇聚比0.82（82%资金经Y集中）</w:t>
      </w:r>
    </w:p>
    <w:p w14:paraId="5194922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快进快出指数0.93（近乎全额快速转出）</w:t>
      </w:r>
    </w:p>
    <w:p w14:paraId="08C507D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关联风险密度0.38（直接关联3户涉诈标签）</w:t>
      </w:r>
    </w:p>
    <w:p w14:paraId="7063338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【图谱结构】</w:t>
      </w:r>
    </w:p>
    <w:p w14:paraId="7C20E9D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结构类型：汇聚+分散（星型+放射状）；节点总数29个；边总数30条（11条入+19条出）；最大路径深度2跳；关键节点Y账户（汇聚比0.82，案例演示风险分0.89）。</w:t>
      </w:r>
    </w:p>
    <w:p w14:paraId="40D9F38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【对应风险判定规则】</w:t>
      </w:r>
    </w:p>
    <w:p w14:paraId="18B4A2F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命中R-001：分散入账-快速归集风险</w:t>
      </w:r>
    </w:p>
    <w:p w14:paraId="05A914B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命中R-004：夜间集中交易</w:t>
      </w:r>
    </w:p>
    <w:p w14:paraId="1892E02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480" w:firstLineChars="200"/>
        <w:rPr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命中R-007：金额拆分转出</w:t>
      </w:r>
    </w:p>
    <w:p w14:paraId="1E1BEE7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leftChars="0" w:right="0" w:firstLine="480" w:firstLineChars="200"/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该案例中涉及的账户节点特征】：月交易总流入金额420万（高风险档位）、月交易总流出金额390万（高风险档位）、月度资金净流水+30万、月度全交易对手总数28个（高风险）、夜间交易占比78%（高风险）、大额拆分付款笔数19笔（高风险）、收款1小时内转出占比100%（高风险）。【交易边特征】：交易金额档位以1-2万小额转出为主、交易时段标签100%为夜间/凌晨、单笔极速转出标识全部为1、大额拆分标识为1、连续夜间标识为1、陌生对手标识为1（全部为陌生账户）。</w:t>
      </w:r>
    </w:p>
    <w:p w14:paraId="5D86AC54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案例二：杀猪盘</w:t>
      </w:r>
      <w:r>
        <w:rPr>
          <w:rFonts w:hint="default" w:ascii="Calibri" w:hAnsi="Calibri" w:eastAsia="HarmonyOS Sans SC" w:cs="Calibri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——7</w:t>
      </w: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层长链逐层截留型（</w:t>
      </w:r>
      <w:r>
        <w:rPr>
          <w:rFonts w:hint="default" w:ascii="Calibri" w:hAnsi="Calibri" w:eastAsia="HarmonyOS Sans SC" w:cs="Calibri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CASE-002</w:t>
      </w: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）</w:t>
      </w:r>
    </w:p>
    <w:p w14:paraId="4790959D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【案例名称】虚假投资理财诈骗：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7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层资金链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9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小时完成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52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万清洗</w:t>
      </w:r>
    </w:p>
    <w:p w14:paraId="0D2C47B5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【诈骗类型】杀猪盘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/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虚假投资理财</w:t>
      </w:r>
    </w:p>
    <w:p w14:paraId="1EDAD9D9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【数据来源】参考烟台市公安局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2023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年通报案例及通州警方发布会素材</w:t>
      </w:r>
    </w:p>
    <w:p w14:paraId="69E1FB87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【案件背景】</w:t>
      </w:r>
    </w:p>
    <w:p w14:paraId="2229D187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受害人被诱导参与虚假投资平台，一次性入金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52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万元。资金经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7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层账户逐级转移，每层账户截留约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50%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金额，最终仅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万元到达涉诈终端账户。</w:t>
      </w:r>
    </w:p>
    <w:p w14:paraId="7D9A6A7C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【参与账户层级】</w:t>
      </w:r>
    </w:p>
    <w:p w14:paraId="40A850AA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0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（受害人账户，非本行）：初始资金源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52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279477F4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1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ACC_A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52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28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24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569B6817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ACC_B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28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15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13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173CFF4A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3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ACC_C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15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8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7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1787428B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4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ACC_D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8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4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4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31AC7102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5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ACC_E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4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017EEF5C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6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ACC_F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2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出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万，截留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</w:p>
    <w:p w14:paraId="5CC02310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层级</w:t>
      </w: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>7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ACC_G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）：入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1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万</w:t>
      </w:r>
      <w:r>
        <w:rPr>
          <w:rFonts w:hint="default" w:ascii="Calibri" w:hAnsi="Calibri" w:eastAsia="HarmonyOS Sans SC" w:cs="Calibri"/>
          <w:snapToGrid/>
          <w:kern w:val="2"/>
          <w:sz w:val="24"/>
          <w:szCs w:val="24"/>
          <w:lang w:val="en-US" w:eastAsia="zh-CN" w:bidi="ar"/>
          <w:woUserID w:val="2"/>
        </w:rPr>
        <w:t>→</w:t>
      </w:r>
      <w:r>
        <w:rPr>
          <w:rFonts w:hint="default" w:ascii="HarmonyOS Sans SC" w:hAnsi="HarmonyOS Sans SC" w:eastAsia="HarmonyOS Sans SC" w:cs="HarmonyOS Sans SC"/>
          <w:snapToGrid/>
          <w:kern w:val="2"/>
          <w:sz w:val="24"/>
          <w:szCs w:val="24"/>
          <w:lang w:val="en-US" w:eastAsia="zh-CN" w:bidi="ar"/>
          <w:woUserID w:val="2"/>
        </w:rPr>
        <w:t>不出，终端涉诈账户</w:t>
      </w:r>
    </w:p>
    <w:p w14:paraId="699BB91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【资金流转路径】</w:t>
      </w:r>
    </w:p>
    <w:p w14:paraId="26A58E2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受害人52万→ACC_A（22:00）→ACC_B（22:30）→ACC_C（23:00）→ACC_D（23:45）→ACC_E（00:30）→ACC_F（01:20）→ACC_G（03:00）</w:t>
      </w:r>
    </w:p>
    <w:p w14:paraId="2A7C14A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【关键异常交易】</w:t>
      </w:r>
    </w:p>
    <w:p w14:paraId="46A211F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全部交易发生在工作日22:00-次日03:00</w:t>
      </w:r>
    </w:p>
    <w:p w14:paraId="6A4B259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各层金额呈规律性减半（52→28→15→8→4→2→1）</w:t>
      </w:r>
    </w:p>
    <w:p w14:paraId="3FC3643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每层账户资金停留时间均＜1小时</w:t>
      </w:r>
    </w:p>
    <w:p w14:paraId="29FDCE9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【核心风险点】</w:t>
      </w:r>
    </w:p>
    <w:p w14:paraId="247E875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链路深度7跳，远超正常交易深度</w:t>
      </w:r>
    </w:p>
    <w:p w14:paraId="5D21D5E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各节点截留比例高度一致（约46%-50%），疑似程序化转账</w:t>
      </w:r>
    </w:p>
    <w:p w14:paraId="1376366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总截留51万元（52-1），末端仅1万元到达涉诈账户</w:t>
      </w:r>
    </w:p>
    <w:p w14:paraId="53A9FE7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【图谱结构】</w:t>
      </w:r>
    </w:p>
    <w:p w14:paraId="3FE8B6B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结构类型：单源深链（线状）</w:t>
      </w:r>
    </w:p>
    <w:p w14:paraId="59DFA7F1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节点总数：8个（含受害人）</w:t>
      </w:r>
    </w:p>
    <w:p w14:paraId="2413F81B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边总数：7条</w:t>
      </w:r>
    </w:p>
    <w:p w14:paraId="18CB951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最大路径深度：7跳</w:t>
      </w:r>
    </w:p>
    <w:p w14:paraId="29518FA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关键节点：ACC_A（首层截留24万，占总额46%）</w:t>
      </w:r>
    </w:p>
    <w:p w14:paraId="58CC959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【对应风险判定规则】</w:t>
      </w:r>
    </w:p>
    <w:p w14:paraId="376BD6A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命中R-003：多层过桥转移（7跳＞3跳）</w:t>
      </w:r>
    </w:p>
    <w:p w14:paraId="282D0589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命中R-004：夜间集中交易</w:t>
      </w:r>
    </w:p>
    <w:p w14:paraId="33AE4AA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命中R-007：金额拆分转出 </w:t>
      </w:r>
    </w:p>
    <w:p w14:paraId="4FAB617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【该案例中涉及的账户节点特征】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月交易总流入金额52万（中高风险）、月交易总流出金额28万（首层截留24万）、月度全交易对手数每层仅1个（异常低）、账户资金平均留存时长＜1小时（高风险）、当日全额转出占比100%（高风险）、夜间交易占比100%（高风险）、收款1小时内转出占比100%（高风险）、连续高频交易天数1天（单日连续7笔）。</w:t>
      </w:r>
      <w:r>
        <w:rPr>
          <w:rFonts w:hint="default"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【交易边特征】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：交易时段标签全部为凌晨/夜间（22:00-03:00）、单笔极速转出标识全部为1、连续夜间标识为1、交易间隔时长约30分钟（极短）、等额对敲标识为0（单向流出）、短期多对手标记为0（每层仅1个对手）。</w:t>
      </w:r>
    </w:p>
    <w:p w14:paraId="7582839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案例三：休眠激活快进快出型（CASE-003）</w:t>
      </w:r>
    </w:p>
    <w:p w14:paraId="7576361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【案例名称】休眠89天账户突然激活：单日186万快进快出</w:t>
      </w:r>
    </w:p>
    <w:p w14:paraId="486CD87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【诈骗类型】账户买卖/跑分</w:t>
      </w:r>
    </w:p>
    <w:p w14:paraId="467FD856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【数据来源】参考银行反诈内部培训案例及公安机关通报素材</w:t>
      </w:r>
    </w:p>
    <w:p w14:paraId="1F7E33EC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【案件背景】</w:t>
      </w:r>
    </w:p>
    <w:p w14:paraId="00A1601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某账户在连续89天无任何交易后突然激活，单日内通过23笔入账接收186万元，随后通过18笔转出几乎全额转出（180万），留存仅6万元。</w:t>
      </w:r>
    </w:p>
    <w:p w14:paraId="4942201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【参与账户层级】</w:t>
      </w:r>
    </w:p>
    <w:p w14:paraId="31AAEDF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主账户：休眠89天后激活</w:t>
      </w:r>
    </w:p>
    <w:p w14:paraId="3EEA1EE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入账端：23个来源账户（含2个涉诈标签）</w:t>
      </w:r>
    </w:p>
    <w:p w14:paraId="58B2A42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出账端：18个去向账户（含1个涉诈标签）</w:t>
      </w:r>
    </w:p>
    <w:p w14:paraId="5ACFF0E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【资金流转路径】</w:t>
      </w:r>
    </w:p>
    <w:p w14:paraId="44FACC9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23个来源账户在14:00-17:00集中入账186万（单笔1-19万不等）。主账户实时操作，14:30-22:00分批转出至18个去向账户，金额1-12万/笔。</w:t>
      </w:r>
    </w:p>
    <w:p w14:paraId="2895017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【关键异常交易】</w:t>
      </w:r>
    </w:p>
    <w:p w14:paraId="37BC8A4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入账出账金额分布镜像相关，相关系数＞0.95</w:t>
      </w:r>
    </w:p>
    <w:p w14:paraId="66298CF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单笔资金平均停留22分钟，最短仅8分钟</w:t>
      </w:r>
    </w:p>
    <w:p w14:paraId="2423E26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23个来源账户中2个涉诈，18个去向中1个涉诈</w:t>
      </w:r>
    </w:p>
    <w:p w14:paraId="60F88E2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【核心风险点】</w:t>
      </w:r>
    </w:p>
    <w:p w14:paraId="74E0446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休眠期89天，激活后首日即产生186万交易</w:t>
      </w:r>
    </w:p>
    <w:p w14:paraId="5E23007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快进快出指数0.97，留存率仅3.2%</w:t>
      </w:r>
    </w:p>
    <w:p w14:paraId="7308D4D9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出入账金额高度匹配，呈现纯粹“过桥”特征</w:t>
      </w:r>
    </w:p>
    <w:p w14:paraId="797BC1C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【图谱结构】</w:t>
      </w:r>
    </w:p>
    <w:p w14:paraId="1A597FF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结构类型：休眠激活型（双放射状）</w:t>
      </w:r>
    </w:p>
    <w:p w14:paraId="35AF513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节点总数：42个</w:t>
      </w:r>
    </w:p>
    <w:p w14:paraId="567E044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边总数：41条（23入+18出）</w:t>
      </w:r>
    </w:p>
    <w:p w14:paraId="3BA288F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最大路径深度：2跳</w:t>
      </w:r>
    </w:p>
    <w:p w14:paraId="4E3BC0B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关键节点：主账户（快进快出指数0.97）</w:t>
      </w:r>
    </w:p>
    <w:p w14:paraId="6EC1641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【对应风险判定规则】</w:t>
      </w:r>
    </w:p>
    <w:p w14:paraId="79BBE62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命中R-002：休眠账户激活</w:t>
      </w:r>
    </w:p>
    <w:p w14:paraId="4A5CC1F9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命中R-001：分散入账-快速归集</w:t>
      </w:r>
    </w:p>
    <w:p w14:paraId="29F39AC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命中R-007：金额拆分转出</w:t>
      </w:r>
    </w:p>
    <w:p w14:paraId="2777538B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【该案例中涉及的账户节点特征】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开户至首笔交易间隔89天（高风险——休眠后激活）、月交易总流入186万（高风险）、月交易总流出180万（高风险）、月度资金净流水+6万、月度全交易对手总数41个（高风险）、日均交易笔数41笔（高风险，远超≥20笔阈值）、账户资金平均留存时长22分钟（高风险）、当日全额转出占比100%（高风险）、夜间交易占比约30%（中风险）、小额分散收款笔数23笔（高风险）、大额拆分付款笔数18笔（高风险）、连续高频交易天数1天。</w:t>
      </w:r>
      <w:r>
        <w:rPr>
          <w:rFonts w:hint="default"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【交易边特征】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单笔极速转出标识全部为1、大额拆分标识为1（50万以上拆分）、陌生对手标识全部为1（23个来源+18个去向均为陌生账户）、短期多对手标记为1（前后5笔对手均不重复）、交易间隔时长5-30分钟（批量走账特征）</w:t>
      </w:r>
    </w:p>
    <w:p w14:paraId="2B1AA99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案例四：冒充公检法——单源深链快速分散型（CASE-004）</w:t>
      </w:r>
    </w:p>
    <w:p w14:paraId="7F72658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【案例名称】冒充公检法诈骗：单笔197万全额紧急拦截</w:t>
      </w:r>
    </w:p>
    <w:p w14:paraId="3FBE1FD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【诈骗类型】冒充公检法</w:t>
      </w:r>
    </w:p>
    <w:p w14:paraId="493CB71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【数据来源】参考烟台市公安局2023年2月通报案例</w:t>
      </w:r>
    </w:p>
    <w:p w14:paraId="586AAC2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【案件背景】</w:t>
      </w:r>
    </w:p>
    <w:p w14:paraId="0A6F82B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2023年2月，莱山区某公司经理丛某被冒充单位领导诈骗197万元。受害人一次性转账后，资金即将被多级分拆转移。烟台市反诈中心启动紧急拦截，在农业银行支持下全额冻结197万元。</w:t>
      </w:r>
    </w:p>
    <w:p w14:paraId="7F617FE1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【参与账户层级】</w:t>
      </w:r>
    </w:p>
    <w:p w14:paraId="2BC4A13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层级0：受害人账户（一次性转出197万）</w:t>
      </w:r>
    </w:p>
    <w:p w14:paraId="5C96C7E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层级1：诈骗一级账户（接收197万）</w:t>
      </w:r>
    </w:p>
    <w:p w14:paraId="251C16E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层级2-4：预分拆账户（计划多级转移，已被冻结）</w:t>
      </w:r>
    </w:p>
    <w:p w14:paraId="13DB1161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【资金流转路径】</w:t>
      </w:r>
    </w:p>
    <w:p w14:paraId="724B4C3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受害人被冒充领导诈骗→一次性转出197万至诈骗账户→反诈中心5分钟内启动拦截→全额冻结</w:t>
      </w:r>
    </w:p>
    <w:p w14:paraId="4CB8B5F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【关键异常交易】</w:t>
      </w:r>
    </w:p>
    <w:p w14:paraId="1DAC154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单笔大额197万，与受害人日常交易习惯严重不符</w:t>
      </w:r>
    </w:p>
    <w:p w14:paraId="17B291F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诈骗账户为异地新开户</w:t>
      </w:r>
    </w:p>
    <w:p w14:paraId="0574EFF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资金即将被分拆至多个二级账户前被拦截</w:t>
      </w:r>
    </w:p>
    <w:p w14:paraId="54C8C7BB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【核心风险点】</w:t>
      </w:r>
    </w:p>
    <w:p w14:paraId="72F9765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单笔金额巨大（197万），远超市级拦截单次纪录</w:t>
      </w:r>
    </w:p>
    <w:p w14:paraId="62C149F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诈骗手法：冒充熟人+紧急转账</w:t>
      </w:r>
    </w:p>
    <w:p w14:paraId="304CB6F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拦截窗口期极短（接警后5分钟内完成止付）</w:t>
      </w:r>
    </w:p>
    <w:p w14:paraId="5FB99BC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【图谱结构】</w:t>
      </w:r>
    </w:p>
    <w:p w14:paraId="0B728AF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结构类型：单源浅层（尚未完成分散即被拦截）</w:t>
      </w:r>
    </w:p>
    <w:p w14:paraId="26F4189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节点总数：3个（含受害人）</w:t>
      </w:r>
    </w:p>
    <w:p w14:paraId="015951D6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边总数：1条（成功拦截，未完成后续）</w:t>
      </w:r>
    </w:p>
    <w:p w14:paraId="5124F50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最大路径深度：1跳（计划跳数≥4）</w:t>
      </w:r>
    </w:p>
    <w:p w14:paraId="211D31D6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关键节点：一级接收账户（已冻结）</w:t>
      </w:r>
    </w:p>
    <w:p w14:paraId="0C4C684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【对应风险判定规则】</w:t>
      </w:r>
    </w:p>
    <w:p w14:paraId="2582F20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命中R-001变体：单源大额入账，即将分散</w:t>
      </w:r>
    </w:p>
    <w:p w14:paraId="65AF3B8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资金流向异常：只入不出（被拦截前）</w:t>
      </w:r>
    </w:p>
    <w:p w14:paraId="16CD1A0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Open Sans" w:cs="宋体"/>
          <w:snapToGrid/>
          <w:kern w:val="2"/>
          <w:sz w:val="24"/>
          <w:szCs w:val="24"/>
          <w:lang w:val="en-US" w:eastAsia="zh" w:bidi="ar"/>
          <w:woUserID w:val="2"/>
        </w:rPr>
      </w:pPr>
      <w:r>
        <w:rPr>
          <w:rFonts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【该案例中涉及的账户节点特征】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：月交易总流入197万（高风险）、单笔金额197万（触发超大额标识）、账户资金平均留存时长＜5分钟（被拦截前）、当日全额转出占比即将达100%（被拦截中止）。</w:t>
      </w:r>
      <w:r>
        <w:rPr>
          <w:rFonts w:hint="default"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【交易边特征】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：超大额交易标识为1（≥1000万阈值未达但单笔197万仍属大额异常）、交易时段为日间但与受害人日常习惯严重不符、公私账户类型为私对私、陌生对手标识为</w:t>
      </w:r>
      <w:r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  <w:t>。</w:t>
      </w:r>
    </w:p>
    <w:p w14:paraId="474DEE0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案例五：线下取现换U币——新型“搭桥式”转移型（CASE-005）</w:t>
      </w:r>
    </w:p>
    <w:p w14:paraId="472A008F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【案例名称】新型“线上诈骗+线下取现+换U币”作案模式</w:t>
      </w:r>
    </w:p>
    <w:p w14:paraId="3390364E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【诈骗类型】新型电信网络诈骗（U币洗钱）。</w:t>
      </w:r>
    </w:p>
    <w:p w14:paraId="0902E521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【数据来源】参考通川区人民检察院2025年通报案例</w:t>
      </w:r>
    </w:p>
    <w:p w14:paraId="0252A755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【案件背景】</w:t>
      </w:r>
    </w:p>
    <w:p w14:paraId="0FFFCCA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随着线上资金通道被阻断，涉诈资金逐步衍化为“线上引流+虚假投资+线下取现换U币”新型作案模式。2024年以来，通川区已受理该类案件16件28人，涉案金额800余万元。</w:t>
      </w:r>
    </w:p>
    <w:p w14:paraId="7A9A72F9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【参与账户层级】</w:t>
      </w:r>
    </w:p>
    <w:p w14:paraId="7AB07A7D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线上层：被害人A→虚假投资平台（线上诱导）</w:t>
      </w:r>
    </w:p>
    <w:p w14:paraId="58355AC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线下层：“被害人”B接收上游诈骗资金转账→取现换U币</w:t>
      </w:r>
    </w:p>
    <w:p w14:paraId="1A69DA1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转移层：车手携带验钞设备线下接取现金</w:t>
      </w:r>
    </w:p>
    <w:p w14:paraId="417C1E49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【资金流转路径】</w:t>
      </w:r>
    </w:p>
    <w:p w14:paraId="19E109EB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线上诈骗→诱使被害人B接收其他受害人转账资金→取现→换U币→在虚假平台“投资”→继续引诱追加投资</w:t>
      </w:r>
    </w:p>
    <w:p w14:paraId="44B2F656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【关键异常交易】</w:t>
      </w:r>
    </w:p>
    <w:p w14:paraId="7F5439DC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采用“被害人→车手”点对点现金交付</w:t>
      </w:r>
    </w:p>
    <w:p w14:paraId="45479ECC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车手携带专业验钞设备，模拟正规U商交易流程</w:t>
      </w:r>
    </w:p>
    <w:p w14:paraId="2C6461E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犯罪团伙搭建仿冒“中华粮网”等投资平台，盗用正版认证标识</w:t>
      </w:r>
    </w:p>
    <w:p w14:paraId="1A0EE6C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【核心风险点】</w:t>
      </w:r>
    </w:p>
    <w:p w14:paraId="1908F68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资金脱离银行系统追踪，转入线下现金+U币双重隐匿</w:t>
      </w:r>
    </w:p>
    <w:p w14:paraId="65771CEB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“搭桥式”交易使新被害人无意中成为洗钱帮凶</w:t>
      </w:r>
    </w:p>
    <w:p w14:paraId="4C8255B8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仿冒国家级官网平台，受害人辨识难度极大</w:t>
      </w:r>
    </w:p>
    <w:p w14:paraId="4CFCC3F7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【图谱结构】</w:t>
      </w:r>
    </w:p>
    <w:p w14:paraId="0A57D383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结构类型：线上线下混合（银行图谱仅能覆盖线上环节）</w:t>
      </w:r>
    </w:p>
    <w:p w14:paraId="26678EE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" w:bidi="ar"/>
          <w:woUserID w:val="2"/>
        </w:rPr>
        <w:t>节点总数：线上账户数有限（3-5个）</w:t>
      </w:r>
    </w:p>
    <w:p w14:paraId="13C2F1E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最大路径深度：2-3跳（线上），线下断裂</w:t>
      </w:r>
    </w:p>
    <w:p w14:paraId="274433F2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关键节点：线下U币交易点（银行图谱盲区）</w:t>
      </w:r>
    </w:p>
    <w:p w14:paraId="2AD7DD14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【对应风险判定规则】</w:t>
      </w:r>
    </w:p>
    <w:p w14:paraId="5D2FE930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 xml:space="preserve"> 本案例揭示银行资金图谱的局限性：资金一旦脱离银行体系转入线下取现，图谱追踪即中断</w:t>
      </w:r>
    </w:p>
    <w:p w14:paraId="50D7B32A">
      <w:pPr>
        <w:keepNext w:val="0"/>
        <w:keepLines w:val="0"/>
        <w:widowControl w:val="0"/>
        <w:suppressLineNumbers w:val="0"/>
        <w:autoSpaceDE w:val="0"/>
        <w:autoSpaceDN/>
        <w:snapToGrid w:val="0"/>
        <w:spacing w:before="50" w:beforeLines="50" w:beforeAutospacing="0" w:after="0" w:afterAutospacing="1" w:line="520" w:lineRule="exact"/>
        <w:ind w:left="0" w:leftChars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snapToGrid/>
          <w:kern w:val="2"/>
          <w:sz w:val="24"/>
          <w:szCs w:val="24"/>
          <w:lang w:val="en-US" w:eastAsia="zh-CN" w:bidi="ar"/>
          <w:woUserID w:val="2"/>
        </w:rPr>
        <w:t>对应策略：需联合大额取现监测、柜面异常行为识别等线下风控手段</w:t>
      </w:r>
    </w:p>
    <w:p w14:paraId="0CA9E762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480" w:firstLineChars="200"/>
        <w:jc w:val="both"/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</w:pPr>
      <w:r>
        <w:rPr>
          <w:rFonts w:hint="default" w:ascii="Calibri" w:hAnsi="Calibri" w:eastAsia="HarmonyOS Sans SC" w:cs="Times New Roman"/>
          <w:snapToGrid/>
          <w:kern w:val="2"/>
          <w:sz w:val="24"/>
          <w:szCs w:val="24"/>
          <w:lang w:val="en-US" w:eastAsia="zh-CN" w:bidi="ar"/>
          <w:woUserID w:val="2"/>
        </w:rPr>
        <w:t xml:space="preserve"> </w:t>
      </w:r>
      <w:r>
        <w:rPr>
          <w:rFonts w:ascii="Open Sans" w:hAnsi="Open Sans" w:eastAsia="Open Sans" w:cs="Open Sans"/>
          <w:caps w:val="0"/>
          <w:color w:val="0F1115"/>
          <w:spacing w:val="0"/>
          <w:sz w:val="24"/>
          <w:szCs w:val="24"/>
          <w:shd w:val="clear" w:fill="FFFFFF"/>
          <w:woUserID w:val="2"/>
        </w:rPr>
        <w:t>【该案例揭示银行资金图谱的局限性】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2"/>
        </w:rPr>
        <w:t>：资金一旦脱离银行体系转入线下取现，图谱追踪即中断。线上账户节点特征表现为正常小额往来，交易边特征中无异常标识，但结合线下取现监测、柜面异常行为识别等线下风控手段可发现。对应策略：需联合大额取现监测、柜面异常行为识别等线下风控手段，同时将线下取现行为（如多地ATM限额取现、同一设备多张异地卡取现）纳入二级关联证据中的设备取现证据大类进行综合判定。</w:t>
      </w:r>
    </w:p>
    <w:p w14:paraId="07020B8B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 w:line="6240" w:lineRule="auto"/>
        <w:ind w:left="0" w:leftChars="0" w:right="0" w:firstLine="0" w:firstLineChars="0"/>
        <w:jc w:val="both"/>
        <w:rPr>
          <w:rFonts w:hint="default" w:ascii="Calibri" w:hAnsi="Calibri" w:eastAsia="HarmonyOS Sans SC" w:cs="Times New Roman"/>
          <w:kern w:val="2"/>
          <w:sz w:val="24"/>
          <w:szCs w:val="24"/>
          <w:woUserID w:val="2"/>
        </w:rPr>
      </w:pPr>
      <w:r>
        <w:rPr>
          <w:rFonts w:hint="default" w:ascii="HarmonyOS Sans SC" w:hAnsi="HarmonyOS Sans SC" w:eastAsia="HarmonyOS Sans SC" w:cs="HarmonyOS Sans SC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附录一：五类典型案例图谱结构对比总表</w:t>
      </w:r>
    </w:p>
    <w:tbl>
      <w:tblPr>
        <w:tblStyle w:val="15"/>
        <w:tblW w:w="7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1060"/>
        <w:gridCol w:w="1146"/>
        <w:gridCol w:w="1309"/>
        <w:gridCol w:w="1015"/>
        <w:gridCol w:w="2305"/>
      </w:tblGrid>
      <w:tr w14:paraId="207E8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8" w:hRule="atLeast"/>
          <w:jc w:val="center"/>
        </w:trPr>
        <w:tc>
          <w:tcPr>
            <w:tcW w:w="939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6351F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对比维度</w:t>
            </w:r>
          </w:p>
        </w:tc>
        <w:tc>
          <w:tcPr>
            <w:tcW w:w="1060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DCAEE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CASE-001 跑分</w:t>
            </w:r>
          </w:p>
        </w:tc>
        <w:tc>
          <w:tcPr>
            <w:tcW w:w="1146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2D5ED7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CASE-002 杀猪盘</w:t>
            </w:r>
          </w:p>
        </w:tc>
        <w:tc>
          <w:tcPr>
            <w:tcW w:w="1309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5A2D0A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CASE-003 休眠激活</w:t>
            </w:r>
          </w:p>
        </w:tc>
        <w:tc>
          <w:tcPr>
            <w:tcW w:w="1015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C3EFB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CASE-004 冒充公检法</w:t>
            </w:r>
          </w:p>
        </w:tc>
        <w:tc>
          <w:tcPr>
            <w:tcW w:w="2305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8B3B33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CASE-005 U币洗钱</w:t>
            </w:r>
          </w:p>
          <w:p w14:paraId="52356164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</w:r>
          </w:p>
        </w:tc>
      </w:tr>
      <w:tr w14:paraId="0868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AD7E4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结构类型</w:t>
            </w:r>
          </w:p>
        </w:tc>
        <w:tc>
          <w:tcPr>
            <w:tcW w:w="1060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CCC9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汇聚 + 分散</w:t>
            </w:r>
          </w:p>
        </w:tc>
        <w:tc>
          <w:tcPr>
            <w:tcW w:w="1146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BA3939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单源深链</w:t>
            </w:r>
          </w:p>
        </w:tc>
        <w:tc>
          <w:tcPr>
            <w:tcW w:w="1309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2F64E1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双放射状</w:t>
            </w:r>
          </w:p>
        </w:tc>
        <w:tc>
          <w:tcPr>
            <w:tcW w:w="1015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50D27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单源浅层</w:t>
            </w:r>
          </w:p>
        </w:tc>
        <w:tc>
          <w:tcPr>
            <w:tcW w:w="2305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7DEC58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线上线下混合</w:t>
            </w:r>
          </w:p>
        </w:tc>
      </w:tr>
      <w:tr w14:paraId="1D4CB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1C88D2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节点总数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3C01F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29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900927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8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52E3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42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887D66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3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CFCAC8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3-5（线上）</w:t>
            </w:r>
          </w:p>
        </w:tc>
      </w:tr>
      <w:tr w14:paraId="190E9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064779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最大深度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96A40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2 跳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AAF1DA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7 跳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EE1868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2 跳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C54D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1 跳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B0B4D3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2-3 跳</w:t>
            </w:r>
          </w:p>
        </w:tc>
      </w:tr>
      <w:tr w14:paraId="29EAB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3161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核心风险指标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7E735A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汇聚比 0.82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0EFE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深度 7 跳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DC5D2A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快进 0.97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3265F6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单笔 197 万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58C78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线下断链</w:t>
            </w:r>
          </w:p>
        </w:tc>
      </w:tr>
      <w:tr w14:paraId="79C36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8BDF04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关键识别特征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4628BE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金额 8 倍差异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910CD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逐层减半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DB35B3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休眠 89 天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A5D77D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金额突变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A30D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现金交付</w:t>
            </w:r>
          </w:p>
        </w:tc>
      </w:tr>
      <w:tr w14:paraId="1FDDD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F6ADE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对应诈骗类型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223F8F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网络赌博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4FA1E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虚假投资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B62D46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账户买卖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E4CB82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冒充公检法</w:t>
            </w:r>
          </w:p>
        </w:tc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1FD1BA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新型混合</w:t>
            </w:r>
          </w:p>
        </w:tc>
      </w:tr>
      <w:tr w14:paraId="6D4F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39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ABDEC7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图谱可追踪性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EF0CB8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完全可追踪</w:t>
            </w:r>
          </w:p>
        </w:tc>
        <w:tc>
          <w:tcPr>
            <w:tcW w:w="1146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B7FD8C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完全可追踪</w:t>
            </w:r>
          </w:p>
        </w:tc>
        <w:tc>
          <w:tcPr>
            <w:tcW w:w="1309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351A78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完全可追踪</w:t>
            </w:r>
          </w:p>
        </w:tc>
        <w:tc>
          <w:tcPr>
            <w:tcW w:w="101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C88255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firstLine="0" w:firstLineChars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部分追踪（已冻结）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05B419">
            <w:pPr>
              <w:keepNext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right="0"/>
              <w:jc w:val="center"/>
              <w:rPr>
                <w:rFonts w:hint="default" w:ascii="Calibri" w:hAnsi="Calibri" w:eastAsia="HarmonyOS Sans SC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线上断裂</w:t>
            </w:r>
          </w:p>
        </w:tc>
      </w:tr>
    </w:tbl>
    <w:p w14:paraId="355AF879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/>
          <w:snapToGrid/>
          <w:kern w:val="2"/>
          <w:sz w:val="24"/>
          <w:szCs w:val="24"/>
          <w:lang w:val="en-US" w:eastAsia="zh-CN" w:bidi="ar"/>
          <w:woUserID w:val="2"/>
        </w:rPr>
      </w:pPr>
    </w:p>
    <w:p w14:paraId="669DF000">
      <w:pPr>
        <w:keepNext w:val="0"/>
        <w:keepLines w:val="0"/>
        <w:widowControl w:val="0"/>
        <w:suppressLineNumbers w:val="0"/>
        <w:snapToGrid w:val="0"/>
        <w:spacing w:before="50" w:beforeLines="50" w:beforeAutospacing="0" w:after="0" w:afterAutospacing="1"/>
        <w:ind w:left="0" w:leftChars="0" w:right="0"/>
        <w:jc w:val="both"/>
        <w:rPr>
          <w:rFonts w:hint="default" w:ascii="Calibri" w:hAnsi="Calibri" w:eastAsia="HarmonyOS Sans SC" w:cs="Times New Roman"/>
          <w:b/>
          <w:bCs/>
          <w:kern w:val="2"/>
          <w:sz w:val="24"/>
          <w:szCs w:val="24"/>
          <w:woUserID w:val="2"/>
        </w:rPr>
      </w:pPr>
      <w:r>
        <w:rPr>
          <w:rFonts w:hint="eastAsia" w:ascii="宋体" w:hAnsi="宋体" w:eastAsia="宋体" w:cs="宋体"/>
          <w:b/>
          <w:bCs/>
          <w:snapToGrid/>
          <w:kern w:val="2"/>
          <w:sz w:val="24"/>
          <w:szCs w:val="24"/>
          <w:lang w:val="en-US" w:eastAsia="zh-CN" w:bidi="ar"/>
          <w:woUserID w:val="2"/>
        </w:rPr>
        <w:t>附录二：风险评估与处置映射速查表</w:t>
      </w:r>
    </w:p>
    <w:tbl>
      <w:tblPr>
        <w:tblStyle w:val="1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3712"/>
        <w:gridCol w:w="1975"/>
        <w:gridCol w:w="1134"/>
        <w:gridCol w:w="872"/>
      </w:tblGrid>
      <w:tr w14:paraId="10376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  <w:jc w:val="center"/>
        </w:trPr>
        <w:tc>
          <w:tcPr>
            <w:tcW w:w="60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EF371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风险等级</w:t>
            </w:r>
          </w:p>
        </w:tc>
        <w:tc>
          <w:tcPr>
            <w:tcW w:w="1667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06168F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典型触发规则</w:t>
            </w:r>
          </w:p>
        </w:tc>
        <w:tc>
          <w:tcPr>
            <w:tcW w:w="129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4C788C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模型分数区间</w:t>
            </w:r>
          </w:p>
        </w:tc>
        <w:tc>
          <w:tcPr>
            <w:tcW w:w="796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15AF12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处置措施</w:t>
            </w:r>
          </w:p>
        </w:tc>
        <w:tc>
          <w:tcPr>
            <w:tcW w:w="642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ECC59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紧急程度</w:t>
            </w:r>
          </w:p>
        </w:tc>
      </w:tr>
      <w:tr w14:paraId="72EE6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0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30271D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高危</w:t>
            </w:r>
          </w:p>
        </w:tc>
        <w:tc>
          <w:tcPr>
            <w:tcW w:w="1667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ED3331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R-001/R-002/R-003/R-005/R-006</w:t>
            </w:r>
          </w:p>
        </w:tc>
        <w:tc>
          <w:tcPr>
            <w:tcW w:w="129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EF96E5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≥0.80</w:t>
            </w:r>
          </w:p>
        </w:tc>
        <w:tc>
          <w:tcPr>
            <w:tcW w:w="796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E120E5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立即止付 + 全渠道冻结</w:t>
            </w:r>
          </w:p>
        </w:tc>
        <w:tc>
          <w:tcPr>
            <w:tcW w:w="642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71F6C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P0（30 分钟内）</w:t>
            </w:r>
          </w:p>
        </w:tc>
      </w:tr>
      <w:tr w14:paraId="3EE89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DB1F51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中高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DE80BC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R-004/R-007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B8B507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0.60-0.80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414A4F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复核确认后处置</w:t>
            </w:r>
          </w:p>
        </w:tc>
        <w:tc>
          <w:tcPr>
            <w:tcW w:w="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5232A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P1（2 小时内）</w:t>
            </w:r>
          </w:p>
        </w:tc>
      </w:tr>
      <w:tr w14:paraId="47ED0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B244A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中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FF183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R-008</w:t>
            </w:r>
          </w:p>
        </w:tc>
        <w:tc>
          <w:tcPr>
            <w:tcW w:w="12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8EBED7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0.30-0.60</w:t>
            </w:r>
          </w:p>
        </w:tc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A083F4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列入监控名单</w:t>
            </w:r>
          </w:p>
        </w:tc>
        <w:tc>
          <w:tcPr>
            <w:tcW w:w="6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B4898E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P2（24 小时内）</w:t>
            </w:r>
          </w:p>
        </w:tc>
      </w:tr>
      <w:tr w14:paraId="5C0C0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0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212693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正常</w:t>
            </w:r>
          </w:p>
        </w:tc>
        <w:tc>
          <w:tcPr>
            <w:tcW w:w="1667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88902B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无规则命中</w:t>
            </w:r>
          </w:p>
        </w:tc>
        <w:tc>
          <w:tcPr>
            <w:tcW w:w="129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8CC6FF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&lt;0.30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AF03EA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不处置，保留监测</w:t>
            </w:r>
          </w:p>
        </w:tc>
        <w:tc>
          <w:tcPr>
            <w:tcW w:w="642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EA084E">
            <w:pPr>
              <w:keepNext w:val="0"/>
              <w:keepLines w:val="0"/>
              <w:widowControl/>
              <w:suppressLineNumbers w:val="0"/>
              <w:snapToGrid w:val="0"/>
              <w:spacing w:before="50" w:beforeLines="50" w:beforeAutospacing="0" w:after="0" w:afterAutospacing="1"/>
              <w:ind w:left="0" w:leftChars="0" w:right="0" w:rightChars="0" w:firstLine="0" w:firstLineChars="0"/>
              <w:jc w:val="left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snapToGrid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</w:tbl>
    <w:p w14:paraId="54D8F65C">
      <w:pPr>
        <w:ind w:left="0" w:leftChars="0" w:firstLine="0" w:firstLineChars="0"/>
        <w:rPr>
          <w:rFonts w:hint="eastAsia" w:eastAsiaTheme="minorEastAsia"/>
          <w:lang w:val="en-US" w:eastAsia="zh"/>
          <w:woUserID w:val="2"/>
        </w:rPr>
      </w:pPr>
    </w:p>
    <w:p w14:paraId="0543A3FC">
      <w:pPr>
        <w:bidi w:val="0"/>
        <w:rPr>
          <w:rFonts w:hint="default"/>
          <w:lang w:val="en-US" w:eastAsia="zh-CN"/>
        </w:rPr>
      </w:pPr>
    </w:p>
    <w:p w14:paraId="15CEF460">
      <w:pPr>
        <w:pStyle w:val="2"/>
        <w:numPr>
          <w:ilvl w:val="0"/>
          <w:numId w:val="0"/>
        </w:numPr>
        <w:bidi w:val="0"/>
        <w:ind w:left="0" w:leftChars="0" w:firstLine="641" w:firstLineChars="200"/>
        <w:rPr>
          <w:rFonts w:hint="default"/>
          <w:lang w:val="en-US" w:eastAsia="zh-CN"/>
        </w:rPr>
      </w:pPr>
      <w:bookmarkStart w:id="52" w:name="_Toc17709"/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五、</w:t>
      </w:r>
      <w:r>
        <w:rPr>
          <w:rFonts w:hint="default"/>
          <w:lang w:val="en-US" w:eastAsia="zh-CN"/>
        </w:rPr>
        <w:t>项目创新点与落地应用价值</w:t>
      </w:r>
      <w:bookmarkEnd w:id="52"/>
    </w:p>
    <w:p w14:paraId="7479A870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53" w:name="_Toc23479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（一）</w:t>
      </w:r>
      <w:r>
        <w:rPr>
          <w:rFonts w:hint="default"/>
          <w:lang w:val="en-US" w:eastAsia="zh-CN"/>
        </w:rPr>
        <w:t>四大核心创新点</w:t>
      </w:r>
      <w:bookmarkEnd w:id="53"/>
    </w:p>
    <w:p w14:paraId="3A7C48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轻量化时序图谱创新：仅依托脱敏账户、分箱交易建模，无需 IP、设备等高成本外部数据，解决商用图谱数据门槛高的痛点；</w:t>
      </w:r>
    </w:p>
    <w:p w14:paraId="4045AD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（2）滚动动态特征与验证集选择融合创新：以120天滚动动态资金图谱特征为核心，融合动态图树模型、CatBoost与轻量TGN，仅按验证集PR-AUC、Top5%召回和AUC自动定权，避免测试集手工调参；</w:t>
      </w:r>
    </w:p>
    <w:p w14:paraId="4AA8FC4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（3）关联账户与资金结构挖掘创新：Top20关联账户+多跳路径+闭环/汇聚/分散结构，配合双层研判架构覆盖有边与缺边账户，不伪造无交易边的资金链路；</w:t>
      </w:r>
    </w:p>
    <w:p w14:paraId="3B932C2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合规可解释证据闭环创新：打通模型分数、图谱拓扑、业务特征，自动生成监管、公安采信标准化研判报告，解决 AI 模型黑盒、取证零散问题。</w:t>
      </w:r>
    </w:p>
    <w:p w14:paraId="34030F83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54" w:name="_Toc27894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（二）</w:t>
      </w:r>
      <w:r>
        <w:rPr>
          <w:rFonts w:hint="default"/>
          <w:lang w:val="en-US" w:eastAsia="zh-CN"/>
        </w:rPr>
        <w:t>银行落地综合价值测算</w:t>
      </w:r>
      <w:bookmarkEnd w:id="54"/>
    </w:p>
    <w:p w14:paraId="05AFC5AF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55" w:name="_Toc2293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1．</w:t>
      </w:r>
      <w:r>
        <w:rPr>
          <w:rFonts w:hint="default"/>
          <w:lang w:val="en-US" w:eastAsia="zh-CN"/>
        </w:rPr>
        <w:t>合规避险价值</w:t>
      </w:r>
      <w:bookmarkEnd w:id="55"/>
    </w:p>
    <w:p w14:paraId="5B318F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完整留存可视化资金链路与标准化证据链，满足央行、金监总局、公安线索移送要求，规避团伙漏检、溯源不全带来的百万级监管处罚。</w:t>
      </w:r>
    </w:p>
    <w:p w14:paraId="7AEE5D43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56" w:name="_Toc5576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2．</w:t>
      </w:r>
      <w:r>
        <w:rPr>
          <w:rFonts w:hint="default"/>
          <w:lang w:val="en-US" w:eastAsia="zh-CN"/>
        </w:rPr>
        <w:t>人力</w:t>
      </w:r>
      <w:r>
        <w:rPr>
          <w:rFonts w:hint="default"/>
          <w:b/>
          <w:lang w:val="en-US" w:eastAsia="zh-CN"/>
        </w:rPr>
        <w:t>运营</w:t>
      </w:r>
      <w:r>
        <w:rPr>
          <w:rFonts w:hint="default"/>
          <w:lang w:val="en-US" w:eastAsia="zh-CN"/>
        </w:rPr>
        <w:t>价值</w:t>
      </w:r>
      <w:bookmarkEnd w:id="56"/>
    </w:p>
    <w:p w14:paraId="7813D6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按业务侧测算，单团伙研判工时由4小时压缩至10分钟，人工流水梳理工作量下降70%，大幅缓解日均300+预警工单压力，释放人力处置重大涉诈案件。</w:t>
      </w:r>
    </w:p>
    <w:p w14:paraId="21EFE891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57" w:name="_Toc29034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3．</w:t>
      </w:r>
      <w:r>
        <w:rPr>
          <w:rFonts w:hint="default"/>
          <w:lang w:val="en-US" w:eastAsia="zh-CN"/>
        </w:rPr>
        <w:t>客户经营价值</w:t>
      </w:r>
      <w:bookmarkEnd w:id="57"/>
    </w:p>
    <w:p w14:paraId="75CEF2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按业务侧测算，摆脱一刀切风控拦截，精准区分正常商户与跑分团伙，转账误拦截投诉下降80%，降低零售客户流失风险，平衡反诈管控与客户服务体验。</w:t>
      </w:r>
    </w:p>
    <w:p w14:paraId="4EAAB3E8">
      <w:pPr>
        <w:pStyle w:val="4"/>
        <w:numPr>
          <w:ilvl w:val="2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bookmarkStart w:id="58" w:name="_Toc10895"/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4．</w:t>
      </w:r>
      <w:r>
        <w:rPr>
          <w:rFonts w:hint="default"/>
          <w:lang w:val="en-US" w:eastAsia="zh-CN"/>
        </w:rPr>
        <w:t>部署</w:t>
      </w:r>
      <w:r>
        <w:rPr>
          <w:rFonts w:hint="default"/>
          <w:b/>
          <w:lang w:val="en-US" w:eastAsia="zh-CN"/>
        </w:rPr>
        <w:t>成本</w:t>
      </w:r>
      <w:r>
        <w:rPr>
          <w:rFonts w:hint="default"/>
          <w:lang w:val="en-US" w:eastAsia="zh-CN"/>
        </w:rPr>
        <w:t>价值</w:t>
      </w:r>
      <w:bookmarkEnd w:id="58"/>
    </w:p>
    <w:p w14:paraId="0978C0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无需采购第三方外部行为数据、百万级商用图集群，依托银行现有普通服务器即可部署，软硬件运维成本大幅降低，可批量复制至省内中小城商行。</w:t>
      </w:r>
    </w:p>
    <w:p w14:paraId="13F02FEA">
      <w:pPr>
        <w:pStyle w:val="2"/>
        <w:numPr>
          <w:ilvl w:val="0"/>
          <w:numId w:val="0"/>
        </w:numPr>
        <w:bidi w:val="0"/>
        <w:ind w:left="0" w:leftChars="0" w:firstLine="641" w:firstLineChars="200"/>
        <w:rPr>
          <w:rFonts w:hint="default"/>
          <w:lang w:val="en-US" w:eastAsia="zh-CN"/>
        </w:rPr>
      </w:pPr>
      <w:bookmarkStart w:id="59" w:name="_Toc25843"/>
      <w:r>
        <w:rPr>
          <w:rFonts w:hint="eastAsia" w:asciiTheme="minorAscii" w:hAnsiTheme="minorAscii" w:eastAsiaTheme="minorEastAsia" w:cstheme="minorBidi"/>
          <w:b/>
          <w:kern w:val="44"/>
          <w:sz w:val="32"/>
          <w:szCs w:val="24"/>
          <w:lang w:val="en-US" w:eastAsia="zh-CN" w:bidi="ar-SA"/>
        </w:rPr>
        <w:t>六、</w:t>
      </w:r>
      <w:r>
        <w:t>总结与未来展望</w:t>
      </w:r>
      <w:bookmarkEnd w:id="59"/>
    </w:p>
    <w:p w14:paraId="0D65F18A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60" w:name="_Toc26238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（一）</w:t>
      </w:r>
      <w:r>
        <w:rPr>
          <w:rFonts w:hint="default"/>
          <w:lang w:val="en-US" w:eastAsia="zh-CN"/>
        </w:rPr>
        <w:t>研究工作总结</w:t>
      </w:r>
      <w:bookmarkEnd w:id="60"/>
    </w:p>
    <w:p w14:paraId="646F3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紧扣江苏银行揭榜挂帅反诈赛题需求，针对中小银行数据受限、算力不足、人工研判低效、商用图谱落地难四大痛点，搭建“滚动动态资金图谱+验证集选择融合+分层证据研判”全流程反诈解决方案。完整完成动态图谱构建、涉诈账户识别、关联账户与可疑链路解释、研判报告生成四大任务；多基线对照实验证明正式时间留出口径下模型量化指标达标，可输出可核查的关联账户与资金结构证据。</w:t>
      </w:r>
    </w:p>
    <w:p w14:paraId="48E0087C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61" w:name="_Toc26918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（二）</w:t>
      </w:r>
      <w:r>
        <w:rPr>
          <w:rFonts w:hint="default"/>
          <w:lang w:val="en-US" w:eastAsia="zh-CN"/>
        </w:rPr>
        <w:t>方案现存局限性</w:t>
      </w:r>
      <w:bookmarkEnd w:id="61"/>
    </w:p>
    <w:p w14:paraId="077D25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（1）原始风险标签表没有标签确认时间，当前结果只能表述为最终标签监督下的滚动动态特征评估，不能严格宣称预测未来新增风险标签；</w:t>
      </w:r>
    </w:p>
    <w:p w14:paraId="1919A0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（2）59个确认嫌疑人中56个在交易边表内没有任何入边或出边，无法生成真实资金链路，只能输出缺边审计与补数恢复队列；</w:t>
      </w:r>
    </w:p>
    <w:p w14:paraId="1376FB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（3）五折账户级交叉验证显示底层模型存在过拟合风险（动态RandomForest五折训练PR-AUC 0.7677、验证0.1052；CatBoost 0.3329、0.1056），正式时间留出指标不能等价于未见账户泛化；</w:t>
      </w:r>
    </w:p>
    <w:p w14:paraId="060D3369">
      <w:pPr>
        <w:pStyle w:val="3"/>
        <w:numPr>
          <w:ilvl w:val="1"/>
          <w:numId w:val="0"/>
        </w:numPr>
        <w:bidi w:val="0"/>
        <w:ind w:left="0" w:leftChars="0" w:firstLine="561" w:firstLineChars="200"/>
        <w:rPr>
          <w:rFonts w:hint="default"/>
          <w:lang w:val="en-US" w:eastAsia="zh-CN"/>
        </w:rPr>
      </w:pPr>
      <w:bookmarkStart w:id="62" w:name="_Toc16130"/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（三）</w:t>
      </w:r>
      <w:r>
        <w:rPr>
          <w:rFonts w:hint="default"/>
          <w:lang w:val="en-US" w:eastAsia="zh-CN"/>
        </w:rPr>
        <w:t>后续优化拓展方向</w:t>
      </w:r>
      <w:bookmarkEnd w:id="62"/>
    </w:p>
    <w:p w14:paraId="2B9F5B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对接柜面、ATM 取现数据，补充线下资金节点，补齐链路追踪盲区；</w:t>
      </w:r>
    </w:p>
    <w:p w14:paraId="023556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引入 Flink 流计算框架，搭建实时动态资金图谱，实现交易实时风险预警；</w:t>
      </w:r>
    </w:p>
    <w:p w14:paraId="47491E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接入轻量化金融大模型，拓展案情智能摘要、风险问答等赛题加分功能；</w:t>
      </w:r>
    </w:p>
    <w:p w14:paraId="630F23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搭建跨机构共享图谱，实现银行间团伙账户互通，进一步扩大团伙检出覆盖范围。</w:t>
      </w:r>
    </w:p>
    <w:p w14:paraId="5F3F7EFB">
      <w:pPr>
        <w:pStyle w:val="2"/>
        <w:numPr>
          <w:ilvl w:val="0"/>
          <w:numId w:val="0"/>
        </w:numPr>
        <w:bidi w:val="0"/>
        <w:ind w:leftChars="200"/>
        <w:jc w:val="center"/>
        <w:rPr>
          <w:rFonts w:hint="default"/>
          <w:highlight w:val="yellow"/>
          <w:lang w:val="en-US" w:eastAsia="zh-CN"/>
        </w:rPr>
      </w:pPr>
      <w:bookmarkStart w:id="63" w:name="_Toc2272"/>
      <w:r>
        <w:rPr>
          <w:rFonts w:hint="default"/>
          <w:highlight w:val="yellow"/>
          <w:lang w:val="en-US" w:eastAsia="zh-CN"/>
        </w:rPr>
        <w:t>参考文献</w:t>
      </w:r>
      <w:bookmarkEnd w:id="63"/>
    </w:p>
    <w:p w14:paraId="14739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 第五届中国研究生金融科技创新大赛江苏银行赛题说明，2026</w:t>
      </w:r>
    </w:p>
    <w:p w14:paraId="3B8FD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[2] 中华人民共和国反电信网络诈骗法</w:t>
      </w:r>
    </w:p>
    <w:p w14:paraId="126A4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[3] 金融机构大额交易和可疑交易报告管理（2025 央行 10 号令）</w:t>
      </w:r>
    </w:p>
    <w:p w14:paraId="767AD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[4] Thoughtworks 2026 银行业金融反欺诈白皮书</w:t>
      </w:r>
    </w:p>
    <w:p w14:paraId="087F7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[5] 工商银行天镜资金图谱风控落地案例</w:t>
      </w:r>
    </w:p>
    <w:p w14:paraId="37EE4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[6] 动态图神经网络在金融反欺诈中的应用研究</w:t>
      </w:r>
    </w:p>
    <w:p w14:paraId="61FBD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[7] 涉赌涉诈资金查控操作规范（2025 修订版）</w:t>
      </w:r>
    </w:p>
    <w:p w14:paraId="630F3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[8] 银发〔2016〕261 号 支付结算反诈管理通知</w:t>
      </w:r>
    </w:p>
    <w:p w14:paraId="18AFEF79">
      <w:pPr>
        <w:rPr>
          <w:rFonts w:hint="default"/>
          <w:lang w:val="en-US" w:eastAsia="zh-CN"/>
        </w:rPr>
      </w:pPr>
    </w:p>
    <w:p w14:paraId="10BCAEF3">
      <w:pPr>
        <w:pStyle w:val="2"/>
        <w:numPr>
          <w:ilvl w:val="0"/>
          <w:numId w:val="0"/>
        </w:numPr>
        <w:bidi w:val="0"/>
        <w:ind w:leftChars="200"/>
        <w:jc w:val="center"/>
        <w:rPr>
          <w:rFonts w:hint="default"/>
          <w:lang w:val="en-US" w:eastAsia="zh-CN"/>
        </w:rPr>
      </w:pPr>
      <w:bookmarkStart w:id="64" w:name="_Toc23071"/>
      <w:r>
        <w:rPr>
          <w:rFonts w:hint="default"/>
          <w:lang w:val="en-US" w:eastAsia="zh-CN"/>
        </w:rPr>
        <w:t>附录</w:t>
      </w:r>
      <w:bookmarkEnd w:id="64"/>
    </w:p>
    <w:p w14:paraId="32170927">
      <w:pPr>
        <w:pStyle w:val="2"/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bookmarkStart w:id="65" w:name="_Toc26185"/>
      <w:r>
        <w:rPr>
          <w:rFonts w:hint="default"/>
          <w:lang w:val="en-US" w:eastAsia="zh-CN"/>
        </w:rPr>
        <w:t>附录 A 全流程代码说明</w:t>
      </w:r>
      <w:bookmarkEnd w:id="65"/>
    </w:p>
    <w:p w14:paraId="15766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源代码见src/01_data_cleaning.py至src/25_model_rule_aware_calibrator.py，运行顺序、数据放置与Conda环境见DEPLOYMENT.md；核心交付物包括task1动态窗口定义、task2指标汇总、task3关联账户/可疑路径/资金结构/缺边恢复队列、task4研判报告样例与人工抽检表；最终模型为models/model11_validation_selected_best_strategy_A.json（含动态图树融合模型/CatBoost/TGN权重）。提交前运行python src/13_final_project_audit.py与python src/14_submission_audit.py，两个审计均输出status=pass、error_count=0。</w:t>
      </w:r>
    </w:p>
    <w:p w14:paraId="4B4C9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【引用 1】【自主创作】</w:t>
      </w:r>
    </w:p>
    <w:p w14:paraId="705D418A">
      <w:pPr>
        <w:pStyle w:val="2"/>
        <w:numPr>
          <w:ilvl w:val="0"/>
          <w:numId w:val="0"/>
        </w:numPr>
        <w:bidi w:val="0"/>
        <w:ind w:leftChars="200"/>
        <w:rPr>
          <w:rFonts w:hint="eastAsia" w:eastAsiaTheme="minorEastAsia"/>
          <w:lang w:val="en-US" w:eastAsia="zh"/>
          <w:woUserID w:val="3"/>
        </w:rPr>
      </w:pPr>
      <w:bookmarkStart w:id="66" w:name="_Toc23751"/>
      <w:r>
        <w:rPr>
          <w:rFonts w:hint="default"/>
          <w:lang w:val="en-US" w:eastAsia="zh-CN"/>
        </w:rPr>
        <w:t>附录 B 标准化反诈研判报告完整样例</w:t>
      </w:r>
      <w:bookmarkEnd w:id="66"/>
      <w:r>
        <w:rPr>
          <w:rFonts w:hint="eastAsia"/>
          <w:lang w:val="en-US" w:eastAsia="zh"/>
          <w:woUserID w:val="3"/>
        </w:rPr>
        <w:t>（高怡）</w:t>
      </w:r>
    </w:p>
    <w:p w14:paraId="6BBC5190">
      <w:pPr>
        <w:ind w:firstLine="630" w:firstLineChars="3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(表B1) 涉诈风险三级证据判定完整总表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1221"/>
        <w:gridCol w:w="1162"/>
        <w:gridCol w:w="1029"/>
        <w:gridCol w:w="1068"/>
        <w:gridCol w:w="1019"/>
        <w:gridCol w:w="1201"/>
        <w:gridCol w:w="936"/>
      </w:tblGrid>
      <w:tr w14:paraId="14608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14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3"/>
              </w:rPr>
              <w:t>涉诈风险三级证据判定完整总表</w:t>
            </w:r>
          </w:p>
        </w:tc>
      </w:tr>
      <w:tr w14:paraId="09B58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4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证据层级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C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核心判定规则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4E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具体风险特征明细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08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对应评分体系规则</w:t>
            </w:r>
          </w:p>
        </w:tc>
        <w:tc>
          <w:tcPr>
            <w:tcW w:w="6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E5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综合评分区间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06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绑定风险等级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D4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必须归档取证材料</w:t>
            </w:r>
          </w:p>
        </w:tc>
        <w:tc>
          <w:tcPr>
            <w:tcW w:w="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09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适用账户类型</w:t>
            </w:r>
          </w:p>
        </w:tc>
      </w:tr>
      <w:tr w14:paraId="3FBA1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</w:trPr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1B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一级铁证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EA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单条即可直接判定高危，无需叠加其他特征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19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1. 账户 / 开户人命中公安涉案库、断卡惩戒名单、电诈在逃人员库2. 账户接收公安止付赃款、流水含受害人被骗转账记录3. 客户承认出租 / 出售银行卡，面谈失联、拒绝配合资金核实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63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命中后直接触发高额加分，综合分拉满至 15 分以上</w:t>
            </w:r>
          </w:p>
        </w:tc>
        <w:tc>
          <w:tcPr>
            <w:tcW w:w="6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EB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≥15 分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39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高风险 / 极高风险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DA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黑名单查询截图、公安协查回执、标注完整的交易流水、警银推送报文、客户面谈笔录 / 通话录音</w:t>
            </w:r>
          </w:p>
        </w:tc>
        <w:tc>
          <w:tcPr>
            <w:tcW w:w="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A5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全量账户（有交易 / 无交易缺边账户均适用）</w:t>
            </w:r>
          </w:p>
        </w:tc>
      </w:tr>
      <w:tr w14:paraId="4B755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0" w:hRule="atLeast"/>
        </w:trPr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26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二级关联证据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BE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无一级铁证时，累计≥3 条可判定中风险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2E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【交易行为类・直接交易维度加分】1. 分散入账集中转出、大额拆分小额转出2. 资金 24 小时内快进快出，无合理留存3. 夜间 22:00 - 次日 06:00 高频转账4. 休眠账户短期突击大额交易5. 多笔小额测试转账后立即大额转出【网络关联类・关联网络维度加分】1. 1 跳 / 2 跳关联受害人、涉案账户2. 多层跨账户资金跳转，形成环形闭环3. 大量陌生异地交易对手【开户静态类・账户特征维度加分】1. 开户时长＜12 个月2. 多人共用手机号 / IP 批量开户3. 异地代办、开户当日全额转出资金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79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单条特征对应评分体系对应维度基础加分，3 条累计后综合分达标</w:t>
            </w:r>
          </w:p>
        </w:tc>
        <w:tc>
          <w:tcPr>
            <w:tcW w:w="6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A6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8~14 分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BF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中风险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06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完整交易流水明细、资金链路图谱快照、关联账户清单、开户凭证材料</w:t>
            </w:r>
          </w:p>
        </w:tc>
        <w:tc>
          <w:tcPr>
            <w:tcW w:w="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88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Style w:val="22"/>
                <w:lang w:val="en-US" w:eastAsia="zh-CN" w:bidi="ar"/>
                <w:woUserID w:val="3"/>
              </w:rPr>
              <w:t>仅适用</w:t>
            </w:r>
            <w:r>
              <w:rPr>
                <w:rStyle w:val="23"/>
                <w:lang w:val="en-US" w:eastAsia="zh-CN" w:bidi="ar"/>
                <w:woUserID w:val="3"/>
              </w:rPr>
              <w:t>有交易流水账户</w:t>
            </w:r>
            <w:r>
              <w:rPr>
                <w:rStyle w:val="22"/>
                <w:lang w:val="en-US" w:eastAsia="zh-CN" w:bidi="ar"/>
                <w:woUserID w:val="3"/>
              </w:rPr>
              <w:t>（项目中 4379、7265、1740 等 3 个嫌疑人账户）</w:t>
            </w:r>
          </w:p>
        </w:tc>
      </w:tr>
      <w:tr w14:paraId="0CD3B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53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三级微弱线索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A2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仅单一轻微异常，无二级特征叠加，仅纳入常规监测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F9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1. 单笔异地小额转账2. 开户时长 6-12 个月3. 短期更换预留手机号4. 单户单日小额交易笔数略高于均值</w:t>
            </w:r>
          </w:p>
        </w:tc>
        <w:tc>
          <w:tcPr>
            <w:tcW w:w="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9C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仅账户特征维度少量加分，无其他维度加分</w:t>
            </w:r>
          </w:p>
        </w:tc>
        <w:tc>
          <w:tcPr>
            <w:tcW w:w="6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76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3~7 分</w:t>
            </w:r>
          </w:p>
        </w:tc>
        <w:tc>
          <w:tcPr>
            <w:tcW w:w="6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AA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低风险</w:t>
            </w:r>
          </w:p>
        </w:tc>
        <w:tc>
          <w:tcPr>
            <w:tcW w:w="7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98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账户基础信息截图、单条交易流水记录</w:t>
            </w:r>
          </w:p>
        </w:tc>
        <w:tc>
          <w:tcPr>
            <w:tcW w:w="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3B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全量账户，项目中 56 个无交易缺边嫌疑人仅能提取此类线索</w:t>
            </w:r>
          </w:p>
        </w:tc>
      </w:tr>
    </w:tbl>
    <w:p w14:paraId="21E31C00">
      <w:pPr>
        <w:ind w:firstLine="630" w:firstLineChars="300"/>
        <w:rPr>
          <w:rFonts w:hint="eastAsia"/>
          <w:lang w:val="en-US" w:eastAsia="zh"/>
          <w:woUserID w:val="3"/>
        </w:rPr>
      </w:pPr>
    </w:p>
    <w:p w14:paraId="77FC3747">
      <w:pPr>
        <w:ind w:left="0" w:leftChars="0" w:firstLine="630" w:firstLineChars="3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(表B2)无交易缺边账户判定规则表</w:t>
      </w:r>
    </w:p>
    <w:p w14:paraId="7025B5CE">
      <w:pPr>
        <w:ind w:left="0" w:leftChars="0" w:firstLine="630" w:firstLineChars="300"/>
        <w:rPr>
          <w:rFonts w:hint="eastAsia"/>
          <w:lang w:val="en-US" w:eastAsia="zh"/>
          <w:woUserID w:val="3"/>
        </w:rPr>
      </w:pP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190"/>
        <w:gridCol w:w="1389"/>
        <w:gridCol w:w="1747"/>
        <w:gridCol w:w="1220"/>
        <w:gridCol w:w="1292"/>
      </w:tblGrid>
      <w:tr w14:paraId="07DE2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88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3"/>
              </w:rPr>
              <w:t>无交易缺边账户判定规则表</w:t>
            </w:r>
          </w:p>
        </w:tc>
      </w:tr>
      <w:tr w14:paraId="630F5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66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账户类型</w:t>
            </w:r>
          </w:p>
        </w:tc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2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前置条件</w:t>
            </w:r>
          </w:p>
        </w:tc>
        <w:tc>
          <w:tcPr>
            <w:tcW w:w="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D3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判定规则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A9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最终风险等级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32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处置要求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D5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归档材料</w:t>
            </w:r>
          </w:p>
        </w:tc>
      </w:tr>
      <w:tr w14:paraId="56DAA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45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无交易缺边嫌疑人账户</w:t>
            </w:r>
          </w:p>
        </w:tc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C4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无任何交易流水，无法提取交易 / 网络类证据</w:t>
            </w:r>
          </w:p>
        </w:tc>
        <w:tc>
          <w:tcPr>
            <w:tcW w:w="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D6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命中 1 条及以上一级铁证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2E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高风险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79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紧急人工复核，限制非柜交易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6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黑名单查询截图、公安协查回执</w:t>
            </w:r>
          </w:p>
        </w:tc>
      </w:tr>
      <w:tr w14:paraId="5569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E1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无交易缺边嫌疑人账户</w:t>
            </w:r>
          </w:p>
        </w:tc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7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无任何交易流水，无法提取交易 / 网络类证据</w:t>
            </w:r>
          </w:p>
        </w:tc>
        <w:tc>
          <w:tcPr>
            <w:tcW w:w="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81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无一级铁证，仅存在 1 条及以上三级微弱线索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C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低风险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F0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仅纳入月度常规监测，进入缺边审计恢复队列，待补充交易流水后重新核验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60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账户静态画像审计记录、风险线索清单</w:t>
            </w:r>
          </w:p>
        </w:tc>
      </w:tr>
      <w:tr w14:paraId="32E98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9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EF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无交易缺边嫌疑人账户</w:t>
            </w:r>
          </w:p>
        </w:tc>
        <w:tc>
          <w:tcPr>
            <w:tcW w:w="6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19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无任何交易流水，无法提取交易 / 网络类证据</w:t>
            </w:r>
          </w:p>
        </w:tc>
        <w:tc>
          <w:tcPr>
            <w:tcW w:w="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C2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无任何风险线索</w:t>
            </w:r>
          </w:p>
        </w:tc>
        <w:tc>
          <w:tcPr>
            <w:tcW w:w="10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6B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待观察</w:t>
            </w:r>
          </w:p>
        </w:tc>
        <w:tc>
          <w:tcPr>
            <w:tcW w:w="7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0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无管控，正常账户监测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19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账户基础信息核查记录</w:t>
            </w:r>
          </w:p>
        </w:tc>
      </w:tr>
    </w:tbl>
    <w:p w14:paraId="14A01963">
      <w:pPr>
        <w:ind w:left="0" w:leftChars="0" w:firstLine="630" w:firstLineChars="300"/>
        <w:rPr>
          <w:rFonts w:hint="eastAsia"/>
          <w:lang w:val="en-US" w:eastAsia="zh"/>
          <w:woUserID w:val="3"/>
        </w:rPr>
      </w:pPr>
    </w:p>
    <w:p w14:paraId="4053CDB2">
      <w:pPr>
        <w:ind w:left="0" w:leftChars="0" w:firstLine="630" w:firstLineChars="300"/>
        <w:rPr>
          <w:rFonts w:hint="eastAsia"/>
          <w:lang w:val="en-US" w:eastAsia="zh"/>
          <w:woUserID w:val="3"/>
        </w:rPr>
      </w:pPr>
    </w:p>
    <w:p w14:paraId="11E17954">
      <w:pPr>
        <w:ind w:left="0" w:leftChars="0" w:firstLine="630" w:firstLineChars="300"/>
        <w:rPr>
          <w:rFonts w:hint="eastAsia"/>
          <w:lang w:val="en-US" w:eastAsia="zh"/>
          <w:woUserID w:val="3"/>
        </w:rPr>
      </w:pPr>
    </w:p>
    <w:p w14:paraId="2A18464A">
      <w:pPr>
        <w:ind w:left="0" w:leftChars="0" w:firstLine="0" w:firstLineChars="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 xml:space="preserve">      (表B3)风险等级与标准化处置策略表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687"/>
        <w:gridCol w:w="1819"/>
        <w:gridCol w:w="1744"/>
        <w:gridCol w:w="1771"/>
      </w:tblGrid>
      <w:tr w14:paraId="23230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22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:woUserID w:val="3"/>
              </w:rPr>
              <w:t>风险等级与标准化处置策略表</w:t>
            </w:r>
          </w:p>
        </w:tc>
      </w:tr>
      <w:tr w14:paraId="0BD4C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8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综合风险评分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34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对应风险等级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EA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匹配证据层级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5B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标准化处置要求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9E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研判报告要求</w:t>
            </w:r>
          </w:p>
        </w:tc>
      </w:tr>
      <w:tr w14:paraId="6BC2B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68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≥25 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极高风险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C5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命中 1 条一级铁证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1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立即止付冻结，30 分钟内推送反诈中心，同步上报可疑交易报告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11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1 小时内完成全链路研判报告，附资金流向图谱、受害人关联证据</w:t>
            </w:r>
          </w:p>
        </w:tc>
      </w:tr>
      <w:tr w14:paraId="5FA11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11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15~24 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17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高风险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24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命中 1 条一级铁证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04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紧急人工复核，限制全部非柜交易，24 小时内完成管控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66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2 小时内完成核心证据固定，生成标准化研判报告</w:t>
            </w:r>
          </w:p>
        </w:tc>
      </w:tr>
      <w:tr w14:paraId="00FDA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42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8~14 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E5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中风险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96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累计≥3 条二级关联证据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DE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2 小时内完成人工研判，限制大额交易，72 小时内完成全量核查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86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必须生成完整资金链路研判报告，附交易流水、图谱快照</w:t>
            </w:r>
          </w:p>
        </w:tc>
      </w:tr>
      <w:tr w14:paraId="2D9F5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8A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3~7 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4C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低风险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8B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 1 条三级微弱线索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24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月度常规监测，不限制账户功能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99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仅留存风险线索记录，无需生成正式研判报告</w:t>
            </w:r>
          </w:p>
        </w:tc>
      </w:tr>
      <w:tr w14:paraId="088FE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99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0~2 分</w:t>
            </w:r>
          </w:p>
        </w:tc>
        <w:tc>
          <w:tcPr>
            <w:tcW w:w="9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14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待观察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6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无任何风险线索</w:t>
            </w:r>
          </w:p>
        </w:tc>
        <w:tc>
          <w:tcPr>
            <w:tcW w:w="10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CD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无管控，纳入正常账户监测范围</w:t>
            </w:r>
          </w:p>
        </w:tc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35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:woUserID w:val="3"/>
              </w:rPr>
              <w:t>仅留存账户基础核查记录</w:t>
            </w:r>
          </w:p>
        </w:tc>
      </w:tr>
    </w:tbl>
    <w:p w14:paraId="02BB8793">
      <w:pPr>
        <w:ind w:left="0" w:leftChars="0" w:firstLine="0" w:firstLineChars="0"/>
        <w:rPr>
          <w:rFonts w:hint="eastAsia"/>
          <w:lang w:val="en-US" w:eastAsia="zh"/>
          <w:woUserID w:val="3"/>
        </w:rPr>
      </w:pPr>
    </w:p>
    <w:p w14:paraId="422CF6F2">
      <w:pPr>
        <w:ind w:left="0" w:leftChars="0" w:firstLine="630" w:firstLineChars="3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(表B4)反诈辅助研判报告：</w:t>
      </w:r>
      <w:r>
        <w:rPr>
          <w:rFonts w:hint="eastAsia"/>
          <w:lang w:val="en-US" w:eastAsia="zh"/>
          <w:woUserID w:val="3"/>
        </w:rPr>
        <w:fldChar w:fldCharType="begin"/>
      </w:r>
      <w:r>
        <w:rPr>
          <w:rFonts w:hint="eastAsia"/>
          <w:lang w:val="en-US" w:eastAsia="zh"/>
          <w:woUserID w:val="3"/>
        </w:rPr>
        <w:instrText xml:space="preserve"> HYPERLINK "https://www.kdocs.cn/l/cicyfArpRCkC" </w:instrText>
      </w:r>
      <w:r>
        <w:rPr>
          <w:rFonts w:hint="eastAsia"/>
          <w:lang w:val="en-US" w:eastAsia="zh"/>
          <w:woUserID w:val="3"/>
        </w:rPr>
        <w:fldChar w:fldCharType="separate"/>
      </w:r>
      <w:r>
        <w:rPr>
          <w:rStyle w:val="19"/>
          <w:rFonts w:hint="eastAsia"/>
          <w:lang w:val="en-US" w:eastAsia="zh"/>
          <w:woUserID w:val="3"/>
        </w:rPr>
        <w:t>https://www.kdocs.cn/l/cicyfArpRCkC</w:t>
      </w:r>
      <w:r>
        <w:rPr>
          <w:rFonts w:hint="eastAsia"/>
          <w:lang w:val="en-US" w:eastAsia="zh"/>
          <w:woUserID w:val="3"/>
        </w:rPr>
        <w:fldChar w:fldCharType="end"/>
      </w:r>
      <w:r>
        <w:rPr>
          <w:rFonts w:hint="eastAsia"/>
          <w:lang w:val="en-US" w:eastAsia="zh"/>
          <w:woUserID w:val="3"/>
        </w:rPr>
        <w:t xml:space="preserve"> </w:t>
      </w:r>
    </w:p>
    <w:p w14:paraId="1A569DEE">
      <w:pPr>
        <w:ind w:left="0" w:leftChars="0" w:firstLine="630" w:firstLineChars="3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中华人民共和国反洗钱法__中国政府网：</w:t>
      </w:r>
      <w:r>
        <w:rPr>
          <w:rFonts w:hint="eastAsia"/>
          <w:lang w:val="en-US" w:eastAsia="zh"/>
          <w:woUserID w:val="3"/>
        </w:rPr>
        <w:fldChar w:fldCharType="begin"/>
      </w:r>
      <w:r>
        <w:rPr>
          <w:rFonts w:hint="eastAsia"/>
          <w:lang w:val="en-US" w:eastAsia="zh"/>
          <w:woUserID w:val="3"/>
        </w:rPr>
        <w:instrText xml:space="preserve"> HYPERLINK "https://www.kdocs.cn/l/ceLOoIWFwqC2" </w:instrText>
      </w:r>
      <w:r>
        <w:rPr>
          <w:rFonts w:hint="eastAsia"/>
          <w:lang w:val="en-US" w:eastAsia="zh"/>
          <w:woUserID w:val="3"/>
        </w:rPr>
        <w:fldChar w:fldCharType="separate"/>
      </w:r>
      <w:r>
        <w:rPr>
          <w:rStyle w:val="19"/>
          <w:rFonts w:hint="eastAsia"/>
          <w:lang w:val="en-US" w:eastAsia="zh"/>
          <w:woUserID w:val="3"/>
        </w:rPr>
        <w:t>https://www.kdocs.cn/l/ceLOoIWFwqC2</w:t>
      </w:r>
      <w:r>
        <w:rPr>
          <w:rFonts w:hint="eastAsia"/>
          <w:lang w:val="en-US" w:eastAsia="zh"/>
          <w:woUserID w:val="3"/>
        </w:rPr>
        <w:fldChar w:fldCharType="end"/>
      </w:r>
    </w:p>
    <w:p w14:paraId="0FB5A5F9">
      <w:pPr>
        <w:ind w:left="0" w:leftChars="0" w:firstLine="630" w:firstLineChars="3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中华人民共和国反电信网络诈骗法：</w:t>
      </w:r>
      <w:r>
        <w:rPr>
          <w:rFonts w:hint="eastAsia"/>
          <w:lang w:val="en-US" w:eastAsia="zh"/>
          <w:woUserID w:val="3"/>
        </w:rPr>
        <w:fldChar w:fldCharType="begin"/>
      </w:r>
      <w:r>
        <w:rPr>
          <w:rFonts w:hint="eastAsia"/>
          <w:lang w:val="en-US" w:eastAsia="zh"/>
          <w:woUserID w:val="3"/>
        </w:rPr>
        <w:instrText xml:space="preserve"> HYPERLINK "https://www.kdocs.cn/l/cciaMuvNw8N0" </w:instrText>
      </w:r>
      <w:r>
        <w:rPr>
          <w:rFonts w:hint="eastAsia"/>
          <w:lang w:val="en-US" w:eastAsia="zh"/>
          <w:woUserID w:val="3"/>
        </w:rPr>
        <w:fldChar w:fldCharType="separate"/>
      </w:r>
      <w:r>
        <w:rPr>
          <w:rStyle w:val="19"/>
          <w:rFonts w:hint="eastAsia"/>
          <w:lang w:val="en-US" w:eastAsia="zh"/>
          <w:woUserID w:val="3"/>
        </w:rPr>
        <w:t>https://www.kdocs.cn/l/cciaMuvNw8N0</w:t>
      </w:r>
      <w:r>
        <w:rPr>
          <w:rFonts w:hint="eastAsia"/>
          <w:lang w:val="en-US" w:eastAsia="zh"/>
          <w:woUserID w:val="3"/>
        </w:rPr>
        <w:fldChar w:fldCharType="end"/>
      </w:r>
      <w:r>
        <w:rPr>
          <w:rFonts w:hint="eastAsia"/>
          <w:lang w:val="en-US" w:eastAsia="zh"/>
          <w:woUserID w:val="3"/>
        </w:rPr>
        <w:t xml:space="preserve"> </w:t>
      </w:r>
    </w:p>
    <w:p w14:paraId="04D18C47">
      <w:pPr>
        <w:ind w:left="0" w:leftChars="0" w:firstLine="630" w:firstLineChars="300"/>
        <w:rPr>
          <w:rFonts w:hint="eastAsia"/>
          <w:lang w:val="en-US" w:eastAsia="zh"/>
          <w:woUserID w:val="3"/>
        </w:rPr>
      </w:pPr>
    </w:p>
    <w:p w14:paraId="3EDECD9E">
      <w:pPr>
        <w:pStyle w:val="2"/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bookmarkStart w:id="67" w:name="_Toc6219"/>
      <w:r>
        <w:rPr>
          <w:rFonts w:hint="default"/>
          <w:lang w:val="en-US" w:eastAsia="zh-CN"/>
        </w:rPr>
        <w:t>附录 C 实验指标汇总原始数据表</w:t>
      </w:r>
      <w:bookmarkEnd w:id="67"/>
    </w:p>
    <w:p w14:paraId="47876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多模型AUC、PR-AUC、Top5%覆盖率完整原始实验数据见正文表3；弱画像消融、五折审计和模型权重记录见outputs/metrics/*.json与readme.md。</w:t>
      </w:r>
    </w:p>
    <w:p w14:paraId="74C58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【自主创作】</w:t>
      </w:r>
    </w:p>
    <w:p w14:paraId="274D966C">
      <w:pPr>
        <w:pStyle w:val="2"/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bookmarkStart w:id="68" w:name="_Toc30965"/>
      <w:r>
        <w:rPr>
          <w:rFonts w:hint="default"/>
          <w:lang w:val="en-US" w:eastAsia="zh-CN"/>
        </w:rPr>
        <w:t>附录 D 典型案例资金图谱可视化样例</w:t>
      </w:r>
      <w:bookmarkEnd w:id="68"/>
    </w:p>
    <w:p w14:paraId="6523D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t>本附录聚焦于本项目基于测试集真实数据产出的可视化证据，不引用外部业务案例（CASE-001 至 CASE-005 仅用于正文第四章业务知识说明）。以下图谱全部由 outputs/clean/clean_transactions.csv 中的真实交易边生成，只读取截至 2025-12-31 的历史交易，不含未来数据；节点颜色、边宽与结构含义统一见本附录图例说明。</w:t>
      </w:r>
    </w:p>
    <w:p>
      <w:pPr>
        <w:spacing w:before="200" w:after="60"/>
      </w:pPr>
      <w:r>
        <w:rPr>
          <w:b/>
          <w:sz w:val="21"/>
        </w:rPr>
        <w:t>图 D-1 账户 4379（确认嫌疑人）资金链路子图：闭环回流结构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046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4379_loop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0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sz w:val="18"/>
        </w:rPr>
        <w:t>说明：账户 4379 模型风险分 0.9034，测试集排序第 814 名，标签为确认嫌疑人。2025-11-19 15:37:53 向 10662、10949 各转出 3000 元，15:38:14 两笔资金原路回流，间隔仅 21 秒。红色节点为确认嫌疑人，蓝色节点为普通账户，箭头表示资金方向，边宽按金额对数缩放。识别结构类型：闭环回流/快进快出（快速分散与归集模体）。</w:t>
      </w:r>
    </w:p>
    <w:p>
      <w:pPr>
        <w:spacing w:before="200" w:after="60"/>
      </w:pPr>
      <w:r>
        <w:rPr>
          <w:b/>
          <w:sz w:val="21"/>
        </w:rPr>
        <w:t>图 D-2 账户 1740（确认嫌疑人）资金链路子图：分散入账/星状汇聚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046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1740_sta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0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sz w:val="18"/>
        </w:rPr>
        <w:t>说明：账户 1740 模型风险分 0.7460，测试集排序第 2827 名。3863、7838 两个固定对手在 2025-07、2025-11、2025-12 三期分别向 1740 转入约 3084.40-3166.04 元，共 6 笔、合计 18828.88 元，呈稳定星状汇聚结构，符合资金池沉淀特征。</w:t>
      </w:r>
    </w:p>
    <w:p>
      <w:pPr>
        <w:spacing w:before="200" w:after="60"/>
      </w:pPr>
      <w:r>
        <w:rPr>
          <w:b/>
          <w:sz w:val="21"/>
        </w:rPr>
        <w:t>图 D-3 账户 7265（确认嫌疑人）资金链路子图：小额分散转出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046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7265_sta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0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sz w:val="18"/>
        </w:rPr>
        <w:t>说明：账户 7265 模型风险分 0.5801，测试集排序第 4906 名。账户向 1137、7238 两个固定对手重复转出 188.10-564.30 元，共 6 笔、合计 2633.40 元，呈小额星状试探结构，符合养号/鉴权测试阶段的低金额分散特征。</w:t>
      </w:r>
    </w:p>
    <w:p>
      <w:pPr>
        <w:spacing w:before="200" w:after="60"/>
      </w:pPr>
      <w:r>
        <w:rPr>
          <w:b/>
          <w:sz w:val="21"/>
        </w:rPr>
        <w:t>图 D-4 Top30 高风险巡检账户 9928 关联网络拓扑：双向闭环回流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046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9928_flo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0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</w:pPr>
      <w:r>
        <w:rPr>
          <w:sz w:val="18"/>
        </w:rPr>
        <w:t>说明：账户 9928 模型风险分 0.9797，进入 Top30 高风险巡检队列，标签为其它。3842、5584 与其在 2025-07、2025-08 反复互转，转入合计 690000 元、转出合计 1800000 元，金额逐笔放大，呈双向闭环回流/资金归集结构，属于值得人工复核的高风险关联网络。</w:t>
      </w:r>
    </w:p>
    <w:p>
      <w:pPr>
        <w:spacing w:before="40" w:after="160"/>
      </w:pPr>
      <w:r>
        <w:rPr>
          <w:sz w:val="18"/>
        </w:rPr>
        <w:t>图例说明：节点颜色，红色=确认嫌疑人，橙色=受害人，蓝色=其它；节点内显示账户ID、标签与模型风险分；箭头表示资金方向；边宽表示合计金额（对数缩放），边标签显示笔数与合计金额或单笔时间。所有图谱只使用截至测试期截止（2025-12-31）的历史交易，未使用未来交易。</w:t>
      </w:r>
    </w:p>
    <w:p>
      <w:pPr>
        <w:pStyle w:val="3"/>
      </w:pPr>
      <w:r>
        <w:t>数据局限与缺边审计</w:t>
      </w:r>
    </w:p>
    <w:p>
      <w:pPr>
        <w:spacing w:before="40" w:after="160"/>
      </w:pPr>
      <w:r>
        <w:rPr>
          <w:sz w:val="18"/>
        </w:rPr>
        <w:t>需要明确说明：59 个确认嫌疑账户中仅有 3 个（4379、1740、7265）在脱敏交易边表内存在真实交易边，其余 56 个账户在交易边表中无任何入边或出边。该缺边是原始抽样数据的客观事实，与清洗规则、ID 类型或时间窗口过滤无关；本项目不伪造路径，而是输出模型分数、节点画像、缺边审计与补数查询。表 D-1 为缺边审计记录样例。</w:t>
      </w:r>
    </w:p>
    <w:p>
      <w:pPr>
        <w:spacing w:before="200" w:after="60"/>
      </w:pPr>
      <w:r>
        <w:rPr>
          <w:b/>
          <w:sz w:val="21"/>
        </w:rPr>
        <w:t>表 D-1 缺边审计记录样例（排名前 6 的确认嫌疑人）</w:t>
      </w:r>
    </w:p>
    <w:tbl>
      <w:tblPr>
        <w:tblStyle w:val="16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账户ID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模型风险分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测试集排序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历史交易数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解释等级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边覆盖状态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6"/>
              </w:rPr>
              <w:t>证据说明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4951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0.9902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未出现于交易边表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交易边表未覆盖该账户，无法生成可信链路</w:t>
            </w:r>
          </w:p>
        </w:tc>
      </w:tr>
    </w:tbl>
    <w:p>
      <w:pPr>
        <w:spacing w:before="40" w:after="160"/>
      </w:pPr>
      <w:r>
        <w:rPr>
          <w:sz w:val="18"/>
        </w:rPr>
        <w:t>说明：解释等级 D 表示数据缺边型，不生成任何推测链路；完整 59 账户审计见 outputs/explanations/layered/confirmed_suspect_explainability_audit.csv 与 docs/confirmed_suspect_explainability_audit.md。缺边账户不代表模型没有风险判断，其风险分来自账户画像与图基座特征；账户级五折留出验证 Top5% 召回约 44%，应作为补数复核线索，补齐外部设备/IP/开户批次等关联后再重建真实资金链路。</w:t>
      </w:r>
    </w:p>
    <w:p>
      <w:pPr>
        <w:spacing w:before="40" w:after="160"/>
      </w:pPr>
      <w:r>
        <w:rPr>
          <w:sz w:val="18"/>
        </w:rPr>
        <w:t>可复现：python src/26_data_edge_coverage_audit.py（边覆盖审计）、python src/09_dynamic_graph_viz.py（动态图谱页面）；本附录图片保存于 docs/images/，数据源为 outputs/clean/clean_transactions.csv 与 outputs/predictions/model11_validation_selected_best_strategy_A.csv。</w:t>
      </w:r>
    </w:p>
    <w:p w14:paraId="5F21C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【引用 3】【自主创作】</w:t>
      </w:r>
    </w:p>
    <w:p w14:paraId="29F7381E">
      <w:pPr>
        <w:pStyle w:val="2"/>
        <w:numPr>
          <w:ilvl w:val="0"/>
          <w:numId w:val="0"/>
        </w:numPr>
        <w:bidi w:val="0"/>
        <w:ind w:leftChars="200"/>
        <w:rPr>
          <w:rFonts w:hint="eastAsia" w:eastAsiaTheme="minorEastAsia"/>
          <w:lang w:val="en-US" w:eastAsia="zh"/>
          <w:woUserID w:val="2"/>
        </w:rPr>
      </w:pPr>
      <w:bookmarkStart w:id="69" w:name="_Toc3272"/>
      <w:r>
        <w:rPr>
          <w:rFonts w:hint="default"/>
          <w:lang w:val="en-US" w:eastAsia="zh-CN"/>
        </w:rPr>
        <w:t>附录 E 数据集字段字典、时序窗口切分文档</w:t>
      </w:r>
      <w:bookmarkEnd w:id="69"/>
      <w:r>
        <w:rPr>
          <w:rFonts w:hint="eastAsia"/>
          <w:lang w:val="en-US" w:eastAsia="zh"/>
          <w:woUserID w:val="2"/>
        </w:rPr>
        <w:t>（田涛）</w:t>
      </w:r>
    </w:p>
    <w:p w14:paraId="734B558E">
      <w:pPr>
        <w:pStyle w:val="4"/>
        <w:numPr>
          <w:ilvl w:val="0"/>
          <w:numId w:val="0"/>
        </w:numPr>
        <w:bidi w:val="0"/>
        <w:ind w:leftChars="200" w:firstLine="240" w:firstLineChars="100"/>
        <w:rPr>
          <w:rFonts w:hint="default"/>
          <w:lang w:val="en-US" w:eastAsia="zh-CN"/>
        </w:rPr>
      </w:pPr>
      <w:r>
        <w:rPr>
          <w:rFonts w:hint="eastAsia" w:ascii="Open Sans" w:hAnsi="Open Sans" w:eastAsia="Open Sans" w:cs="Open Sans"/>
          <w:caps w:val="0"/>
          <w:color w:val="0F1115"/>
          <w:spacing w:val="0"/>
          <w:shd w:val="clear" w:fill="FFFFFF"/>
          <w:lang w:eastAsia="zh"/>
          <w:woUserID w:val="2"/>
        </w:rPr>
        <w:t>1.</w:t>
      </w:r>
      <w:r>
        <w:rPr>
          <w:rFonts w:hint="default" w:ascii="Open Sans" w:hAnsi="Open Sans" w:eastAsia="Open Sans" w:cs="Open Sans"/>
          <w:caps w:val="0"/>
          <w:color w:val="0F1115"/>
          <w:spacing w:val="0"/>
          <w:shd w:val="clear" w:fill="FFFFFF"/>
          <w:woUserID w:val="2"/>
        </w:rPr>
        <w:t>交易边表字段说明</w:t>
      </w:r>
    </w:p>
    <w:tbl>
      <w:tblPr>
        <w:tblStyle w:val="1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314"/>
        <w:gridCol w:w="995"/>
        <w:gridCol w:w="2671"/>
        <w:gridCol w:w="1100"/>
        <w:gridCol w:w="1315"/>
      </w:tblGrid>
      <w:tr w14:paraId="69485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47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CA33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字段名</w:t>
            </w:r>
          </w:p>
        </w:tc>
        <w:tc>
          <w:tcPr>
            <w:tcW w:w="773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8707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中文含义</w:t>
            </w:r>
          </w:p>
        </w:tc>
        <w:tc>
          <w:tcPr>
            <w:tcW w:w="585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C590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取值类型</w:t>
            </w:r>
          </w:p>
        </w:tc>
        <w:tc>
          <w:tcPr>
            <w:tcW w:w="157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4E0F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取值区间</w:t>
            </w:r>
          </w:p>
        </w:tc>
        <w:tc>
          <w:tcPr>
            <w:tcW w:w="647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2AB2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缺失情况</w:t>
            </w:r>
          </w:p>
        </w:tc>
        <w:tc>
          <w:tcPr>
            <w:tcW w:w="773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F421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业务解释</w:t>
            </w:r>
          </w:p>
        </w:tc>
      </w:tr>
      <w:tr w14:paraId="7E400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47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A298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付款账户脱敏 id</w:t>
            </w:r>
          </w:p>
        </w:tc>
        <w:tc>
          <w:tcPr>
            <w:tcW w:w="773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A81B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付款方脱敏账户编号</w:t>
            </w:r>
          </w:p>
        </w:tc>
        <w:tc>
          <w:tcPr>
            <w:tcW w:w="585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EF6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int64</w:t>
            </w:r>
          </w:p>
        </w:tc>
        <w:tc>
          <w:tcPr>
            <w:tcW w:w="157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B56D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整数，最小值 1，最大值 11085</w:t>
            </w:r>
          </w:p>
        </w:tc>
        <w:tc>
          <w:tcPr>
            <w:tcW w:w="647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188A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无缺失，缺失率 0%</w:t>
            </w:r>
          </w:p>
        </w:tc>
        <w:tc>
          <w:tcPr>
            <w:tcW w:w="773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A48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每笔交易支出账户的匿名唯一标识，用于区分付款主体，可按该字段聚合统计付款流水、付款总额、付款频次</w:t>
            </w:r>
          </w:p>
        </w:tc>
      </w:tr>
      <w:tr w14:paraId="0D29E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EF63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收款账户脱敏 id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DFCA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收款方脱敏账户编号</w:t>
            </w: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CBE4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int64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DABA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整数，最小值 2，最大值 11086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F0F6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无缺失，缺失率 0%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D68D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每笔交易接收资金账户的匿名唯一标识，用于统计收款方流水、收款规模、资金流向链路</w:t>
            </w:r>
          </w:p>
        </w:tc>
      </w:tr>
      <w:tr w14:paraId="3410B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D99F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交易时间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77BF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交易发生时间</w:t>
            </w:r>
          </w:p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AF65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object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DE15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格式 YYYYMMDD HH:MM:SS，覆盖 2025 年 7 月 - 12 月，唯一值 394,851 个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889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无缺失，缺失率 0%</w:t>
            </w:r>
          </w:p>
        </w:tc>
        <w:tc>
          <w:tcPr>
            <w:tcW w:w="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7627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资金实际划转的精确时点，可按月 / 日 / 小时拆分，用于时段交易分析、时序风控排查</w:t>
            </w:r>
          </w:p>
        </w:tc>
      </w:tr>
      <w:tr w14:paraId="7F985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647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25CD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金额</w:t>
            </w:r>
          </w:p>
        </w:tc>
        <w:tc>
          <w:tcPr>
            <w:tcW w:w="773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57DA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本次交易资金数额</w:t>
            </w:r>
          </w:p>
        </w:tc>
        <w:tc>
          <w:tcPr>
            <w:tcW w:w="585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0FDE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float64</w:t>
            </w:r>
          </w:p>
        </w:tc>
        <w:tc>
          <w:tcPr>
            <w:tcW w:w="157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0838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最小 - 10000.00，最大 11580903619.09，保留 2 位小数</w:t>
            </w:r>
          </w:p>
        </w:tc>
        <w:tc>
          <w:tcPr>
            <w:tcW w:w="647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21C3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无缺失，缺失率 0%</w:t>
            </w:r>
          </w:p>
        </w:tc>
        <w:tc>
          <w:tcPr>
            <w:tcW w:w="773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8CBF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单笔转账金额，正数为正常转账支出，负数代表冲正 / 退款，用于识别可疑大额资金往来</w:t>
            </w:r>
          </w:p>
        </w:tc>
      </w:tr>
    </w:tbl>
    <w:p w14:paraId="1C9E90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4"/>
          <w:szCs w:val="24"/>
          <w:woUserID w:val="2"/>
        </w:rPr>
      </w:pPr>
    </w:p>
    <w:p w14:paraId="35BF3529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shd w:val="clear" w:fill="FFFFFF"/>
        <w:spacing w:before="480" w:beforeAutospacing="0" w:after="240" w:afterAutospacing="0" w:line="450" w:lineRule="atLeast"/>
        <w:ind w:leftChars="200" w:right="0" w:rightChars="0"/>
        <w:jc w:val="center"/>
        <w:rPr>
          <w:rFonts w:hint="default" w:ascii="Calibri" w:hAnsi="Calibri" w:eastAsia="宋体" w:cs="Times New Roman"/>
          <w:kern w:val="2"/>
          <w:sz w:val="24"/>
          <w:szCs w:val="24"/>
          <w:woUserID w:val="2"/>
        </w:rPr>
      </w:pPr>
      <w:r>
        <w:rPr>
          <w:rFonts w:hint="eastAsia" w:ascii="Open Sans" w:hAnsi="Open Sans" w:eastAsia="Open Sans" w:cs="Open Sans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2"/>
        </w:rPr>
        <w:t>2.</w:t>
      </w:r>
      <w:r>
        <w:rPr>
          <w:rFonts w:hint="default" w:ascii="Open Sans" w:hAnsi="Open Sans" w:eastAsia="Open Sans" w:cs="Open Sans"/>
          <w:b/>
          <w:bCs/>
          <w:caps w:val="0"/>
          <w:color w:val="0F1115"/>
          <w:spacing w:val="0"/>
          <w:sz w:val="30"/>
          <w:szCs w:val="30"/>
          <w:shd w:val="clear" w:fill="FFFFFF"/>
          <w:woUserID w:val="2"/>
        </w:rPr>
        <w:t>涉诈资金风险分析整合表——核心指标对比基准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7"/>
        <w:gridCol w:w="1294"/>
        <w:gridCol w:w="1415"/>
        <w:gridCol w:w="3162"/>
      </w:tblGrid>
      <w:tr w14:paraId="6E6BE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B77D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指标</w:t>
            </w:r>
          </w:p>
        </w:tc>
        <w:tc>
          <w:tcPr>
            <w:tcW w:w="761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4AA5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嫌疑人账户</w:t>
            </w:r>
          </w:p>
        </w:tc>
        <w:tc>
          <w:tcPr>
            <w:tcW w:w="832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5C60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受害人账户</w:t>
            </w:r>
          </w:p>
        </w:tc>
        <w:tc>
          <w:tcPr>
            <w:tcW w:w="1860" w:type="pct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71B5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判定阈值参考</w:t>
            </w:r>
          </w:p>
        </w:tc>
      </w:tr>
      <w:tr w14:paraId="4D862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EC0E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账户数量</w:t>
            </w:r>
          </w:p>
        </w:tc>
        <w:tc>
          <w:tcPr>
            <w:tcW w:w="761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F744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59 个</w:t>
            </w:r>
          </w:p>
        </w:tc>
        <w:tc>
          <w:tcPr>
            <w:tcW w:w="832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5DB6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1153 个</w:t>
            </w:r>
          </w:p>
        </w:tc>
        <w:tc>
          <w:tcPr>
            <w:tcW w:w="1860" w:type="pct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427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6F054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0ECD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有交易记录的账户数量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0502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3个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5CAA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31个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904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2F463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F987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总交易笔数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506F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16笔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C97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758笔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21F4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780A5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93B1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单笔平均金额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061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2091.39元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9435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37961.97元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10E7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b/>
                <w:bCs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持续＜5万且无合理理由→重点监测</w:t>
            </w:r>
          </w:p>
        </w:tc>
      </w:tr>
      <w:tr w14:paraId="090E6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3FC7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单笔中位数金额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8C60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3000.00元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E5C3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8500.00元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052B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105B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07A4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平均交易对手数量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54CA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2.00个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756D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2.06个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C9A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1C4F3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73B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平均交易天数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DC2F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2.33天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4CC7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9.74天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1927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＜3天且无持续往来→重点监测</w:t>
            </w:r>
          </w:p>
        </w:tc>
      </w:tr>
      <w:tr w14:paraId="61A45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D6D7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夜间交易占比均值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DD84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0.00%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32B8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4.09%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0143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＞70%→高风险</w:t>
            </w:r>
          </w:p>
        </w:tc>
      </w:tr>
      <w:tr w14:paraId="1FCD7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C856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小额交易占比均值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A428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100.00%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569A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87.37%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0E62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100% 小额→跑分特征</w:t>
            </w:r>
          </w:p>
        </w:tc>
      </w:tr>
      <w:tr w14:paraId="18EF0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05C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跨区域交易占比均值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546F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62.50%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8E43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90.77%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6852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100% 跨区域→异常</w:t>
            </w:r>
          </w:p>
        </w:tc>
      </w:tr>
      <w:tr w14:paraId="52617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4125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平均资金留存时间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8708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D2B6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227.64小时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82A2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＜24小时占比＞50%→触发预警</w:t>
            </w:r>
          </w:p>
        </w:tc>
      </w:tr>
      <w:tr w14:paraId="05C4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C1CE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快进快出交易占比均值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EA93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无入后出样本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1F31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29.17%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8478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</w:tr>
      <w:tr w14:paraId="110C0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45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49C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资金留存&lt;24小时样本占比</w:t>
            </w:r>
          </w:p>
        </w:tc>
        <w:tc>
          <w:tcPr>
            <w:tcW w:w="761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67D5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—</w:t>
            </w:r>
          </w:p>
        </w:tc>
        <w:tc>
          <w:tcPr>
            <w:tcW w:w="832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971B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29.17%</w:t>
            </w:r>
          </w:p>
        </w:tc>
        <w:tc>
          <w:tcPr>
            <w:tcW w:w="1860" w:type="pct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A0F7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Calibri" w:eastAsia="宋体" w:cs="Times New Roman"/>
                <w:kern w:val="2"/>
                <w:sz w:val="24"/>
                <w:szCs w:val="24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＞50%→高危</w:t>
            </w:r>
          </w:p>
        </w:tc>
      </w:tr>
    </w:tbl>
    <w:p w14:paraId="6BB2D528">
      <w:pPr>
        <w:ind w:left="0" w:leftChars="0" w:firstLine="0" w:firstLineChars="0"/>
        <w:rPr>
          <w:rFonts w:hint="default"/>
          <w:lang w:val="en-US" w:eastAsia="zh-CN"/>
        </w:rPr>
      </w:pPr>
    </w:p>
    <w:p w14:paraId="08F90106">
      <w:pPr>
        <w:rPr>
          <w:rFonts w:hint="default"/>
          <w:lang w:val="en-US" w:eastAsia="zh-CN"/>
        </w:rPr>
      </w:pPr>
    </w:p>
    <w:p w14:paraId="17976ECE">
      <w:pPr>
        <w:bidi w:val="0"/>
        <w:rPr>
          <w:rFonts w:hint="default"/>
          <w:lang w:val="en-US" w:eastAsia="zh-CN"/>
        </w:rPr>
      </w:pPr>
    </w:p>
    <w:p w14:paraId="59C91C26">
      <w:pPr>
        <w:bidi w:val="0"/>
        <w:rPr>
          <w:rFonts w:hint="default"/>
          <w:lang w:val="en-US" w:eastAsia="zh-CN"/>
        </w:rPr>
      </w:pPr>
    </w:p>
    <w:p w14:paraId="5FDDE4A0">
      <w:pPr>
        <w:bidi w:val="0"/>
        <w:rPr>
          <w:rFonts w:hint="default"/>
          <w:lang w:val="en-US" w:eastAsia="zh-CN"/>
        </w:rPr>
      </w:pPr>
    </w:p>
    <w:p w14:paraId="0825A8EF">
      <w:pPr>
        <w:bidi w:val="0"/>
        <w:rPr>
          <w:rFonts w:hint="default"/>
          <w:lang w:val="en-US" w:eastAsia="zh-CN"/>
        </w:rPr>
      </w:pPr>
    </w:p>
    <w:p w14:paraId="131E59E8">
      <w:pPr>
        <w:pStyle w:val="2"/>
        <w:bidi w:val="0"/>
        <w:ind w:left="0" w:leftChars="0" w:firstLine="0" w:firstLineChars="0"/>
        <w:rPr>
          <w:rFonts w:hint="eastAsia"/>
          <w:lang w:val="en-US" w:eastAsia="zh"/>
          <w:woUserID w:val="6"/>
        </w:rPr>
      </w:pPr>
      <w:r>
        <w:rPr>
          <w:rFonts w:hint="eastAsia"/>
          <w:lang w:val="en-US" w:eastAsia="zh"/>
          <w:woUserID w:val="6"/>
        </w:rPr>
        <w:t>附录F</w:t>
      </w:r>
      <w:r>
        <w:rPr>
          <w:rFonts w:hint="eastAsia" w:ascii="Arial" w:hAnsi="Arial" w:eastAsia="黑体" w:cstheme="minorBidi"/>
          <w:kern w:val="2"/>
          <w:lang w:val="en-US" w:eastAsia="zh" w:bidi="ar-SA"/>
          <w:woUserID w:val="6"/>
        </w:rPr>
        <w:t>高风险嫌疑账户评价</w:t>
      </w:r>
      <w:r>
        <w:rPr>
          <w:rFonts w:hint="eastAsia" w:cstheme="minorBidi"/>
          <w:kern w:val="2"/>
          <w:lang w:val="en-US" w:eastAsia="zh" w:bidi="ar-SA"/>
          <w:woUserID w:val="6"/>
        </w:rPr>
        <w:t>体系计算原理</w:t>
      </w:r>
      <w:r>
        <w:rPr>
          <w:rFonts w:hint="eastAsia" w:cstheme="minorBidi"/>
          <w:kern w:val="2"/>
          <w:lang w:val="en-US" w:eastAsia="zh" w:bidi="ar-SA"/>
          <w:woUserID w:val="3"/>
        </w:rPr>
        <w:t>(郭）</w:t>
      </w:r>
    </w:p>
    <w:p w14:paraId="3EF80F10">
      <w:pPr>
        <w:rPr>
          <w:rFonts w:hint="eastAsia"/>
          <w:lang w:val="en-US" w:eastAsia="zh-CN"/>
        </w:rPr>
      </w:pPr>
      <w:r>
        <w:t>说明：本附录为业务侧人工评价体系（郭同学），用于案例解释与人工抽检，不是最终机器学习模型图-树-时序融合模型的训练目标或评分来源；最终模型分以正文三（四）涉诈账户识别模型设计的图-树-时序融合模型为准。</w:t>
      </w:r>
    </w:p>
    <w:p w14:paraId="7B3E1FF4">
      <w:pPr>
        <w:bidi w:val="0"/>
        <w:ind w:left="0" w:leftChars="0" w:firstLine="0" w:firstLineChars="0"/>
        <w:rPr>
          <w:rFonts w:hint="eastAsia"/>
          <w:lang w:val="en-US" w:eastAsia="zh"/>
          <w:woUserID w:val="6"/>
        </w:rPr>
      </w:pPr>
    </w:p>
    <w:p w14:paraId="69D440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直接交易风险评分指标（直接交易风险评分，满分 54 分）</w:t>
      </w:r>
    </w:p>
    <w:p w14:paraId="044F1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直接交易风险基于账户全部收付原始交易记录构建 7 项细分指标，覆盖资金留存状态、流转规模、交易活跃度、交易时段、对手分散程度、单笔金额分布、时间维度交易密度六大类涉诈典型行为特征，各指标判定规则与分值设置如下。</w:t>
      </w:r>
    </w:p>
    <w:p w14:paraId="004D6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快进快出指标（满分 8 分）</w:t>
      </w:r>
    </w:p>
    <w:p w14:paraId="16122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涉诈洗钱账户普遍存在当日入账、当日全额转出、无资金沉淀特征，采用资金进出差额占比作为判别依据，差额比计算公式：</w:t>
      </w:r>
    </w:p>
    <w:p w14:paraId="40005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" w:bidi="ar"/>
          <w:woUserID w:val="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" w:bidi="ar"/>
          <w:woUserID w:val="6"/>
        </w:rPr>
        <w:drawing>
          <wp:inline distT="0" distB="0" distL="114300" distR="114300">
            <wp:extent cx="2647950" cy="533400"/>
            <wp:effectExtent l="0" t="0" r="0" b="0"/>
            <wp:docPr id="10" name="E657119C-6982-421D-8BA7-E74DEB70A7DA-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57119C-6982-421D-8BA7-E74DEB70A7DA-7" descr="latexmath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8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式中A为账户累计入账总额，B为账户累计转出总额，判定规则：</w:t>
      </w:r>
    </w:p>
    <w:p w14:paraId="094214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账户同时存在收支交易且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582295" cy="266700"/>
            <wp:effectExtent l="0" t="0" r="8255" b="0"/>
            <wp:docPr id="12" name="E657119C-6982-421D-8BA7-E74DEB70A7DA-1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657119C-6982-421D-8BA7-E74DEB70A7DA-10" descr="latexmath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9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woUserID w:val="6"/>
        </w:rPr>
        <w:t>&lt;10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%</w:t>
      </w:r>
      <w:r>
        <w:rPr>
          <w:color w:val="000000"/>
          <w:sz w:val="24"/>
          <w:szCs w:val="24"/>
          <w:woUserID w:val="6"/>
        </w:rPr>
        <w:t>，加 8 分；</w:t>
      </w:r>
    </w:p>
    <w:p w14:paraId="0A5584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账户同时存在收支交易且10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%≤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590550" cy="276225"/>
            <wp:effectExtent l="0" t="0" r="0" b="7620"/>
            <wp:docPr id="13" name="E657119C-6982-421D-8BA7-E74DEB70A7DA-1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657119C-6982-421D-8BA7-E74DEB70A7DA-11" descr="latexmath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woUserID w:val="6"/>
        </w:rPr>
        <w:t>&lt;30%)，加 4 分；</w:t>
      </w:r>
    </w:p>
    <w:p w14:paraId="0A78C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仅单向收款或单向付款，不加分。</w:t>
      </w:r>
    </w:p>
    <w:p w14:paraId="1EE5C21E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00" w:leftChars="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资金流量规模指标（满分 10 分）</w:t>
      </w:r>
    </w:p>
    <w:p w14:paraId="03E7B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诈骗涉案资金多通过多笔小额资金汇总形成大额流转，以账户总收付流量分层赋值：</w:t>
      </w:r>
    </w:p>
    <w:p w14:paraId="4A5EB9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752475" cy="276225"/>
            <wp:effectExtent l="0" t="0" r="9525" b="7620"/>
            <wp:docPr id="16" name="E657119C-6982-421D-8BA7-E74DEB70A7DA-1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657119C-6982-421D-8BA7-E74DEB70A7DA-13" descr="latexmath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woUserID w:val="6"/>
        </w:rPr>
        <w:t>&gt;10000000，加 10 分；</w:t>
      </w:r>
    </w:p>
    <w:p w14:paraId="5FCB61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1000000&lt;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752475" cy="276225"/>
            <wp:effectExtent l="0" t="0" r="9525" b="7620"/>
            <wp:docPr id="17" name="E657119C-6982-421D-8BA7-E74DEB70A7DA-1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657119C-6982-421D-8BA7-E74DEB70A7DA-14" descr="latexmath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≤10000000</w:t>
      </w:r>
      <w:r>
        <w:rPr>
          <w:color w:val="000000"/>
          <w:sz w:val="24"/>
          <w:szCs w:val="24"/>
          <w:woUserID w:val="6"/>
        </w:rPr>
        <w:t>，加 5 分</w:t>
      </w:r>
    </w:p>
    <w:p w14:paraId="6E12B4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100000&lt;≤1000000，加 5 分；</w:t>
      </w:r>
    </w:p>
    <w:p w14:paraId="6B1AAE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752475" cy="276225"/>
            <wp:effectExtent l="0" t="0" r="9525" b="7620"/>
            <wp:docPr id="19" name="E657119C-6982-421D-8BA7-E74DEB70A7DA-1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657119C-6982-421D-8BA7-E74DEB70A7DA-16" descr="latexmath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100000，加 1 分。</w:t>
      </w:r>
    </w:p>
    <w:p w14:paraId="60AB78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交易频次指标（满分 10 分）</w:t>
      </w:r>
    </w:p>
    <w:p w14:paraId="0B6AA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跑分团伙账户存在短时间批量转账行为，以账户总交易笔数分层赋分：</w:t>
      </w:r>
    </w:p>
    <w:p w14:paraId="469840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交易笔数&gt;100，加 10 分；</w:t>
      </w:r>
    </w:p>
    <w:p w14:paraId="742C9A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50&lt;交易笔数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100，加 7 分；</w:t>
      </w:r>
    </w:p>
    <w:p w14:paraId="68F499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20&lt;交易笔数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50，加 5 分；</w:t>
      </w:r>
    </w:p>
    <w:p w14:paraId="1972B86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5&lt;交易笔数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20，加 3 分；</w:t>
      </w:r>
    </w:p>
    <w:p w14:paraId="2D0D8B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0&lt;交易笔数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5，加 1 分。</w:t>
      </w:r>
    </w:p>
    <w:p w14:paraId="616164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夜间交易占比指标（满分 8 分）</w:t>
      </w:r>
    </w:p>
    <w:p w14:paraId="70C6F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正常居民资金操作集中于日间时段，涉诈账户多在 22:00 至次日 6:00 开展转账，定义夜间交易占比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2190750" cy="266700"/>
            <wp:effectExtent l="0" t="0" r="0" b="0"/>
            <wp:docPr id="23" name="E657119C-6982-421D-8BA7-E74DEB70A7DA-1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657119C-6982-421D-8BA7-E74DEB70A7DA-17" descr="latexmath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为夜间交易笔数，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704850" cy="276225"/>
            <wp:effectExtent l="0" t="0" r="0" b="7620"/>
            <wp:docPr id="22" name="E657119C-6982-421D-8BA7-E74DEB70A7DA-1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57119C-6982-421D-8BA7-E74DEB70A7DA-18" descr="latexmath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为总交易笔数：</w:t>
      </w:r>
    </w:p>
    <w:p w14:paraId="27E8B3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457200" cy="266700"/>
            <wp:effectExtent l="0" t="0" r="0" b="0"/>
            <wp:docPr id="25" name="E657119C-6982-421D-8BA7-E74DEB70A7DA-1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657119C-6982-421D-8BA7-E74DEB70A7DA-19" descr="latexmath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woUserID w:val="6"/>
        </w:rPr>
        <w:t>&gt;50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%</w:t>
      </w:r>
      <w:r>
        <w:rPr>
          <w:color w:val="000000"/>
          <w:sz w:val="24"/>
          <w:szCs w:val="24"/>
          <w:woUserID w:val="6"/>
        </w:rPr>
        <w:t>，加 8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分</w:t>
      </w:r>
    </w:p>
    <w:p w14:paraId="075B66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30%&lt;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457200" cy="266700"/>
            <wp:effectExtent l="0" t="0" r="0" b="0"/>
            <wp:docPr id="26" name="E657119C-6982-421D-8BA7-E74DEB70A7DA-2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657119C-6982-421D-8BA7-E74DEB70A7DA-20" descr="latexmath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50%，加 5 分；</w:t>
      </w:r>
    </w:p>
    <w:p w14:paraId="36CBC7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10%&lt;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457200" cy="266700"/>
            <wp:effectExtent l="0" t="0" r="0" b="0"/>
            <wp:docPr id="27" name="E657119C-6982-421D-8BA7-E74DEB70A7DA-2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657119C-6982-421D-8BA7-E74DEB70A7DA-21" descr="latexmath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30%，加 2 分。</w:t>
      </w:r>
    </w:p>
    <w:p w14:paraId="2422B5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交易对手分散度指标（满分 10 分）</w:t>
      </w:r>
    </w:p>
    <w:p w14:paraId="40EA4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涉案账户短期频繁对接陌生账户，无稳定往来交易对象，以独立交易对手账户数量分层赋值：</w:t>
      </w:r>
    </w:p>
    <w:p w14:paraId="53F862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对手账户数&gt;50，加 10 分；</w:t>
      </w:r>
    </w:p>
    <w:p w14:paraId="5BF00F4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30&lt;对手账户数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0</w:t>
      </w:r>
      <w:r>
        <w:rPr>
          <w:color w:val="000000"/>
          <w:sz w:val="24"/>
          <w:szCs w:val="24"/>
          <w:woUserID w:val="6"/>
        </w:rPr>
        <w:t>，加 7 分；</w:t>
      </w:r>
    </w:p>
    <w:p w14:paraId="55CE59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15&lt;对手账户数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30，加 4 分；</w:t>
      </w:r>
    </w:p>
    <w:p w14:paraId="2D6E72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5&lt;对手账户数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15，加 2 分；</w:t>
      </w:r>
    </w:p>
    <w:p w14:paraId="4AE33E3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0&lt;对手账户数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5，加 1 分。</w:t>
      </w:r>
    </w:p>
    <w:p w14:paraId="2E5FB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平均交易金额指标（满分 5 分）</w:t>
      </w:r>
    </w:p>
    <w:p w14:paraId="52882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大额单笔交易对应资金归集、拆分洗钱行为，平均交易金额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2343150" cy="266700"/>
            <wp:effectExtent l="0" t="0" r="0" b="0"/>
            <wp:docPr id="29" name="E657119C-6982-421D-8BA7-E74DEB70A7DA-2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657119C-6982-421D-8BA7-E74DEB70A7DA-22" descr="latexmath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：</w:t>
      </w:r>
    </w:p>
    <w:p w14:paraId="74C0086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590550" cy="266700"/>
            <wp:effectExtent l="0" t="0" r="0" b="0"/>
            <wp:docPr id="30" name="E657119C-6982-421D-8BA7-E74DEB70A7DA-2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57119C-6982-421D-8BA7-E74DEB70A7DA-23" descr="latexmath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  <w:woUserID w:val="6"/>
        </w:rPr>
        <w:t>&gt;100000，加 5 分；</w:t>
      </w:r>
    </w:p>
    <w:p w14:paraId="4F3DDF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50000&lt;</w:t>
      </w:r>
      <w:r>
        <w:rPr>
          <w:color w:val="000000"/>
          <w:sz w:val="24"/>
          <w:szCs w:val="24"/>
          <w:woUserID w:val="6"/>
        </w:rPr>
        <w:drawing>
          <wp:inline distT="0" distB="0" distL="114300" distR="114300">
            <wp:extent cx="590550" cy="266700"/>
            <wp:effectExtent l="0" t="0" r="0" b="0"/>
            <wp:docPr id="31" name="E657119C-6982-421D-8BA7-E74DEB70A7DA-2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657119C-6982-421D-8BA7-E74DEB70A7DA-24" descr="latexmath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100000，加 3 分；</w:t>
      </w:r>
    </w:p>
    <w:p w14:paraId="1765331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10000&lt;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drawing>
          <wp:inline distT="0" distB="0" distL="114300" distR="114300">
            <wp:extent cx="590550" cy="266700"/>
            <wp:effectExtent l="0" t="0" r="0" b="0"/>
            <wp:docPr id="32" name="E657119C-6982-421D-8BA7-E74DEB70A7DA-2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657119C-6982-421D-8BA7-E74DEB70A7DA-25" descr="latexmath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≤5</w:t>
      </w:r>
      <w:r>
        <w:rPr>
          <w:color w:val="000000"/>
          <w:sz w:val="24"/>
          <w:szCs w:val="24"/>
          <w:woUserID w:val="6"/>
        </w:rPr>
        <w:t>0000，加 1 分。</w:t>
      </w:r>
    </w:p>
    <w:p w14:paraId="54122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交易密度指标（满分 5 分）</w:t>
      </w:r>
    </w:p>
    <w:p w14:paraId="53B6B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刻画单位时间内交易活跃程度，交易密度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1885950" cy="266700"/>
            <wp:effectExtent l="0" t="0" r="0" b="0"/>
            <wp:docPr id="37" name="E657119C-6982-421D-8BA7-E74DEB70A7DA-2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657119C-6982-421D-8BA7-E74DEB70A7DA-26" descr="latexmath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为账户首笔至末笔交易时间跨度（单位：天），若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409575" cy="247650"/>
            <wp:effectExtent l="0" t="0" r="9525" b="0"/>
            <wp:docPr id="35" name="E657119C-6982-421D-8BA7-E74DEB70A7DA-2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657119C-6982-421D-8BA7-E74DEB70A7DA-27" descr="latexmath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" w:bidi="ar"/>
          <w:woUserID w:val="6"/>
        </w:rPr>
        <w:t>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0且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drawing>
          <wp:inline distT="0" distB="0" distL="114300" distR="114300">
            <wp:extent cx="476250" cy="276225"/>
            <wp:effectExtent l="0" t="0" r="0" b="7620"/>
            <wp:docPr id="38" name="E657119C-6982-421D-8BA7-E74DEB70A7DA-2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657119C-6982-421D-8BA7-E74DEB70A7DA-28" descr="latexmath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&gt;20，加 5 分。</w:t>
      </w:r>
    </w:p>
    <w:p w14:paraId="6636B4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关联网络风险评分指标（关联网络风险评分，满分 46 分）</w:t>
      </w:r>
    </w:p>
    <w:p w14:paraId="603F3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基于全量资金交易边构建有向资金流转图谱，提取账户 1 跳直接邻居、2 跳间接邻居拓扑信息，从关联账户规模、受害人关联、团伙嫌疑人关联、网络辐射范围四个维度设计 6 项网络风险指标，量化风险在资金网络中的传导效应。</w:t>
      </w:r>
    </w:p>
    <w:p w14:paraId="4F1BA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1跳关联账户规模（满分 10 分）</w:t>
      </w:r>
    </w:p>
    <w:p w14:paraId="2C358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账户直接交易对手数量反映资金分散、归集能力：</w:t>
      </w:r>
    </w:p>
    <w:p w14:paraId="52AC1C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 跳关联账户数&gt;100，加 10 分；</w:t>
      </w:r>
    </w:p>
    <w:p w14:paraId="270C2D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0</w:t>
      </w:r>
      <w:r>
        <w:rPr>
          <w:color w:val="000000"/>
          <w:sz w:val="24"/>
          <w:szCs w:val="24"/>
          <w:woUserID w:val="6"/>
        </w:rPr>
        <w:t>&lt;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1</w:t>
      </w:r>
      <w:r>
        <w:rPr>
          <w:color w:val="000000"/>
          <w:sz w:val="24"/>
          <w:szCs w:val="24"/>
          <w:woUserID w:val="6"/>
        </w:rPr>
        <w:t>跳关联账户数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100，加 7 分；</w:t>
      </w:r>
    </w:p>
    <w:p w14:paraId="62D5F56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20&lt;1 跳关联账户数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50，加 4 分；</w:t>
      </w:r>
    </w:p>
    <w:p w14:paraId="1B93B9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0&lt;1 跳关联账户数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20，加 1 分。</w:t>
      </w:r>
    </w:p>
    <w:p w14:paraId="5A8AB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1跳关联受害账户数量（满分 10 分）</w:t>
      </w:r>
    </w:p>
    <w:p w14:paraId="073F24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账户直接与诈骗受害人发生资金往来为强涉案风险信号：</w:t>
      </w:r>
    </w:p>
    <w:p w14:paraId="3051059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 跳受害人数量&gt;10，加 10 分；</w:t>
      </w:r>
    </w:p>
    <w:p w14:paraId="45F2BC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5&lt;1 跳受害人数量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10，加 7 分；</w:t>
      </w:r>
    </w:p>
    <w:p w14:paraId="190F8B1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0&lt;1 跳受害人数量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5，加 3 分。</w:t>
      </w:r>
    </w:p>
    <w:p w14:paraId="6CB10B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2跳关联受害账户数量（满分 8 分）</w:t>
      </w:r>
    </w:p>
    <w:p w14:paraId="4CD69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经一层中间账户间接对接受害人，体现多层资金跳转洗钱模式：</w:t>
      </w:r>
    </w:p>
    <w:p w14:paraId="77A1253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 跳受害人数量&gt;20，加 8 分；</w:t>
      </w:r>
    </w:p>
    <w:p w14:paraId="5FC055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10&lt;2 跳受害人数量≤20，加 5 分；</w:t>
      </w:r>
    </w:p>
    <w:p w14:paraId="03DEFAF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0&lt;2 跳受害人数量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10，加 2 分。</w:t>
      </w:r>
    </w:p>
    <w:p w14:paraId="721E4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1跳关联嫌疑账户数量（满分 8 分）</w:t>
      </w:r>
    </w:p>
    <w:p w14:paraId="1A945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账户与已知涉诈嫌疑人直接转账，代表团伙协同作案特征：</w:t>
      </w:r>
    </w:p>
    <w:p w14:paraId="08AD29A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 跳嫌疑人数量&gt;5，加 8 分；</w:t>
      </w:r>
    </w:p>
    <w:p w14:paraId="386CB59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0&lt;1 跳嫌疑人数量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5，加 3 分。</w:t>
      </w:r>
    </w:p>
    <w:p w14:paraId="4D0734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2跳关联嫌疑账户数量（满分 5 分）</w:t>
      </w:r>
    </w:p>
    <w:p w14:paraId="6F73E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通过中介账户链接多名嫌疑人，表征大范围犯罪资金网络：</w:t>
      </w:r>
    </w:p>
    <w:p w14:paraId="298291B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 跳嫌疑人数量&gt;10，加 5 分；</w:t>
      </w:r>
    </w:p>
    <w:p w14:paraId="5CC1C6D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0&lt;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2</w:t>
      </w:r>
      <w:r>
        <w:rPr>
          <w:color w:val="000000"/>
          <w:sz w:val="24"/>
          <w:szCs w:val="24"/>
          <w:woUserID w:val="6"/>
        </w:rPr>
        <w:t xml:space="preserve"> 跳嫌疑人数量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10，加 2 分。</w:t>
      </w:r>
    </w:p>
    <w:p w14:paraId="60DF23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2跳网络覆盖规模（满分 5 分）</w:t>
      </w:r>
    </w:p>
    <w:p w14:paraId="08E17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2 跳可达全部账户总数衡量节点在资金网络中的辐射影响力：</w:t>
      </w:r>
    </w:p>
    <w:p w14:paraId="31389C8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2 跳可达账户数&gt;200，加 5 分；</w:t>
      </w:r>
    </w:p>
    <w:p w14:paraId="693B76D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100&lt;2 跳可达账户数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200，加 3 分。</w:t>
      </w:r>
    </w:p>
    <w:p w14:paraId="4A6F7E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账户静态特征风险评分指标（账户静态特征风险评分，满分 8 分）</w:t>
      </w:r>
    </w:p>
    <w:p w14:paraId="528C7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仅选取开户时长单项静态特征，黑产多使用短期开立、用完即弃的临时账户，根据账户开户存续时长分层赋分：</w:t>
      </w:r>
    </w:p>
    <w:p w14:paraId="083DD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开户时长&lt;3个月，加 8 分（高危静态属性）；</w:t>
      </w:r>
    </w:p>
    <w:p w14:paraId="302B22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3≤开户时长&lt;6个月，加 5 分（中危静态属性）；</w:t>
      </w:r>
    </w:p>
    <w:p w14:paraId="5C99D4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6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≤</w:t>
      </w:r>
      <w:r>
        <w:rPr>
          <w:color w:val="000000"/>
          <w:sz w:val="24"/>
          <w:szCs w:val="24"/>
          <w:woUserID w:val="6"/>
        </w:rPr>
        <w:t>开户时长&lt;12个月，加 3 分（关注类静态属性）；</w:t>
      </w:r>
    </w:p>
    <w:p w14:paraId="1F2CC6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200" w:right="0" w:rightChars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开户时长</w:t>
      </w:r>
      <w:r>
        <w:rPr>
          <w:rFonts w:hint="eastAsia"/>
          <w:color w:val="000000"/>
          <w:sz w:val="24"/>
          <w:szCs w:val="24"/>
          <w:lang w:eastAsia="zh"/>
          <w:woUserID w:val="6"/>
        </w:rPr>
        <w:t>≥</w:t>
      </w:r>
      <w:r>
        <w:rPr>
          <w:color w:val="000000"/>
          <w:sz w:val="24"/>
          <w:szCs w:val="24"/>
          <w:woUserID w:val="6"/>
        </w:rPr>
        <w:t>12个月，不加分（正常账户属性）。</w:t>
      </w:r>
    </w:p>
    <w:p w14:paraId="238F1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>账户风险等级划分标准</w:t>
      </w:r>
    </w:p>
    <w:p w14:paraId="18B6D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基于综合风险得分区间，将嫌疑账户划分为五级风险层级，实现标准化风险判定，分级规则如表 2 所示。</w:t>
      </w:r>
    </w:p>
    <w:p w14:paraId="1CFA4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表 2 综合风险得分与账户风险等级对应标准</w:t>
      </w:r>
    </w:p>
    <w:tbl>
      <w:tblPr>
        <w:tblStyle w:val="15"/>
        <w:tblW w:w="5000" w:type="pct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3"/>
        <w:gridCol w:w="986"/>
        <w:gridCol w:w="4657"/>
      </w:tblGrid>
      <w:tr w14:paraId="00A43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8961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综合风险得分区间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A8C4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风险等级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28CB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风险业务释义</w:t>
            </w:r>
          </w:p>
        </w:tc>
      </w:tr>
      <w:tr w14:paraId="2F683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8E11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  <w:t>综合得分≥25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5769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极高风险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5063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交易行为、网络关联、静态属性多维度同步触发异常风险信号，高度确认涉诈嫌疑</w:t>
            </w:r>
          </w:p>
        </w:tc>
      </w:tr>
      <w:tr w14:paraId="418E2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40DE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  <w:woUserID w:val="6"/>
              </w:rPr>
              <w:t>15≤综合得分≤24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AF0E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高风险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F505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账户交易模式或资金网络拓扑存在显著涉案特征，具备明确诈骗资金流转痕迹</w:t>
            </w:r>
          </w:p>
        </w:tc>
      </w:tr>
      <w:tr w14:paraId="6160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510B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  <w:woUserID w:val="6"/>
              </w:rPr>
              <w:t>8≤综合得分≤14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D502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中风险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AC15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单一维度存在局部异常信号，存在潜在涉诈可能性，需人工复核研判</w:t>
            </w:r>
          </w:p>
        </w:tc>
      </w:tr>
      <w:tr w14:paraId="1066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E76E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  <w:woUserID w:val="6"/>
              </w:rPr>
              <w:t>3≤综合得分≤7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4390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低风险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0DF2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仅账户开户等弱静态风险指标触发，无交易与网络层面强异常特征</w:t>
            </w:r>
          </w:p>
        </w:tc>
      </w:tr>
      <w:tr w14:paraId="1FF33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2CAB2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eastAsia" w:eastAsiaTheme="minorEastAsia"/>
                <w:color w:val="000000"/>
                <w:sz w:val="24"/>
                <w:szCs w:val="24"/>
                <w:lang w:eastAsia="zh"/>
                <w:woUserID w:val="6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"/>
                <w:woUserID w:val="6"/>
              </w:rPr>
              <w:t>0≤综合得分≤2</w:t>
            </w:r>
          </w:p>
        </w:tc>
        <w:tc>
          <w:tcPr>
            <w:tcW w:w="5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A72D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待观察</w:t>
            </w:r>
          </w:p>
        </w:tc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BDEC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现有交易、网络、静态数据未捕获有效风险特征，暂不认定风险</w:t>
            </w:r>
          </w:p>
        </w:tc>
      </w:tr>
    </w:tbl>
    <w:p w14:paraId="479CFA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  <w:woUserID w:val="6"/>
        </w:rPr>
      </w:pPr>
      <w:r>
        <w:rPr>
          <w:color w:val="000000"/>
          <w:sz w:val="24"/>
          <w:szCs w:val="24"/>
          <w:woUserID w:val="6"/>
        </w:rPr>
        <w:t xml:space="preserve"> 评价指标体系业务适配性说明</w:t>
      </w:r>
    </w:p>
    <w:p w14:paraId="755AB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本评价指标集完整覆盖六类典型黑产资金流转模式，各资金犯罪模式对应的核心评分指标及总分覆盖能力如表 3 所示，验证体系对不同洗钱、跑分、诈骗资金链路的识别适配性。</w:t>
      </w:r>
    </w:p>
    <w:p w14:paraId="6A68D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6"/>
        </w:rPr>
        <w:t>表 3 黑产资金流转模式与对应评价指标匹配关系</w:t>
      </w:r>
    </w:p>
    <w:p w14:paraId="755A4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color w:val="000000"/>
          <w:sz w:val="24"/>
          <w:szCs w:val="24"/>
          <w:woUserID w:val="6"/>
        </w:rPr>
      </w:pPr>
    </w:p>
    <w:tbl>
      <w:tblPr>
        <w:tblStyle w:val="15"/>
        <w:tblW w:w="5000" w:type="pct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3"/>
        <w:gridCol w:w="4817"/>
        <w:gridCol w:w="1606"/>
      </w:tblGrid>
      <w:tr w14:paraId="4C9C1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D9DC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黑产资金流转模式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A885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核心对应评价指标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C913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/>
                <w:b/>
                <w:bCs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指标总分覆盖</w:t>
            </w:r>
          </w:p>
        </w:tc>
      </w:tr>
      <w:tr w14:paraId="601B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7063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快进快出洗钱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79F9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快进快出指标、交易密度指标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5B8C8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13</w:t>
            </w:r>
          </w:p>
        </w:tc>
      </w:tr>
      <w:tr w14:paraId="3896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004B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分散入账跑分集群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C850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交易频次、交易对手分散度、1 跳关联账户规模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5C64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30</w:t>
            </w:r>
          </w:p>
        </w:tc>
      </w:tr>
      <w:tr w14:paraId="7940C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A7C5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多层跳转涉诈链路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F5C4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1 跳受害人关联、2 跳受害人关联、2 跳网络覆盖规模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983F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23</w:t>
            </w:r>
          </w:p>
        </w:tc>
      </w:tr>
      <w:tr w14:paraId="25041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68BA3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金字塔资金归集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4A0DC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资金流量规模、平均交易金额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D0C2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15</w:t>
            </w:r>
          </w:p>
        </w:tc>
      </w:tr>
      <w:tr w14:paraId="4F3E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1E8E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环形闭环转账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7F24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快进快出指标、1 跳嫌疑人关联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7030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16</w:t>
            </w:r>
          </w:p>
        </w:tc>
      </w:tr>
      <w:tr w14:paraId="6031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3FD81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规模化跑分团伙</w:t>
            </w:r>
          </w:p>
        </w:tc>
        <w:tc>
          <w:tcPr>
            <w:tcW w:w="2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1D8F3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交易频次、夜间交易占比、1/2 跳嫌疑人关联指标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7DBD7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woUserID w:val="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6"/>
              </w:rPr>
              <w:t>31</w:t>
            </w:r>
          </w:p>
        </w:tc>
      </w:tr>
    </w:tbl>
    <w:p w14:paraId="0E502A1D">
      <w:pPr>
        <w:bidi w:val="0"/>
        <w:rPr>
          <w:rFonts w:hint="default"/>
          <w:lang w:val="en-US" w:eastAsia="zh-CN"/>
        </w:rPr>
      </w:pPr>
    </w:p>
    <w:p w14:paraId="1683FEB8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S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7033D"/>
    <w:multiLevelType w:val="multilevel"/>
    <w:tmpl w:val="BF7703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D7413E"/>
    <w:multiLevelType w:val="multilevel"/>
    <w:tmpl w:val="E4D741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BF7277"/>
    <w:multiLevelType w:val="multilevel"/>
    <w:tmpl w:val="EFBF72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5DEEAED"/>
    <w:multiLevelType w:val="singleLevel"/>
    <w:tmpl w:val="F5DEEAE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6D638FF"/>
    <w:multiLevelType w:val="multilevel"/>
    <w:tmpl w:val="F6D638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D9F51B6"/>
    <w:multiLevelType w:val="singleLevel"/>
    <w:tmpl w:val="FD9F51B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EB1CE4"/>
    <w:multiLevelType w:val="multilevel"/>
    <w:tmpl w:val="FDEB1C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DFE4325"/>
    <w:multiLevelType w:val="multilevel"/>
    <w:tmpl w:val="FDFE4325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8">
    <w:nsid w:val="FECB5F79"/>
    <w:multiLevelType w:val="multilevel"/>
    <w:tmpl w:val="FECB5F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2AFF43"/>
    <w:multiLevelType w:val="multilevel"/>
    <w:tmpl w:val="FF2AFF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F5B16AA"/>
    <w:multiLevelType w:val="multilevel"/>
    <w:tmpl w:val="FF5B1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BF2F3A2"/>
    <w:multiLevelType w:val="multilevel"/>
    <w:tmpl w:val="7BF2F3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D6D05D9"/>
    <w:multiLevelType w:val="multilevel"/>
    <w:tmpl w:val="7D6D05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11"/>
  </w:num>
  <w:num w:numId="8">
    <w:abstractNumId w:val="12"/>
  </w:num>
  <w:num w:numId="9">
    <w:abstractNumId w:val="0"/>
  </w:num>
  <w:num w:numId="10">
    <w:abstractNumId w:val="9"/>
  </w:num>
  <w:num w:numId="11">
    <w:abstractNumId w:val="8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3589B"/>
    <w:rsid w:val="0CA21D04"/>
    <w:rsid w:val="112E6273"/>
    <w:rsid w:val="11594D12"/>
    <w:rsid w:val="169EAE3F"/>
    <w:rsid w:val="17ACA8FE"/>
    <w:rsid w:val="22F4335D"/>
    <w:rsid w:val="2CF6B464"/>
    <w:rsid w:val="2F6352C0"/>
    <w:rsid w:val="37D15A85"/>
    <w:rsid w:val="3A545D71"/>
    <w:rsid w:val="3AFF6E15"/>
    <w:rsid w:val="3FBEFC36"/>
    <w:rsid w:val="3FDFEF13"/>
    <w:rsid w:val="3FFEF5E4"/>
    <w:rsid w:val="44E61C8A"/>
    <w:rsid w:val="46890CFA"/>
    <w:rsid w:val="49E828CB"/>
    <w:rsid w:val="4AD7E81D"/>
    <w:rsid w:val="4B6ED528"/>
    <w:rsid w:val="4B823ED9"/>
    <w:rsid w:val="4DC70847"/>
    <w:rsid w:val="4FEE1415"/>
    <w:rsid w:val="52464AB9"/>
    <w:rsid w:val="57C3FADD"/>
    <w:rsid w:val="5E7D126D"/>
    <w:rsid w:val="5EA627E9"/>
    <w:rsid w:val="5FEFE60D"/>
    <w:rsid w:val="5FFF1DF6"/>
    <w:rsid w:val="635C6351"/>
    <w:rsid w:val="67EB4F70"/>
    <w:rsid w:val="69F5727A"/>
    <w:rsid w:val="6A356EA0"/>
    <w:rsid w:val="6E3FECE3"/>
    <w:rsid w:val="6F354718"/>
    <w:rsid w:val="715A3623"/>
    <w:rsid w:val="73FE8C43"/>
    <w:rsid w:val="73FFD9DC"/>
    <w:rsid w:val="74967B2F"/>
    <w:rsid w:val="751917EC"/>
    <w:rsid w:val="76A543CC"/>
    <w:rsid w:val="76EC740F"/>
    <w:rsid w:val="77194E57"/>
    <w:rsid w:val="777D6961"/>
    <w:rsid w:val="77EB4C1A"/>
    <w:rsid w:val="7A7CBF8B"/>
    <w:rsid w:val="7A8208F3"/>
    <w:rsid w:val="7AFE6E70"/>
    <w:rsid w:val="7BDF1C41"/>
    <w:rsid w:val="7BF9466A"/>
    <w:rsid w:val="7EEC49F1"/>
    <w:rsid w:val="7EF40365"/>
    <w:rsid w:val="9FFF0FB8"/>
    <w:rsid w:val="A4FF4504"/>
    <w:rsid w:val="B53FA819"/>
    <w:rsid w:val="B9DFD7B8"/>
    <w:rsid w:val="BC3E9D24"/>
    <w:rsid w:val="BD5F148B"/>
    <w:rsid w:val="BDF3185A"/>
    <w:rsid w:val="BDFE2206"/>
    <w:rsid w:val="CBFF6EC1"/>
    <w:rsid w:val="D562C9AB"/>
    <w:rsid w:val="DEE74070"/>
    <w:rsid w:val="DF6F3D69"/>
    <w:rsid w:val="DFB03B7C"/>
    <w:rsid w:val="E66E1B1B"/>
    <w:rsid w:val="E7ACD8B2"/>
    <w:rsid w:val="E9FF0210"/>
    <w:rsid w:val="EBBFB600"/>
    <w:rsid w:val="EFBF2E23"/>
    <w:rsid w:val="F3743A7D"/>
    <w:rsid w:val="F5F3148B"/>
    <w:rsid w:val="F5FE73FB"/>
    <w:rsid w:val="F7CCDEDF"/>
    <w:rsid w:val="F7F7106F"/>
    <w:rsid w:val="FADDA004"/>
    <w:rsid w:val="FBAB74DC"/>
    <w:rsid w:val="FBFF0BF9"/>
    <w:rsid w:val="FBFFEEF2"/>
    <w:rsid w:val="FC7E21D8"/>
    <w:rsid w:val="FDB5F049"/>
    <w:rsid w:val="FDDFA538"/>
    <w:rsid w:val="FDFF077A"/>
    <w:rsid w:val="FDFF56F8"/>
    <w:rsid w:val="FEC09CAD"/>
    <w:rsid w:val="FED369F3"/>
    <w:rsid w:val="FEE51008"/>
    <w:rsid w:val="FEEB42D0"/>
    <w:rsid w:val="FFAD4C53"/>
    <w:rsid w:val="FFB543D2"/>
    <w:rsid w:val="FFCFD481"/>
    <w:rsid w:val="FFDFF2F0"/>
    <w:rsid w:val="FFF17921"/>
    <w:rsid w:val="FFFDB2AE"/>
    <w:rsid w:val="FFFFD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0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0"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0" w:firstLine="400" w:firstLineChars="0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402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 w:firstLine="402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uiPriority w:val="0"/>
    <w:rPr>
      <w:color w:val="0000FF"/>
      <w:u w:val="single"/>
    </w:rPr>
  </w:style>
  <w:style w:type="character" w:customStyle="1" w:styleId="20">
    <w:name w:val="10"/>
    <w:basedOn w:val="17"/>
    <w:uiPriority w:val="0"/>
    <w:rPr>
      <w:rFonts w:hint="default" w:ascii="Times New Roman" w:hAnsi="Times New Roman" w:cs="Times New Roman"/>
    </w:rPr>
  </w:style>
  <w:style w:type="character" w:customStyle="1" w:styleId="21">
    <w:name w:val="15"/>
    <w:basedOn w:val="17"/>
    <w:uiPriority w:val="0"/>
    <w:rPr>
      <w:rFonts w:hint="default" w:ascii="Times New Roman" w:hAnsi="Times New Roman" w:cs="Times New Roman"/>
      <w:b/>
    </w:rPr>
  </w:style>
  <w:style w:type="character" w:customStyle="1" w:styleId="22">
    <w:name w:val="font31"/>
    <w:basedOn w:val="17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3">
    <w:name w:val="font21"/>
    <w:basedOn w:val="17"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5.sv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svg"/><Relationship Id="rId47" Type="http://schemas.openxmlformats.org/officeDocument/2006/relationships/image" Target="media/image42.png"/><Relationship Id="rId46" Type="http://schemas.openxmlformats.org/officeDocument/2006/relationships/image" Target="media/image41.svg"/><Relationship Id="rId45" Type="http://schemas.openxmlformats.org/officeDocument/2006/relationships/image" Target="media/image40.png"/><Relationship Id="rId44" Type="http://schemas.openxmlformats.org/officeDocument/2006/relationships/image" Target="media/image39.svg"/><Relationship Id="rId43" Type="http://schemas.openxmlformats.org/officeDocument/2006/relationships/image" Target="media/image38.png"/><Relationship Id="rId42" Type="http://schemas.openxmlformats.org/officeDocument/2006/relationships/image" Target="media/image37.svg"/><Relationship Id="rId41" Type="http://schemas.openxmlformats.org/officeDocument/2006/relationships/image" Target="media/image36.png"/><Relationship Id="rId40" Type="http://schemas.openxmlformats.org/officeDocument/2006/relationships/image" Target="media/image35.sv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svg"/><Relationship Id="rId37" Type="http://schemas.openxmlformats.org/officeDocument/2006/relationships/image" Target="media/image32.png"/><Relationship Id="rId36" Type="http://schemas.openxmlformats.org/officeDocument/2006/relationships/image" Target="media/image31.svg"/><Relationship Id="rId35" Type="http://schemas.openxmlformats.org/officeDocument/2006/relationships/image" Target="media/image30.png"/><Relationship Id="rId34" Type="http://schemas.openxmlformats.org/officeDocument/2006/relationships/image" Target="media/image29.svg"/><Relationship Id="rId33" Type="http://schemas.openxmlformats.org/officeDocument/2006/relationships/image" Target="media/image28.png"/><Relationship Id="rId32" Type="http://schemas.openxmlformats.org/officeDocument/2006/relationships/image" Target="media/image27.svg"/><Relationship Id="rId31" Type="http://schemas.openxmlformats.org/officeDocument/2006/relationships/image" Target="media/image26.png"/><Relationship Id="rId30" Type="http://schemas.openxmlformats.org/officeDocument/2006/relationships/image" Target="media/image25.sv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svg"/><Relationship Id="rId27" Type="http://schemas.openxmlformats.org/officeDocument/2006/relationships/image" Target="media/image22.png"/><Relationship Id="rId26" Type="http://schemas.openxmlformats.org/officeDocument/2006/relationships/image" Target="media/image21.svg"/><Relationship Id="rId25" Type="http://schemas.openxmlformats.org/officeDocument/2006/relationships/image" Target="media/image20.svg"/><Relationship Id="rId24" Type="http://schemas.openxmlformats.org/officeDocument/2006/relationships/image" Target="media/image19.pn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sv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svg"/><Relationship Id="rId18" Type="http://schemas.openxmlformats.org/officeDocument/2006/relationships/image" Target="media/image13.png"/><Relationship Id="rId17" Type="http://schemas.openxmlformats.org/officeDocument/2006/relationships/image" Target="media/image12.sv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A-1">
      <extobjdata type="E657119C-6982-421D-8BA7-E74DEB70A7DA" data="ewoJIkxhdGV4U3RyIiA6ICIoU2Nvcnt7ZX1fe3RvdGFsfX09U2Nvcnt7ZX1fe3RyYWRlfX0rU2Nvcnt7ZX1fe2dyYXBofX0rU2Nvcnt7ZX1fe2F0dHJ9fSkiCn0K"/>
    </extobj>
    <extobj name="E657119C-6982-421D-8BA7-E74DEB70A7DA-2">
      <extobjdata type="E657119C-6982-421D-8BA7-E74DEB70A7DA" data="ewoJIkxhdGV4U3RyIiA6ICJTY29ye3tlfV97dG90YWx9fSIKfQo="/>
    </extobj>
    <extobj name="E657119C-6982-421D-8BA7-E74DEB70A7DA-3">
      <extobjdata type="E657119C-6982-421D-8BA7-E74DEB70A7DA" data="ewoJIkxhdGV4U3RyIiA6ICJTY29ye3tlfV97dHJhZGV9fSIKfQo="/>
    </extobj>
    <extobj name="E657119C-6982-421D-8BA7-E74DEB70A7DA-4">
      <extobjdata type="E657119C-6982-421D-8BA7-E74DEB70A7DA" data="ewoJIkxhdGV4U3RyIiA6ICJTY29ye3tlfV97Z3JhcGh9fSIKfQo="/>
    </extobj>
    <extobj name="E657119C-6982-421D-8BA7-E74DEB70A7DA-5">
      <extobjdata type="E657119C-6982-421D-8BA7-E74DEB70A7DA" data="ewoJIkxhdGV4U3RyIiA6ICJTY29ye3tlfV97YXR0cn19Igp9Cg=="/>
    </extobj>
    <extobj name="E657119C-6982-421D-8BA7-E74DEB70A7DA-6">
      <extobjdata type="E657119C-6982-421D-8BA7-E74DEB70A7DA" data="ewoJIkxhdGV4U3RyIiA6ICIoU2Nvcnt7ZX1fe3RyYWRlfX0pIgp9Cg=="/>
    </extobj>
    <extobj name="E657119C-6982-421D-8BA7-E74DEB70A7DA-7">
      <extobjdata type="E657119C-6982-421D-8BA7-E74DEB70A7DA" data="ewoJIkxhdGV4U3RyIiA6ICJbe3tSfV97YmFsYW5jZX19PVxcZnJhY3t8VG90YXt7bH1fe2lufX0tVG90YXt7bH1fe291dH19fH17XFxtYXh7KH1Ub3Rhe3tsfV97aW59fSxUb3Rhe3tsfV97b3V0fX0pfV0iCn0K"/>
    </extobj>
    <extobj name="E657119C-6982-421D-8BA7-E74DEB70A7DA-8">
      <extobjdata type="E657119C-6982-421D-8BA7-E74DEB70A7DA" data="ewoJIkxhdGV4U3RyIiA6ICIoVG90YXt7bH1fe2lufX0pIgp9Cg=="/>
    </extobj>
    <extobj name="E657119C-6982-421D-8BA7-E74DEB70A7DA-9">
      <extobjdata type="E657119C-6982-421D-8BA7-E74DEB70A7DA" data="ewoJIkxhdGV4U3RyIiA6ICIoVG90YXt7bH1fe291dH19KSIKfQo="/>
    </extobj>
    <extobj name="E657119C-6982-421D-8BA7-E74DEB70A7DA-10">
      <extobjdata type="E657119C-6982-421D-8BA7-E74DEB70A7DA" data="ewoJIkxhdGV4U3RyIiA6ICJ7e1J9X3tiYWxhbmNlfX0iCn0K"/>
    </extobj>
    <extobj name="E657119C-6982-421D-8BA7-E74DEB70A7DA-11">
      <extobjdata type="E657119C-6982-421D-8BA7-E74DEB70A7DA" data="ewoJIkxhdGV4U3RyIiA6ICJ7e1J9X3tiYWxhbmNlfX0iCn0K"/>
    </extobj>
    <extobj name="E657119C-6982-421D-8BA7-E74DEB70A7DA-12">
      <extobjdata type="E657119C-6982-421D-8BA7-E74DEB70A7DA" data="ewoJIkxhdGV4U3RyIiA6ICIoVG90YXt7bH1fe2Zsb3d9fT1Ub3Rhe3tsfV97aW59fStUb3Rhe3tsfV97b3V0fX0pIgp9Cg=="/>
    </extobj>
    <extobj name="E657119C-6982-421D-8BA7-E74DEB70A7DA-13">
      <extobjdata type="E657119C-6982-421D-8BA7-E74DEB70A7DA" data="ewoJIkxhdGV4U3RyIiA6ICJUb3Rhe3tsfV97Zmxvd319Igp9Cg=="/>
    </extobj>
    <extobj name="E657119C-6982-421D-8BA7-E74DEB70A7DA-14">
      <extobjdata type="E657119C-6982-421D-8BA7-E74DEB70A7DA" data="ewoJIkxhdGV4U3RyIiA6ICJUb3Rhe3tsfV97Zmxvd319Igp9Cg=="/>
    </extobj>
    <extobj name="E657119C-6982-421D-8BA7-E74DEB70A7DA-15">
      <extobjdata type="E657119C-6982-421D-8BA7-E74DEB70A7DA" data="ewoJIkxhdGV4U3RyIiA6ICJUb3Rhe3tsfV97Zmxvd319Igp9Cg=="/>
    </extobj>
    <extobj name="E657119C-6982-421D-8BA7-E74DEB70A7DA-16">
      <extobjdata type="E657119C-6982-421D-8BA7-E74DEB70A7DA" data="ewoJIkxhdGV4U3RyIiA6ICJUb3Rhe3tsfV97Zmxvd319Igp9Cg=="/>
    </extobj>
    <extobj name="E657119C-6982-421D-8BA7-E74DEB70A7DA-17">
      <extobjdata type="E657119C-6982-421D-8BA7-E74DEB70A7DA" data="ewoJIkxhdGV4U3RyIiA6ICIoe3tSfV97bmlnaHR9fT1OdXt7bX1fe25pZ2h0fX0vTnV7e219X3t0b3RhbH19KSIKfQo="/>
    </extobj>
    <extobj name="E657119C-6982-421D-8BA7-E74DEB70A7DA-18">
      <extobjdata type="E657119C-6982-421D-8BA7-E74DEB70A7DA" data="ewoJIkxhdGV4U3RyIiA6ICJOdXt7bX1fe3RvdGFsfX0iCn0K"/>
    </extobj>
    <extobj name="E657119C-6982-421D-8BA7-E74DEB70A7DA-19">
      <extobjdata type="E657119C-6982-421D-8BA7-E74DEB70A7DA" data="ewoJIkxhdGV4U3RyIiA6ICJ7e1J9X3tuaWdodH19Igp9Cg=="/>
    </extobj>
    <extobj name="E657119C-6982-421D-8BA7-E74DEB70A7DA-20">
      <extobjdata type="E657119C-6982-421D-8BA7-E74DEB70A7DA" data="ewoJIkxhdGV4U3RyIiA6ICJ7e1J9X3tuaWdodH19Igp9Cg=="/>
    </extobj>
    <extobj name="E657119C-6982-421D-8BA7-E74DEB70A7DA-21">
      <extobjdata type="E657119C-6982-421D-8BA7-E74DEB70A7DA" data="ewoJIkxhdGV4U3RyIiA6ICJ7e1J9X3tuaWdodH19Igp9Cg=="/>
    </extobj>
    <extobj name="E657119C-6982-421D-8BA7-E74DEB70A7DA-22">
      <extobjdata type="E657119C-6982-421D-8BA7-E74DEB70A7DA" data="ewoJIkxhdGV4U3RyIiA6ICIoQXZ7e2d9X3thbXR9fT1Ub3Rhe3tsfV97Zmxvd319L051e3ttfV97dG90YWx9fSkiCn0K"/>
    </extobj>
    <extobj name="E657119C-6982-421D-8BA7-E74DEB70A7DA-23">
      <extobjdata type="E657119C-6982-421D-8BA7-E74DEB70A7DA" data="ewoJIkxhdGV4U3RyIiA6ICJBdnt7Z31fe2FtdH19Igp9Cg=="/>
    </extobj>
    <extobj name="E657119C-6982-421D-8BA7-E74DEB70A7DA-24">
      <extobjdata type="E657119C-6982-421D-8BA7-E74DEB70A7DA" data="ewoJIkxhdGV4U3RyIiA6ICJBdnt7Z31fe2FtdH19Igp9Cg=="/>
    </extobj>
    <extobj name="E657119C-6982-421D-8BA7-E74DEB70A7DA-25">
      <extobjdata type="E657119C-6982-421D-8BA7-E74DEB70A7DA" data="ewoJIkxhdGV4U3RyIiA6ICJBdnt7Z31fe2FtdH19Igp9Cg=="/>
    </extobj>
    <extobj name="E657119C-6982-421D-8BA7-E74DEB70A7DA-26">
      <extobjdata type="E657119C-6982-421D-8BA7-E74DEB70A7DA" data="ewoJIkxhdGV4U3RyIiA6ICIoe3tEfV97dHJhZGV9fT1OdXt7bX1fe3RvdGFsfX0ve3tUfV97c3Bhbn19KSIKfQo="/>
    </extobj>
    <extobj name="E657119C-6982-421D-8BA7-E74DEB70A7DA-27">
      <extobjdata type="E657119C-6982-421D-8BA7-E74DEB70A7DA" data="ewoJIkxhdGV4U3RyIiA6ICJ7e1R9X3tzcGFufX0iCn0K"/>
    </extobj>
    <extobj name="E657119C-6982-421D-8BA7-E74DEB70A7DA-28">
      <extobjdata type="E657119C-6982-421D-8BA7-E74DEB70A7DA" data="ewoJIkxhdGV4U3RyIiA6ICJ7e0R9X3t0cmFkZX19Igp9Cg=="/>
    </extobj>
    <extobj name="E657119C-6982-421D-8BA7-E74DEB70A7DA-29">
      <extobjdata type="E657119C-6982-421D-8BA7-E74DEB70A7DA" data="ewoJIkxhdGV4U3RyIiA6ICIoU2Nvcnt7ZX1fe2dyYXBofX0pIgp9Cg=="/>
    </extobj>
    <extobj name="E657119C-6982-421D-8BA7-E74DEB70A7DA-30">
      <extobjdata type="E657119C-6982-421D-8BA7-E74DEB70A7DA" data="ewoJIkxhdGV4U3RyIiA6ICIoU2Nvcnt7ZX1fe2F0dHJ9fSkiCn0K"/>
    </extobj>
    <extobj name="E657119C-6982-421D-8BA7-E74DEB70A7DA-31">
      <extobjdata type="E657119C-6982-421D-8BA7-E74DEB70A7DA" data="ewoJIkxhdGV4U3RyIiA6ICJTY29ye3tlfV97dG90YWx9fSIKfQo="/>
    </extobj>
    <extobj name="E657119C-6982-421D-8BA7-E74DEB70A7DA-32">
      <extobjdata type="E657119C-6982-421D-8BA7-E74DEB70A7DA" data="ewoJIkxhdGV4U3RyIiA6ICJTY29ye3tlfV97dG90YWx9fSIKfQo="/>
    </extobj>
    <extobj name="E657119C-6982-421D-8BA7-E74DEB70A7DA-33">
      <extobjdata type="E657119C-6982-421D-8BA7-E74DEB70A7DA" data="ewoJIkxhdGV4U3RyIiA6ICJTY29ye3tlfV97dG90YWx9fSIKfQo="/>
    </extobj>
    <extobj name="E657119C-6982-421D-8BA7-E74DEB70A7DA-34">
      <extobjdata type="E657119C-6982-421D-8BA7-E74DEB70A7DA" data="ewoJIkxhdGV4U3RyIiA6ICJTY29ye3tlfV97dG90YWx9fSIKfQo="/>
    </extobj>
    <extobj name="E657119C-6982-421D-8BA7-E74DEB70A7DA-35">
      <extobjdata type="E657119C-6982-421D-8BA7-E74DEB70A7DA" data="ewoJIkxhdGV4U3RyIiA6ICJTY29ye3tlfV97dG90YWx9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9072</Words>
  <Characters>9743</Characters>
  <Lines>1</Lines>
  <Paragraphs>1</Paragraphs>
  <TotalTime>0</TotalTime>
  <ScaleCrop>false</ScaleCrop>
  <LinksUpToDate>false</LinksUpToDate>
  <CharactersWithSpaces>10109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2026-07-23T12:58:00Z</dcterms:created>
  <dc:creator>86156</dc:creator>
  <cp:lastModifiedBy>奇她。</cp:lastModifiedBy>
  <dcterms:modified xsi:type="dcterms:W3CDTF">2026-07-31T19:17:09Z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KSOTemplateDocerSaveRecord">
    <vt:lpwstr>eyJoZGlkIjoiNzdhZTg4OTM2MThlODE1NGExZTU0MmYzNWRmNmVlZjYiLCJ1c2VySWQiOiIxMTM4ODExNTg2In0=</vt:lpwstr>
  </property>
  <property fmtid="{D5CDD505-2E9C-101B-9397-08002B2CF9AE}" pid="4" name="ICV">
    <vt:lpwstr>815AA25B75B1D64A35846C6A0C8C5B17_43</vt:lpwstr>
  </property>
</Properties>
</file>