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360" w:line="240"/>
        <w:jc w:val="center"/>
      </w:pPr>
      <w:r>
        <w:rPr>
          <w:rFonts w:ascii="Times New Roman" w:eastAsia="黑体"/>
          <w:b/>
          <w:bCs/>
          <w:color w:val="000000"/>
          <w:sz w:val="36"/>
          <w:szCs w:val="36"/>
        </w:rPr>
        <w:t xml:space="preserve">旗舰店双11商品上架与视觉设计规范 SOP</w:t>
      </w:r>
    </w:p>
    <w:p>
      <w:pPr>
        <w:spacing w:after="160" w:line="360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本文档为天猫及京东官方旗舰店双11大促期间的标准化作业程序（SOP）。旨在统一全店商品上架标准、规范主图与详情页排版逻辑、提升商品转化的同时降低违规风险。本规范自发布之日起执行，全体运营、视觉美工及文案策划人员须严格遵守。</w:t>
      </w:r>
    </w:p>
    <w:p>
      <w:pPr>
        <w:spacing w:after="240" w:before="120" w:line="440" w:lineRule="exact"/>
        <w:ind w:left="480" w:right="480" w:firstLine="0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 xml:space="preserve">【核心警告】所有上架商品主图及详情页严禁使用“全网第一”、“销量冠军”、“国家级”等新广告法明确禁止的绝对化极限词。违者一经发现，除立即下架商品外，责任人须承担相关行政罚款及店铺扣分损失。</w:t>
      </w:r>
    </w:p>
    <w:p>
      <w:pPr>
        <w:spacing w:after="120" w:before="240" w:line="240"/>
        <w:ind w:firstLine="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一、商品主图设计与视觉呈现规范</w:t>
      </w:r>
    </w:p>
    <w:p>
      <w:pPr>
        <w:pStyle w:val="ListParagraph"/>
        <w:numPr>
          <w:ilvl w:val="0"/>
          <w:numId w:val="2"/>
        </w:numPr>
        <w:spacing w:after="120" w:line="36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主图尺寸与格式要求：主图像素统一为 800x800 或 1500x1500（建议正方形，图片大小不超过 3MB），格式统一保存为 JPG 格式。</w:t>
      </w:r>
    </w:p>
    <w:p>
      <w:pPr>
        <w:pStyle w:val="ListParagraph"/>
        <w:numPr>
          <w:ilvl w:val="0"/>
          <w:numId w:val="2"/>
        </w:numPr>
        <w:spacing w:after="120" w:line="36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首图白底图要求：第 1 张主图必须为无边框、无水印、无 LOGO 的纯白底高清商品图，便于接入平台搜索推荐流量池。</w:t>
      </w:r>
    </w:p>
    <w:p>
      <w:pPr>
        <w:pStyle w:val="ListParagraph"/>
        <w:numPr>
          <w:ilvl w:val="0"/>
          <w:numId w:val="2"/>
        </w:numPr>
        <w:spacing w:after="120" w:line="36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促销利益点打标：第 2 至第 4 张主图可添加双11官方统一活动边框，左上角标明“预售立减”、右下角标明“赠同款替换芯”，利益点文字不得遮挡商品主体。</w:t>
      </w:r>
    </w:p>
    <w:p>
      <w:pPr>
        <w:spacing w:after="120" w:before="240" w:line="240"/>
        <w:ind w:firstLine="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二、商品详情页文案与排版结构要求</w:t>
      </w:r>
    </w:p>
    <w:p>
      <w:pPr>
        <w:spacing w:after="120" w:line="300"/>
        <w:ind w:firstLine="480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 xml:space="preserve">场景化痛点引入：</w:t>
      </w:r>
      <w:r>
        <w:rPr>
          <w:rFonts w:ascii="Times New Roman" w:eastAsia="宋体"/>
          <w:color w:val="000000"/>
          <w:sz w:val="24"/>
          <w:szCs w:val="24"/>
        </w:rPr>
        <w:t xml:space="preserve">详情页前 2 屏必须集中展示用户核心痛点，通过高清对比图配合简练文案，快速抓住买家注意力。</w:t>
      </w:r>
    </w:p>
    <w:p>
      <w:pPr>
        <w:spacing w:after="120" w:line="300"/>
        <w:ind w:firstLine="480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 xml:space="preserve">核心卖点参数化：</w:t>
      </w:r>
      <w:r>
        <w:rPr>
          <w:rFonts w:ascii="Times New Roman" w:eastAsia="宋体"/>
          <w:color w:val="000000"/>
          <w:sz w:val="24"/>
          <w:szCs w:val="24"/>
        </w:rPr>
        <w:t xml:space="preserve">详情页中段须列出详细的产品规格参数表，包括材质、产地、保质期、使用方法及售后保障条款等。</w:t>
      </w:r>
    </w:p>
    <w:p>
      <w:pPr>
        <w:spacing w:after="120" w:before="240" w:line="240"/>
        <w:ind w:firstLine="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三、电商活动报名与商品定价核算机制</w:t>
      </w:r>
    </w:p>
    <w:p>
      <w:pPr>
        <w:pStyle w:val="ListParagraph"/>
        <w:numPr>
          <w:ilvl w:val="0"/>
          <w:numId w:val="2"/>
        </w:numPr>
        <w:spacing w:after="120" w:line="36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活动申报价格公式：申报价格必须低于该商品近 30 天内的最低成交价，且不得高于同行业竞品在同等活动中的售价。</w:t>
      </w:r>
    </w:p>
    <w:p>
      <w:pPr>
        <w:pStyle w:val="ListParagraph"/>
        <w:numPr>
          <w:ilvl w:val="0"/>
          <w:numId w:val="2"/>
        </w:numPr>
        <w:spacing w:after="120" w:line="36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优惠叠加规则核算：运营人员在设置“满减券”、“品类券”、“跨店满减”时，必须经过“运营组长-运营总监”双重交叉复核，确保券后到手价高于商品成本线 15% 以上，严禁出现由于叠券导致的“破价爆单”亏损事故。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2026-10-21T08:59:09.944Z</dcterms:created>
  <dcterms:modified xsi:type="dcterms:W3CDTF">2026-10-21T08:59:09.944Z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