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atLeast" w:line="330" w:before="268" w:after="268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40"/>
        </w:rPr>
        <w:t>技术服务合同</w:t>
      </w:r>
    </w:p>
    <w:p>
      <w:pPr>
        <w:spacing w:lineRule="atLeast" w:line="330" w:before="0" w:after="220"/>
        <w:jc w:val="right"/>
      </w:pPr>
      <w:r>
        <w:rPr>
          <w:rFonts w:ascii="Microsoft YaHei" w:hAnsi="Microsoft YaHei" w:eastAsia="Microsoft YaHei" w:cs="Microsoft YaHei"/>
          <w:color w:val="000000"/>
          <w:sz w:val="22"/>
        </w:rPr>
        <w:t>合同编号：TS-2026-0418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  <w:tcMar>
              <w:top w:w="60" w:type="dxa"/>
              <w:left w:w="180" w:type="dxa"/>
              <w:bottom w:w="60" w:type="dxa"/>
              <w:right w:w="180" w:type="dxa"/>
            </w:tcMar>
          </w:tcPr>
          <w:p>
            <w:pPr>
              <w:spacing w:lineRule="atLeast" w:line="330" w:before="0"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甲方（委托方）：</w:t>
            </w:r>
          </w:p>
        </w:tc>
        <w:tc>
          <w:tcPr>
            <w:tcW w:type="dxa" w:w="5553"/>
            <w:tcMar>
              <w:top w:w="60" w:type="dxa"/>
              <w:left w:w="180" w:type="dxa"/>
              <w:bottom w:w="60" w:type="dxa"/>
              <w:right w:w="180" w:type="dxa"/>
            </w:tcMar>
          </w:tcPr>
          <w:p>
            <w:pPr>
              <w:spacing w:lineRule="atLeast" w:line="330" w:before="0"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星河科技有限公司</w:t>
            </w:r>
          </w:p>
        </w:tc>
      </w:tr>
      <w:tr>
        <w:tc>
          <w:tcPr>
            <w:tcW w:type="dxa" w:w="5553"/>
            <w:tcMar>
              <w:top w:w="60" w:type="dxa"/>
              <w:left w:w="180" w:type="dxa"/>
              <w:bottom w:w="60" w:type="dxa"/>
              <w:right w:w="180" w:type="dxa"/>
            </w:tcMar>
          </w:tcPr>
          <w:p>
            <w:pPr>
              <w:spacing w:lineRule="atLeast" w:line="330" w:before="0"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乙方（服务方）：</w:t>
            </w:r>
          </w:p>
        </w:tc>
        <w:tc>
          <w:tcPr>
            <w:tcW w:type="dxa" w:w="5553"/>
            <w:tcMar>
              <w:top w:w="60" w:type="dxa"/>
              <w:left w:w="180" w:type="dxa"/>
              <w:bottom w:w="60" w:type="dxa"/>
              <w:right w:w="180" w:type="dxa"/>
            </w:tcMar>
          </w:tcPr>
          <w:p>
            <w:pPr>
              <w:spacing w:lineRule="atLeast" w:line="330" w:before="0"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远见软件工作室</w:t>
            </w:r>
          </w:p>
        </w:tc>
      </w:tr>
    </w:tbl>
    <w:p>
      <w:pPr>
        <w:pStyle w:val="Heading2"/>
        <w:spacing w:lineRule="atLeast" w:line="330" w:before="274" w:after="274"/>
        <w:jc w:val="left"/>
      </w:pPr>
      <w:r>
        <w:rPr>
          <w:rFonts w:ascii="Microsoft YaHei" w:hAnsi="Microsoft YaHei" w:eastAsia="Microsoft YaHei" w:cs="Microsoft YaHei"/>
          <w:b/>
          <w:color w:val="000000"/>
          <w:sz w:val="33"/>
        </w:rPr>
        <w:t>第一条 服务内容</w:t>
      </w:r>
    </w:p>
    <w:p>
      <w:pPr>
        <w:pStyle w:val="ListNumber"/>
        <w:spacing w:lineRule="atLeast" w:line="330" w:before="0" w:after="0"/>
        <w:jc w:val="left"/>
      </w:pPr>
      <w:r>
        <w:rPr>
          <w:rFonts w:ascii="Microsoft YaHei" w:hAnsi="Microsoft YaHei" w:eastAsia="Microsoft YaHei" w:cs="Microsoft YaHei"/>
          <w:color w:val="000000"/>
          <w:sz w:val="22"/>
        </w:rPr>
        <w:t>乙方为甲方提供数据平台的设计、开发与部署服务。</w:t>
      </w:r>
    </w:p>
    <w:p>
      <w:pPr>
        <w:pStyle w:val="ListNumber2"/>
        <w:spacing w:lineRule="atLeast" w:line="330" w:before="0" w:after="0"/>
        <w:jc w:val="left"/>
      </w:pPr>
      <w:r>
        <w:rPr>
          <w:rFonts w:ascii="Microsoft YaHei" w:hAnsi="Microsoft YaHei" w:eastAsia="Microsoft YaHei" w:cs="Microsoft YaHei"/>
          <w:color w:val="000000"/>
          <w:sz w:val="22"/>
        </w:rPr>
        <w:t>需求调研与方案设计；</w:t>
      </w:r>
    </w:p>
    <w:p>
      <w:pPr>
        <w:pStyle w:val="ListNumber2"/>
        <w:spacing w:lineRule="atLeast" w:line="330" w:before="0" w:after="0"/>
        <w:jc w:val="left"/>
      </w:pPr>
      <w:r>
        <w:rPr>
          <w:rFonts w:ascii="Microsoft YaHei" w:hAnsi="Microsoft YaHei" w:eastAsia="Microsoft YaHei" w:cs="Microsoft YaHei"/>
          <w:color w:val="000000"/>
          <w:sz w:val="22"/>
        </w:rPr>
        <w:t>系统开发与单元测试；</w:t>
      </w:r>
    </w:p>
    <w:p>
      <w:pPr>
        <w:pStyle w:val="ListNumber2"/>
        <w:spacing w:lineRule="atLeast" w:line="330" w:before="0" w:after="0"/>
        <w:jc w:val="left"/>
      </w:pPr>
      <w:r>
        <w:rPr>
          <w:rFonts w:ascii="Microsoft YaHei" w:hAnsi="Microsoft YaHei" w:eastAsia="Microsoft YaHei" w:cs="Microsoft YaHei"/>
          <w:color w:val="000000"/>
          <w:sz w:val="22"/>
        </w:rPr>
        <w:t>上线部署与运维交接。</w:t>
      </w:r>
    </w:p>
    <w:p>
      <w:pPr>
        <w:pStyle w:val="ListNumber"/>
        <w:spacing w:lineRule="atLeast" w:line="330" w:before="0" w:after="0"/>
        <w:jc w:val="left"/>
      </w:pPr>
      <w:r>
        <w:rPr>
          <w:rFonts w:ascii="Microsoft YaHei" w:hAnsi="Microsoft YaHei" w:eastAsia="Microsoft YaHei" w:cs="Microsoft YaHei"/>
          <w:color w:val="000000"/>
          <w:sz w:val="22"/>
        </w:rPr>
        <w:t>服务期限自 2026 年 11 月 1 日起至 2027 年 4 月 30 日止。</w:t>
      </w:r>
    </w:p>
    <w:p>
      <w:pPr>
        <w:pStyle w:val="Heading2"/>
        <w:spacing w:lineRule="atLeast" w:line="330" w:before="274" w:after="274"/>
        <w:jc w:val="left"/>
      </w:pPr>
      <w:r>
        <w:rPr>
          <w:rFonts w:ascii="Microsoft YaHei" w:hAnsi="Microsoft YaHei" w:eastAsia="Microsoft YaHei" w:cs="Microsoft YaHei"/>
          <w:b/>
          <w:color w:val="000000"/>
          <w:sz w:val="33"/>
        </w:rPr>
        <w:t>第二条 费用与支付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rPr>
          <w:tblHeader/>
        </w:trPr>
        <w:tc>
          <w:tcPr>
            <w:tcW w:type="dxa" w:w="2776"/>
            <w:vMerge w:val="restart"/>
            <w:shd w:val="clear" w:color="auto" w:fill="DDE6F0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center"/>
              <w:shd w:val="clear" w:color="auto" w:fill="DDE6F0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阶段</w:t>
            </w:r>
          </w:p>
        </w:tc>
        <w:tc>
          <w:tcPr>
            <w:tcW w:type="dxa" w:w="5552"/>
            <w:gridSpan w:val="2"/>
            <w:shd w:val="clear" w:color="auto" w:fill="DDE6F0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center"/>
              <w:shd w:val="clear" w:color="auto" w:fill="DDE6F0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付款</w:t>
            </w:r>
          </w:p>
        </w:tc>
        <w:tc>
          <w:tcPr>
            <w:tcW w:type="dxa" w:w="2776"/>
            <w:vMerge w:val="restart"/>
            <w:shd w:val="clear" w:color="auto" w:fill="DDE6F0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center"/>
              <w:shd w:val="clear" w:color="auto" w:fill="DDE6F0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条件</w:t>
            </w:r>
          </w:p>
        </w:tc>
      </w:tr>
      <w:tr>
        <w:trPr>
          <w:tblHeader/>
        </w:trPr>
        <w:tc>
          <w:tcPr>
            <w:tcW w:type="dxa" w:w="2776"/>
            <w:vMerge/>
          </w:tcPr>
          <w:p/>
        </w:tc>
        <w:tc>
          <w:tcPr>
            <w:tcW w:type="dxa" w:w="2776"/>
            <w:shd w:val="clear" w:color="auto" w:fill="DDE6F0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center"/>
              <w:shd w:val="clear" w:color="auto" w:fill="DDE6F0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比例</w:t>
            </w:r>
          </w:p>
        </w:tc>
        <w:tc>
          <w:tcPr>
            <w:tcW w:type="dxa" w:w="2776"/>
            <w:shd w:val="clear" w:color="auto" w:fill="DDE6F0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center"/>
              <w:shd w:val="clear" w:color="auto" w:fill="DDE6F0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2"/>
              </w:rPr>
              <w:t>金额（元）</w:t>
            </w:r>
          </w:p>
        </w:tc>
        <w:tc>
          <w:tcPr>
            <w:tcW w:type="dxa" w:w="2776"/>
            <w:vMerge/>
          </w:tcPr>
          <w:p/>
        </w:tc>
      </w:tr>
      <w:tr>
        <w:tc>
          <w:tcPr>
            <w:tcW w:type="dxa" w:w="2776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left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签约</w:t>
            </w:r>
          </w:p>
        </w:tc>
        <w:tc>
          <w:tcPr>
            <w:tcW w:type="dxa" w:w="2776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left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30%</w:t>
            </w:r>
          </w:p>
        </w:tc>
        <w:tc>
          <w:tcPr>
            <w:tcW w:type="dxa" w:w="2776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left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90,000</w:t>
            </w:r>
          </w:p>
        </w:tc>
        <w:tc>
          <w:tcPr>
            <w:tcW w:type="dxa" w:w="2776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left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合同生效后 5 个工作日内</w:t>
            </w:r>
          </w:p>
        </w:tc>
      </w:tr>
      <w:tr>
        <w:tc>
          <w:tcPr>
            <w:tcW w:type="dxa" w:w="2776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left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验收</w:t>
            </w:r>
          </w:p>
        </w:tc>
        <w:tc>
          <w:tcPr>
            <w:tcW w:type="dxa" w:w="2776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left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60%</w:t>
            </w:r>
          </w:p>
        </w:tc>
        <w:tc>
          <w:tcPr>
            <w:tcW w:type="dxa" w:w="2776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left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180,000</w:t>
            </w:r>
          </w:p>
        </w:tc>
        <w:tc>
          <w:tcPr>
            <w:tcW w:type="dxa" w:w="2776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left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系统验收合格</w:t>
            </w:r>
          </w:p>
        </w:tc>
      </w:tr>
      <w:tr>
        <w:tc>
          <w:tcPr>
            <w:tcW w:type="dxa" w:w="2776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left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质保</w:t>
            </w:r>
          </w:p>
        </w:tc>
        <w:tc>
          <w:tcPr>
            <w:tcW w:type="dxa" w:w="2776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left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10%</w:t>
            </w:r>
          </w:p>
        </w:tc>
        <w:tc>
          <w:tcPr>
            <w:tcW w:type="dxa" w:w="2776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left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30,000</w:t>
            </w:r>
          </w:p>
        </w:tc>
        <w:tc>
          <w:tcPr>
            <w:tcW w:type="dxa" w:w="2776"/>
            <w:tcBorders>
              <w:top w:val="single" w:sz="6" w:space="1" w:color="555555"/>
              <w:left w:val="single" w:sz="6" w:space="1" w:color="555555"/>
              <w:bottom w:val="single" w:sz="6" w:space="1" w:color="555555"/>
              <w:right w:val="single" w:sz="6" w:space="1" w:color="55555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lineRule="atLeast" w:line="330" w:before="0" w:after="0"/>
              <w:jc w:val="left"/>
              <w:pBdr>
                <w:top w:val="single" w:sz="6" w:space="1" w:color="555555"/>
                <w:left w:val="single" w:sz="6" w:space="1" w:color="555555"/>
                <w:bottom w:val="single" w:sz="6" w:space="1" w:color="555555"/>
                <w:right w:val="single" w:sz="6" w:space="1" w:color="555555"/>
              </w:pBdr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质保期满无重大缺陷</w:t>
            </w:r>
          </w:p>
        </w:tc>
      </w:tr>
    </w:tbl>
    <w:p>
      <w:pPr>
        <w:spacing w:lineRule="atLeast" w:line="330" w:before="220" w:after="220"/>
        <w:jc w:val="left"/>
      </w:pPr>
      <w:r>
        <w:rPr>
          <w:rFonts w:ascii="Microsoft YaHei" w:hAnsi="Microsoft YaHei" w:eastAsia="Microsoft YaHei" w:cs="Microsoft YaHei"/>
          <w:color w:val="000000"/>
          <w:sz w:val="22"/>
        </w:rPr>
        <w:t xml:space="preserve">合同总价为人民币 </w:t>
      </w:r>
      <w:r>
        <w:rPr>
          <w:rFonts w:ascii="Microsoft YaHei" w:hAnsi="Microsoft YaHei" w:eastAsia="Microsoft YaHei" w:cs="Microsoft YaHei"/>
          <w:b/>
          <w:color w:val="C00000"/>
          <w:sz w:val="22"/>
        </w:rPr>
        <w:t>叁拾万元整（¥300,000）</w:t>
      </w:r>
      <w:r>
        <w:rPr>
          <w:rFonts w:ascii="Microsoft YaHei" w:hAnsi="Microsoft YaHei" w:eastAsia="Microsoft YaHei" w:cs="Microsoft YaHei"/>
          <w:color w:val="000000"/>
          <w:sz w:val="22"/>
        </w:rPr>
        <w:t>，含 6% 增值税。</w:t>
      </w:r>
    </w:p>
    <w:p>
      <w:pPr>
        <w:pStyle w:val="Heading2"/>
        <w:spacing w:lineRule="atLeast" w:line="330" w:before="54" w:after="274"/>
        <w:jc w:val="left"/>
      </w:pPr>
      <w:r>
        <w:rPr>
          <w:rFonts w:ascii="Microsoft YaHei" w:hAnsi="Microsoft YaHei" w:eastAsia="Microsoft YaHei" w:cs="Microsoft YaHei"/>
          <w:b/>
          <w:color w:val="000000"/>
          <w:sz w:val="33"/>
        </w:rPr>
        <w:t>第三条 保密</w:t>
      </w:r>
    </w:p>
    <w:p>
      <w:pPr>
        <w:spacing w:lineRule="atLeast" w:line="330" w:before="0" w:after="220"/>
        <w:jc w:val="left"/>
      </w:pPr>
      <w:r>
        <w:rPr>
          <w:rFonts w:ascii="Microsoft YaHei" w:hAnsi="Microsoft YaHei" w:eastAsia="Microsoft YaHei" w:cs="Microsoft YaHei"/>
          <w:color w:val="000000"/>
          <w:sz w:val="22"/>
        </w:rPr>
        <w:t>双方对在履行本合同过程中知悉的对方商业秘密负有</w:t>
      </w:r>
      <w:r>
        <w:rPr>
          <w:rFonts w:ascii="Microsoft YaHei" w:hAnsi="Microsoft YaHei" w:eastAsia="Microsoft YaHei" w:cs="Microsoft YaHei"/>
          <w:color w:val="000000"/>
          <w:sz w:val="22"/>
          <w:u w:val="single"/>
        </w:rPr>
        <w:t>保密义务</w:t>
      </w:r>
      <w:r>
        <w:rPr>
          <w:rFonts w:ascii="Microsoft YaHei" w:hAnsi="Microsoft YaHei" w:eastAsia="Microsoft YaHei" w:cs="Microsoft YaHei"/>
          <w:color w:val="000000"/>
          <w:sz w:val="22"/>
        </w:rPr>
        <w:t xml:space="preserve">，保密期限为合同终止后 </w:t>
      </w:r>
      <w:r>
        <w:rPr>
          <w:rFonts w:ascii="Microsoft YaHei" w:hAnsi="Microsoft YaHei" w:eastAsia="Microsoft YaHei" w:cs="Microsoft YaHei"/>
          <w:b/>
          <w:color w:val="000000"/>
          <w:sz w:val="22"/>
        </w:rPr>
        <w:t>三年</w:t>
      </w:r>
      <w:r>
        <w:rPr>
          <w:rFonts w:ascii="Microsoft YaHei" w:hAnsi="Microsoft YaHei" w:eastAsia="Microsoft YaHei" w:cs="Microsoft YaHei"/>
          <w:color w:val="000000"/>
          <w:sz w:val="22"/>
        </w:rPr>
        <w:t>。</w:t>
      </w:r>
    </w:p>
    <w:p>
      <w:pPr>
        <w:pStyle w:val="Heading2"/>
        <w:spacing w:lineRule="atLeast" w:line="330" w:before="54" w:after="274"/>
        <w:jc w:val="left"/>
      </w:pPr>
      <w:r>
        <w:rPr>
          <w:rFonts w:ascii="Microsoft YaHei" w:hAnsi="Microsoft YaHei" w:eastAsia="Microsoft YaHei" w:cs="Microsoft YaHei"/>
          <w:b/>
          <w:color w:val="000000"/>
          <w:sz w:val="33"/>
        </w:rPr>
        <w:t>第四条 违约责任</w:t>
      </w:r>
    </w:p>
    <w:p>
      <w:pPr>
        <w:spacing w:lineRule="atLeast" w:line="330" w:before="0" w:after="220"/>
        <w:jc w:val="left"/>
      </w:pPr>
      <w:r>
        <w:rPr>
          <w:rFonts w:ascii="Microsoft YaHei" w:hAnsi="Microsoft YaHei" w:eastAsia="Microsoft YaHei" w:cs="Microsoft YaHei"/>
          <w:color w:val="000000"/>
          <w:sz w:val="22"/>
        </w:rPr>
        <w:t xml:space="preserve">任何一方违反本合同约定的，应向守约方支付合同总价 </w:t>
      </w:r>
      <w:r>
        <w:rPr>
          <w:rFonts w:ascii="Microsoft YaHei" w:hAnsi="Microsoft YaHei" w:eastAsia="Microsoft YaHei" w:cs="Microsoft YaHei"/>
          <w:i/>
          <w:color w:val="000000"/>
          <w:sz w:val="22"/>
        </w:rPr>
        <w:t>20%</w:t>
      </w:r>
      <w:r>
        <w:rPr>
          <w:rFonts w:ascii="Microsoft YaHei" w:hAnsi="Microsoft YaHei" w:eastAsia="Microsoft YaHei" w:cs="Microsoft YaHei"/>
          <w:color w:val="000000"/>
          <w:sz w:val="22"/>
        </w:rPr>
        <w:t xml:space="preserve"> 的违约金；违约金不足以弥补损失的，还应赔偿差额部分。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pPr>
              <w:spacing w:lineRule="atLeast" w:line="330" w:before="0"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甲方（盖章）：</w:t>
            </w:r>
          </w:p>
        </w:tc>
        <w:tc>
          <w:tcPr>
            <w:tcW w:type="dxa" w:w="5553"/>
          </w:tcPr>
          <w:p>
            <w:pPr>
              <w:spacing w:lineRule="atLeast" w:line="330" w:before="0"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乙方（盖章）：</w:t>
            </w:r>
          </w:p>
        </w:tc>
      </w:tr>
      <w:tr>
        <w:tc>
          <w:tcPr>
            <w:tcW w:type="dxa" w:w="5553"/>
          </w:tcPr>
          <w:p>
            <w:pPr>
              <w:spacing w:lineRule="atLeast" w:line="330" w:before="0"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日期：2026 年 10 月 20 日</w:t>
            </w:r>
          </w:p>
        </w:tc>
        <w:tc>
          <w:tcPr>
            <w:tcW w:type="dxa" w:w="5553"/>
          </w:tcPr>
          <w:p>
            <w:pPr>
              <w:spacing w:lineRule="atLeast" w:line="330" w:before="0"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22"/>
              </w:rPr>
              <w:t>日期：2026 年 10 月 20 日</w:t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技术服务合同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