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3-4 : Data Modeling Terminology and Mapping Practices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Identify entities, attributes, instances and their corresponding tables, rows and columns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A. primary key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B. foreign key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C. unique key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D. mandatory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E. optional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 A. ATR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B. PLR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C. CTR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Mapping the Academic Database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PARENT INFO, STUDENT, STUDENT COURSE DETAIL, COURSE, DEPARTMENT, FACULTY, ONLINE, SEATED, STUDENT ATTENDANCE, ACADEMIC SESSION, EXAM RESULT, EXAM, FACULTY COURSE DETAIL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 Parent Information entity: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 ID -- pk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* parent 1 FN -- mandatory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* parent 1 LN -- mandatory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parent 2 FN -- mandatory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parent 2 LN -- mandatory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#student Id -- foreign key for the entity Student where attributes are: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ID -- pk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*First Name -- mandatory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*Last Name -- mandatory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*Registration Year -- mandatory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*Email -- mandatory, uk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#grade -- foreign key for the Student Course Detail where one attribute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*Grade -- mandatory and 2 foreign keys: student id and course id what are make relationships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two entities: Student and Course.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