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单一重仓持仓处理备忘录</w:t>
      </w:r>
    </w:p>
    <w:p>
      <w:r>
        <w:rPr>
          <w:b w:val="0"/>
        </w:rPr>
        <w:t>供客户经理下一次沟通使用 ｜ 分析截点：2026年8月26日 10:30（北京时间）｜ 标的：S01 ｜ 人民币计价</w:t>
      </w:r>
    </w:p>
    <w:p>
      <w:r>
        <w:rPr>
          <w:b w:val="0"/>
        </w:rPr>
        <w:t>说明：本备忘录仅依据《单一重仓持仓记录.docx》与《持仓标的价格与事件.xlsx》，未使用任何附件外行情；不构成收益或成交承诺，所有价格情景均为假设而非预测。</w:t>
      </w:r>
    </w:p>
    <w:p>
      <w:pPr>
        <w:pStyle w:val="Heading1"/>
      </w:pPr>
      <w:r>
        <w:t>决策摘要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须在11月15日（实际可执行日11月13日周五）前累计卖出约12,600股，使单一证券占比降到60%以内；完全保留A批与该硬约束不相容，最少须从A批卖出2,600股。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最紧约束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单一证券≤账户总资产60% ｜ 当前85.43% ｜ 阈值60% ｜ 反解达标=累计卖出12,600股（31.40元口径）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首要动作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按“C旧→C今日→B未质押→A”顺序，于正常波动下分3批、每日≤6,000股，累计12,600股，11月13日前完成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最迟行动日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2026-11-13（周五）；11-15为周日，付款顺延至前一交易日备妥资金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未决事项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A股10月休市安排、B批6,000股质押能否当日解除、卖出结算到账T+1/T+2口径均未在材料中给出，须以券商与交易所日历复核</w:t>
            </w:r>
          </w:p>
        </w:tc>
      </w:tr>
    </w:tbl>
    <w:p>
      <w:r>
        <w:rPr>
          <w:b w:val="0"/>
        </w:rPr>
        <w:t>核心矛盾一句话：现有现金150,000元本身可覆盖10-30的120,000元首笔支出，真正的硬约束是“单票≤60%”——它要求卖出12,600股，远多于仅凑现金所需的4,800股；而客户想全额保留的A批恰好不在“无需动A即可合规”的范围内。</w:t>
      </w:r>
    </w:p>
    <w:p>
      <w:pPr>
        <w:pStyle w:val="Heading1"/>
      </w:pPr>
      <w:r>
        <w:t>一、持仓勾稽与当前盈亏</w:t>
      </w:r>
    </w:p>
    <w:p>
      <w:r>
        <w:rPr>
          <w:b w:val="0"/>
        </w:rPr>
        <w:t>账户仅持有S01与人民币现金，无其他证券、融资或借款。截至截点按盘中参考价31.40元勾稽如下：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勾稽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持股总数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28,000股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A12,000+B8,000+C8,000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证券市值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879,200元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28,000 × 31.40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现金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150,000元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材料给定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账户资产合计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1,029,200元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879,200 + 150,000，与材料一致，无残差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单票当前权重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85.43%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879,200 / 1,029,200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持仓总成本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712,000元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见下表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浮动盈亏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+167,200元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879,200 − 712,000</w:t>
            </w:r>
          </w:p>
        </w:tc>
      </w:tr>
    </w:tbl>
    <w:p>
      <w:r>
        <w:rPr>
          <w:b w:val="0"/>
        </w:rPr>
        <w:t>分批次成本与浮动盈亏（按31.40元）：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批次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股数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单位成本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浮动盈亏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18.20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+158,400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无质押/限售，客户希望长期保留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B（未质押部分）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27.60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+7,600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当日可卖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B（已质押部分）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27.60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+22,800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11-30后才可申请解除，是否当日登记未确认，不得计入当前可卖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C（6-12买入）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−16,200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当日可卖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C（8-26今日买入）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2,000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−5,400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当日不可卖（T+0），8-27起可卖</w:t>
            </w:r>
          </w:p>
        </w:tc>
      </w:tr>
    </w:tbl>
    <w:p>
      <w:pPr>
        <w:pStyle w:val="Heading1"/>
      </w:pPr>
      <w:r>
        <w:t>二、可交易批次台账（勿把“未质押”等同于“立即可卖”）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批次/部分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股数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成本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可卖起始日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当前(8-26 10:30)可卖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11-15前可卖上限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18.20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已可卖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B未质押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27.60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已可卖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B质押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27.60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最早11-30申请后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0（不得计入；解除与否未确认）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C(6-12)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34.10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已可卖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C(8-26今日)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34.10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8-27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28,000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20,000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22,000</w:t>
            </w:r>
          </w:p>
        </w:tc>
      </w:tr>
    </w:tbl>
    <w:p>
      <w:r>
        <w:rPr>
          <w:b w:val="0"/>
        </w:rPr>
        <w:t>校验：当前可卖=12,000+2,000+6,000=20,000股，与材料“可以卖出20,000股”一致；今日买入的2,000股当日不可卖，质押的6,000股11-30前不纳入。客户单日卖出偏好≤6,000股，交易按100股整数手。</w:t>
      </w:r>
    </w:p>
    <w:p>
      <w:pPr>
        <w:pStyle w:val="Heading1"/>
      </w:pPr>
      <w:r>
        <w:t>三、未来现金缺口与集中度约束的关系</w:t>
      </w:r>
    </w:p>
    <w:p>
      <w:r>
        <w:rPr>
          <w:b w:val="0"/>
        </w:rPr>
        <w:t>两笔已确定支出：10-30前付120,000元，11-15前再付100,000元；两笔付完后账户至少保留80,000元现金。客户无追加资金计划。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计算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首笔支出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现有现金150,000 ≥ 120,000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无需为凑首笔而提前卖出，付完约剩30,000元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到11-15所需净回款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120,000+100,000+80,000−150,000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= 150,000元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仅凑现金所需股数(31.40元)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150,000 / [31.40×(1−0.08%)]，向上取整手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约4,800股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满足60%所需股数(31.40元)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反解：(28,000−n)×31.4 / 总资产 ≤60%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= 12,600股（少一手12,500→权重60.17%，超限）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现金缺口只要求卖4,800股，60%却要求12,600股；最紧约束是集中度，不是现金</w:t>
            </w:r>
          </w:p>
        </w:tc>
      </w:tr>
    </w:tbl>
    <w:p>
      <w:r>
        <w:rPr>
          <w:b w:val="0"/>
        </w:rPr>
        <w:t>与客户保留A批偏好的冲突：11-15前“不动A”最多只能卖出非A可卖盘 = B未质押2,000 + C全部8,000 = 10,000股。此时(28,000−10,000)×31.4 / 总资产 ≈ 69.9%，仍超60%。故“全额保留A批”与11-15后仍须≤60%不可兼得，最少须从A批卖出2,600股；客户“未回34元前不卖”属偏好而非风险限额例外，不能据此豁免硬约束。</w:t>
      </w:r>
    </w:p>
    <w:p>
      <w:pPr>
        <w:pStyle w:val="Heading1"/>
      </w:pPr>
      <w:r>
        <w:t>四、交易日历与关键时点</w:t>
      </w:r>
    </w:p>
    <w:p>
      <w:r>
        <w:rPr>
          <w:b w:val="0"/>
        </w:rPr>
        <w:t>材料未提供A股休市安排，下表按周一至周五为交易日列示；国庆等法定休市日须以交易所日历为准，落在休市的行动日顺延至下一交易日。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日历日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星期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是否交易日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关键事项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2026-08-26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是（盘中10:30截点）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C批今日买入2,000股当日不可卖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2026-08-27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四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C批今日买入2,000股起可卖，可卖池升至22,000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2026-09-18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中期业绩说明会，波动可能放大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2026-10-30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第一笔教育费120,000元支付截止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2026-11-13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第二笔付款前最后一个可执行交易日（11-15为周日）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2026-11-15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第二笔100,000元支付截止，资金须11-13前备妥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2026-11-30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B批质押6,000股最早可申请解除日，能否当日登记未确认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2026-12-08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年度限售批次解禁，解禁后仍按交易规则处理</w:t>
            </w:r>
          </w:p>
        </w:tc>
      </w:tr>
    </w:tbl>
    <w:p>
      <w:pPr>
        <w:pStyle w:val="Heading1"/>
      </w:pPr>
      <w:r>
        <w:t>五、硬约束状态表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约束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阈值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当前值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反解达标值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主方案交易后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判定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规则号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单票权重(11-15后)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≤60%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85.43%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累计卖12,600股@31.4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59.78%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R1/R2/R3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单票权重(连续两日收&lt;27.5)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&lt;40%（5个交易日内）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未触发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累计卖14,600股@26.8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39.90%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触发后执行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第二笔付款后最低现金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≥80,000元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付完为30,000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净回款≥150,000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约325,000元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单日卖出量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≤6,000股(客户偏好)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分批执行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每日≤6,000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达标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非A批可卖盘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不动A最多卖10,000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需12,600&gt;10,000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须动A2,600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偏好与硬约束冲突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R1</w:t>
            </w:r>
          </w:p>
        </w:tc>
      </w:tr>
    </w:tbl>
    <w:p>
      <w:pPr>
        <w:pStyle w:val="Heading1"/>
      </w:pPr>
      <w:r>
        <w:t>六、分情景处理安排（触发条件 / 可执行数量 / 现金变化 / 处理后持仓比例）</w:t>
      </w:r>
    </w:p>
    <w:p>
      <w:r>
        <w:rPr>
          <w:b w:val="0"/>
        </w:rPr>
        <w:t>以下情景均为假设，不预测价格；各情景“是否保证成交”均为否，以限价挂单、是否成交取决于当时买盘与涨跌停。费用=佣金0.03%(最低5元)+印花税0.05%，合计约0.08%。</w:t>
      </w:r>
    </w:p>
    <w:p>
      <w:pPr>
        <w:pStyle w:val="Heading2"/>
      </w:pPr>
      <w:r>
        <w:t>情景一：正常波动 S01（价格维持29.80–33.60，参考31.40，日均可成交约6,000股）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收盘价维持在29.80–33.60区间，既未破29.80也未连续两日收于27.50以下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可执行数量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累计卖出12,600股：C旧6,000 + C今日2,000(8-27起) + B未质押2,000 + A批2,600；每日≤6,000，约3个交易日完成，11-13前了结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现金变化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成交额395,640元，费用约317元，净回笼约395,324元；付完两笔后现金约325,323元（≥80,000）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处理后持仓比例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余15,400股，市值483,560元，权重59.78%（达标60%）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实现盈亏(扣费后)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C两批合计约−21,801元、B未质押约+7,550元、A批约+34,255元，合计约+20,003元</w:t>
            </w:r>
          </w:p>
        </w:tc>
      </w:tr>
    </w:tbl>
    <w:p>
      <w:pPr>
        <w:pStyle w:val="Heading2"/>
      </w:pPr>
      <w:r>
        <w:t>情景二：跌破风险线 S02（收盘跌破29.80，参考29.20，日均可成交约4,000股）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任一交易日收盘价跌破29.80（前期支撑位）；尚未连续两日收于27.50以下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方向自检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下跌本身虽略降权重，但临近27.50应急线、流动性转差，须提前减仓以保障11-15前达标与到账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可执行数量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确认跌破当日即启动，按≤4,000股/日（受成交量估计约束）分批，累计卖12,700股，仍按C→B未质押→A顺序，11-13前完成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现金变化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成交额370,840元，费用约297元，净回笼约370,543元；付完两笔后现金约300,543元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处理后持仓比例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余15,300股，市值446,760元，权重59.78%（达标）</w:t>
            </w:r>
          </w:p>
        </w:tc>
      </w:tr>
    </w:tbl>
    <w:p>
      <w:pPr>
        <w:pStyle w:val="Heading2"/>
      </w:pPr>
      <w:r>
        <w:t>情景三：价格回升 S03（收盘达到或高于33.60，参考34.00，日均可成交约8,000股）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收盘价达到或高于33.60（前期压力位），接近客户“34元”心理线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可执行数量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借反弹减仓，按客户上限≤6,000股/日执行（成交量8,000不构成额外约束），累计卖12,500股，11-13前完成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现金变化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成交额425,000元，费用约340元，净回笼约424,660元；付完两笔后现金约354,660元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处理后持仓比例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余15,500股，市值527,000元，权重59.77%（达标）；此路径与客户“回到34元再卖”偏好一致</w:t>
            </w:r>
          </w:p>
        </w:tc>
      </w:tr>
    </w:tbl>
    <w:p>
      <w:pPr>
        <w:pStyle w:val="Heading2"/>
      </w:pPr>
      <w:r>
        <w:t>情景四：极端下行 S04（连续两日收盘低于27.50，参考26.80，日均可成交约3,000股）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触发条件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连续两个交易日收盘价低于27.50元，触发材料规定的应急减仓条款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可执行数量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在可交易前提下5个交易日内累计卖14,600股至权重&lt;40%；3,000股/日×5日=15,000≥14,600，可成交；须动用A批约4,600股（偏好让位于强制规则）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现金变化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成交额约391,040元(14,600×26.8)，费用约313元，净回笼约390,727元；本情景会把C/B批的账面亏损部分兑现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处理后持仓比例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余13,400股，权重约39.90%（达标&lt;40%）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备注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此条款优先级高于“未回34不卖”；若某日跌停/买盘稀薄导致3,000股未成交，当日成交记0并顺延、通知客户，不写成已完成</w:t>
            </w:r>
          </w:p>
        </w:tc>
      </w:tr>
    </w:tbl>
    <w:p>
      <w:pPr>
        <w:pStyle w:val="Heading1"/>
      </w:pPr>
      <w:r>
        <w:t>七、if→then 交易纪律表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规则号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动作与数量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执行时点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未成交后手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交易后复核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现有现金150,000≥120,000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首笔支出无需主动卖出，不补仓、不做T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10-30前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付完现金约30,000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价格维持29.80–33.60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累计卖12,600股(C6+C2+B2+A2.6)，≤6,000/日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11-13前完成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限价未成交转入次日同口径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权重≤60%、现金≥80,000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收盘跌破29.80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当日启动，≤4,000/日累计卖12,700股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11-13前完成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当日未成交记0、次日续卖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权重≤60%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收盘≥33.60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借反弹≤6,000/日累计卖12,500股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11-13前完成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未成交次日续卖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权重≤60%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连续两日收盘&lt;27.50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5个交易日内≤3,000/日累计卖14,600股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触发起5日内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跌停/买盘稀薄顺延并通知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权重&lt;40%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B批质押解除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解除登记实际到账前不计入可卖；即使11-30后也不替代上述计划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解除登记确认后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复核可卖池与权重</w:t>
            </w:r>
          </w:p>
        </w:tc>
      </w:tr>
    </w:tbl>
    <w:p>
      <w:pPr>
        <w:pStyle w:val="Heading1"/>
      </w:pPr>
      <w:r>
        <w:t>八、假设与缺失清单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条目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补齐后需重算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价格维持各情景参考价不变至期末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合理推断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12,500–12,800股的反解区间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若实际成交均价不同，按实际价重算整手数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费用仅佣金0.03%+印花税0.05%，无过户费/滑点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材料未给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费用低估约0.08%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补充费率后重算净回笼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A股10月/国庆休市安排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仍缺证据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交易日数与行动日顺延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以交易所日历校正行动日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卖出资金T+1/T+2可转出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仍缺证据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10-30/11-13备妥时点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与券商确认到账日，必要时提前1日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B批6,000股质押解除时点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材料明确未确认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11-15前不计入可卖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若实际提前解除，复核权重与剩余批次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客户“未回34不卖”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偏好非限额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不构成豁免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与硬约束冲突时以硬约束为准并告知客户</w:t>
            </w:r>
          </w:p>
        </w:tc>
      </w:tr>
    </w:tbl>
    <w:p>
      <w:pPr>
        <w:pStyle w:val="Heading1"/>
      </w:pPr>
      <w:r>
        <w:t>九、交付自检回执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自检项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填值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交付清单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声明1件/实际1件：单一重仓持仓处理备忘录.docx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交付主工件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已产出为docx文件（非仅正文）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占比分母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权重分母=账户总资产=市值+现金（交易后=成交后现金+余股市值）；当前分母1,029,200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最紧约束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单票60% / 当前85.43% / 阈值60% / 反解12,600股 / 规则R1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分解型占比加总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批次股数12,000+8,000+8,000=28,000；可卖20,000与材料一致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最不利情景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S04连续两日&lt;27.50，权重39.90%（5日内达标）；S01/S02/S03均约59.8%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日期来源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行动日11-13取自“11-15周日顺延周五”；其余来自事项日历表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数量口径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各规则均为“累计总卖出量”，基准=当前28,000股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费用口径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佣金0.03%+印花0.05%=0.08%；最小佣金5元在各批(成交额≥62,800)均不触发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跨文件一致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12,600股、净回笼395,324、权重59.78%在摘要/情景/规则表一致</w:t>
            </w:r>
          </w:p>
        </w:tc>
      </w:tr>
    </w:tbl>
    <w:p>
      <w:r>
        <w:rPr>
          <w:b/>
        </w:rPr>
        <w:t>非执行声明：本备忘录为分析与沟通材料，未发出也不代表已发出任何委托；所有“以某价限价挂单”是否成交取决于当时买盘、涨跌停与流动性，未成交部分转入后手规则，不承诺成交或收益。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