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账户授权与组合约束说明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资料截点：2026年8月14日17:00（北京时间）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一、账户用途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该账户用于未来六个月的稳健增值安排。客户已确认8月17日净转出5万元，除此之外没有新增入金计划。账户不得融资、融券或使用场外杠杆。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二、已批准的组合约束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单一证券市值不得超过账户总资产的20%。科技主题合计不得超过总资产的40%。内部风险等级为高的持仓合计不得超过总资产的45%。外币资产按截点汇率折算后不得超过总资产的15%。完成已确认的资金转出后，人民币及可随时变现的现金类资产不得低于总资产的10%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若某项指标已经超限，应先说明超限来源和可交易限制，再提出恢复路径。处于停牌、跌停或当日买入不可卖状态的数量，不得写成已经可以成交。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三、交易与费用口径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境内股票按100股整数交易，当日买入部分下一交易日方可卖出。境内ETF按100份整数交易，可用现金分配造成的除权不视为投资损失。港股ETF按500份整数交易。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境内股票佣金按成交额0.03%计算，单笔最低5元；卖出另计成交额0.05%的印花税。境内ETF佣金按成交额0.02%计算，单笔最低5元，不计印花税。港股ETF综合费用按成交额0.10%估算。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四、已知事项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P02在8月14日收盘处于跌停封单状态，次日能否成交尚无确认。P04自8月14日起停牌，复牌日期未确定。P06在8月12日发生每份0.80元现金分配，比较收益时应使用调整后参考价。P07的估值汇率为0.92人民币元/港币，账户内美元现金使用7.18人民币元/美元折算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五、讨论记录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组合经理在内部聊天中提出‘P05长期看好，暂不减持’。该意见未经过客户确认，也未形成风险例外审批，不能替代已批准的单票和科技主题上限。</w:t>
      </w:r>
    </w:p>
    <w:p>
      <w:pPr>
        <w:spacing w:before="0" w:after="0" w:line="240" w:lineRule="auto"/>
      </w:pPr>
      <w:r>
        <w:rPr>
          <w:rFonts w:ascii="SimSun" w:hAnsi="SimSun" w:eastAsia="宋体"/>
          <w:b w:val="0"/>
          <w:i w:val="0"/>
          <w:sz w:val="21"/>
          <w:highlight w:val="default"/>
        </w:rPr>
        <w:t>本资料仅用于组合诊断与交易纪律设计，不代表任何交易已经下达或执行。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