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单一重仓持仓处理备忘录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（持仓诊断与交易纪律 · 供客户经理下次沟通使用）</w:t>
      </w:r>
    </w:p>
    <w:p>
      <w:pPr>
        <w:jc w:val="center"/>
      </w:pPr>
      <w:r>
        <w:rPr>
          <w:rFonts w:ascii="宋体" w:hAnsi="宋体" w:eastAsia="宋体"/>
          <w:b w:val="0"/>
          <w:color w:val="5A5A5A"/>
          <w:sz w:val="18"/>
        </w:rPr>
        <w:t>数据截点：2026年8月26日（周三）10:30（北京时间，盘中）  标的：S01  币种：人民币</w:t>
      </w:r>
    </w:p>
    <w:p>
      <w:r>
        <w:rPr>
          <w:rFonts w:ascii="黑体" w:hAnsi="黑体" w:eastAsia="黑体"/>
          <w:b/>
          <w:sz w:val="26"/>
        </w:rPr>
        <w:t>决策摘要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结论：截至截点，客户持有S01共28,000股，按盘中价31.40元计证券市值879,200元、现金150,000元、账户总资产1,029,200元，单一证券占比85.43%，已显著高于60%的硬性上限。当前最紧约束不是现金，而是集中度：仅凭现金需求（补足两笔教育支出220,000元并留存80,000元）只需净回笼约150,000元、约4,800股；但要在11月15日第二笔支付后把单一证券占比压到60%以内，按31.40元测算需累计卖出约12,600股（整手向上取整），这才是驱动减仓的真正原因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首要动作：在8月27日（周四，当日买入的2,000股解禁可卖）之后，按C批次（成本最高、无情感仓位）→B批未质押部分→A批次的顺序，于每日不超过6,000股、且不超过当日可成交量的前提下分批减持；其中非A批次合计10,000股即可覆盖全部现金需求，剩余约2,600股须动用客户希望长期保留的A批次——这是对客户“尽量保留A”偏好的被动偏离，须向客户明示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最迟行动日：第一笔教育款10月30日（周五）可由现有现金直接支付，不强制提前卖股；第二笔11月15日为周日，资金须提前备妥，实际最后可执行交易日为11月12日（周四，卖出款T+1到账以备周末支付），全部减仓与占比达标须在此之前完成。客户“股价回到34元以前先不卖”属偏好而非风险限额例外，不得作为硬约束执行；建议设10月28日、11月12日两道兜底截止，逾期不论价格均按市价执行。</w:t>
      </w:r>
    </w:p>
    <w:p>
      <w:r>
        <w:rPr>
          <w:rFonts w:ascii="黑体" w:hAnsi="黑体" w:eastAsia="黑体"/>
          <w:b/>
          <w:sz w:val="26"/>
        </w:rPr>
        <w:t>一、持仓勾稽与账面盈亏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账户无其他证券、融资或借款，现金+证券市值=总资产，勾稽无残差：879,200 + 150,000 = 1,029,200元。各批次成本与浮动盈亏如下（现价统一取截点价31.40元）：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批次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股数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单位成本(元)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买入日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账面成本(元)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浮动盈亏(元)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状态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12,000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18.20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2024-04-18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218,400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+158,400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无质押/限售，可卖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B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8,000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27.60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2025-11-06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220,800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+30,400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其中6,000股质押，2,000股可卖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C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8,000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34.10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2026-06-12/08-26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272,800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-21,600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6,000股可卖；2,000股8/26当日买入、当日不可卖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合计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28,000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712,000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+167,200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浮盈约占总成本23.5%</w:t>
            </w:r>
          </w:p>
        </w:tc>
      </w:tr>
    </w:tbl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说明：C批次为当前唯一浮亏批次（成本34.10元），客户“等34元再卖”的心理主要对应C批次回本；但按风险约束，C批次恰应优先减持，等待回本不改变60%占比上限，反而承担继续下跌与到期被动卖股的风险。</w:t>
      </w:r>
    </w:p>
    <w:p>
      <w:r>
        <w:rPr>
          <w:rFonts w:ascii="黑体" w:hAnsi="黑体" w:eastAsia="黑体"/>
          <w:b/>
          <w:sz w:val="26"/>
        </w:rPr>
        <w:t>二、可交易批次台账与现金缺口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截至截点，材料明确可卖数量为20,000股：A批次12,000 + B批未质押2,000 + C批6月12日买入的6,000。另有8,000股当下不可卖：B批质押6,000股（最早2026年11月30日仅为“申请解除日”，当日能否完成登记尚未确认，不得计入可卖）、C批8月26日当日买入2,000股（T+1，自8月27日起可卖）。未质押不等于立即可卖：当日买入部分须待下一交易日，质押部分不得假设已解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批次/来源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股数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可卖起始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当前是否可卖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卖出优先级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C批(6/12买入)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6,000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已可卖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第1优先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C批(8/26买入)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2,000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2026-08-27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否(T+1)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第2优先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B批(未质押)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2,000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已可卖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第3优先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B批(质押)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6,000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2026-11-30后(申请日)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否，不计入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兜底，不假设解除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A批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12,000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已可卖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最后被动动用</w:t>
            </w:r>
          </w:p>
        </w:tc>
      </w:tr>
    </w:tbl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现金缺口：两笔教育支出合计220,000元，支付后账户至少留存80,000元，即11月15日后现金须≥300,000元；现有现金150,000元，扣除交易费用后净回笼须≥150,000元。按31.40元计，覆盖现金仅需卖出约4,800股（100股整手向上取4,800股）；但60%占比约束要求卖出约12,600股，后者为绑定约束。</w:t>
      </w:r>
    </w:p>
    <w:p>
      <w:r>
        <w:rPr>
          <w:rFonts w:ascii="黑体" w:hAnsi="黑体" w:eastAsia="黑体"/>
          <w:b/>
          <w:sz w:val="26"/>
        </w:rPr>
        <w:t>三、交易日历与关键时点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日期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星期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是否交易日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2026-08-26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周三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是(盘中)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数据截点10:30；C批2,000股当日不可卖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2026-08-27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周四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C批当日买入2,000股起可卖，可启动第1笔减持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2026-09-18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周五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中期业绩说明会(C01)，波动可能放大，非卖股截止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2026-10-28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周三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兜底截止①：此前未达节奏则按市价启动减持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2026-10-30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周五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第一笔教育款120,000元到期；现有现金可直接支付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2026-11-12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周四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兜底截止②/最后可执行日：卖款T+1到账以备周末支付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2026-11-13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周五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11月15日(周日)前最后一个交易日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2026-11-15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周日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第二笔教育款100,000元到期(非交易日，资金须11/12前备妥)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2026-11-30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周一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质押解除仅为申请日，是否当日登记未确认，不预先计入</w:t>
            </w:r>
          </w:p>
        </w:tc>
      </w:tr>
    </w:tbl>
    <w:p>
      <w:r>
        <w:rPr>
          <w:rFonts w:ascii="黑体" w:hAnsi="黑体" w:eastAsia="黑体"/>
          <w:b/>
          <w:sz w:val="26"/>
        </w:rPr>
        <w:t>四、硬约束状态逐条判定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约束项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阈值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未调整值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主方案(卖12,600股后)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判定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是否绑定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单一证券占比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≤60%(11/15后仍满足)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85.43%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约59.8%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达标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绑定(核心)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跌破27.50触发线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连续两日收盘&lt;27.50→5个交易日内降至&lt;40%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未触发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触发后另案(见情景S04)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监控项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条件触发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支付后现金留存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≥80,000元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现有150,000元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约325,000元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达标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已被减持覆盖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两笔教育款到账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10/30付12万、11/15付10万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非A批10,000股净回笼约31.4万即可覆盖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达标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非绑定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单日卖出上限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客户要求≤6,000股/日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按6,000股/日执行(破位情景受成交量约束更低)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遵守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执行约束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客户保留A偏好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尽量保留A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A=12,000股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被动卖出约2,600股，余9,400股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部分偏离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须向客户说明</w:t>
            </w:r>
          </w:p>
        </w:tc>
      </w:tr>
    </w:tbl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读数：现金与教育款由非A批次10,000股即可满足；真正把卖出量从约4,800股抬升到约12,600股的，是60%占比这一条。在全部非A可卖股份用完(10,000股)后，仍须约2,600股来自A批次——因为B批6,000股质押在11月15日前不能计入可卖。</w:t>
      </w:r>
    </w:p>
    <w:p>
      <w:r>
        <w:rPr>
          <w:rFonts w:ascii="黑体" w:hAnsi="黑体" w:eastAsia="黑体"/>
          <w:b/>
          <w:sz w:val="26"/>
        </w:rPr>
        <w:t>五、分阶段处理安排（按31.40元基准测算）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费用口径：卖出佣金0.03%(单笔最低5元)+印花税0.05%，合计费率约0.08%（本方案各笔佣金均高于5元下限）；净回笼=成交额−费用；实现盈亏为扣费后口径。交易数量按100股整数。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阶段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批次与数量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成交额(元)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费用(元)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净回笼(元)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扣费后实现盈亏(元)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时点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第1笔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C批 6,000股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188,400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150.72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188,249.28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-16,350.72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8/27后择机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第2笔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C批2,000+B批未质押2,000=4,000股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125,600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100.48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125,499.52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+2,099.52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第1笔后下一日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第3笔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A批 2,600股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81,640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65.31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81,574.69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+34,254.69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不晚于11/12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合计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12,600股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395,640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316.51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395,323.49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+20,003.49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三笔分三日</w:t>
            </w:r>
          </w:p>
        </w:tc>
      </w:tr>
    </w:tbl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交易后状态(已支付两笔教育款后)：剩余持仓15,400股，按31.40元计市值483,560元；现金约325,323元；总资产约808,883元；单一证券占比约59.8%，满足≤60%；现金约32.5万元，远高于80,000元留存线。其中前两笔(非A共10,000股)净回笼约31.4万元，已足额覆盖两笔教育款并形成缓冲；第3笔A批2,600股的唯一目的是把占比从约70%压到60%以内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执行节奏：每日卖出不超过6,000股，且不超过当日可成交量估计；三笔至少跨三个交易日，不在同日集中抛压。价格回升到33.60元上方时，可按下方S03情景提高每日执行节奏并优先完成；若价格走弱，则按S02/S04情景前置、不等34元。</w:t>
      </w:r>
    </w:p>
    <w:p>
      <w:r>
        <w:rPr>
          <w:rFonts w:ascii="黑体" w:hAnsi="黑体" w:eastAsia="黑体"/>
          <w:b/>
          <w:sz w:val="26"/>
        </w:rPr>
        <w:t>六、价格情景与 if→then 交易纪律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以下情景与价格取自《持仓标的价格与事件.xlsx》，均为条件预案而非既成事实，不假设任一情景必然出现；所有委托均为限价挂单，是否成交取决于当时买盘与涨跌停，未成交则转后手。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情景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触发条件(可观察)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参考价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日可成交量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累计卖出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其中动用A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现金与占比结果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S01正常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价格在29.80–33.60元区间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31.40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约6,000股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约12,600股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约2,600股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净回笼约39.5万；占比约59.8%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S03回升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收盘≥33.60元(接近客户34预期)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34.00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约8,000股(受客户偏好限6,000)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约12,500股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约2,500股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净回笼约42.5万；占比约59.8%，动用A更少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S02破位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收盘跌破29.80元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29.20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约4,000股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约12,700股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约2,700股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净回笼约37.1万；占比约59.8%，须4日完成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S04极端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连续两日收盘&lt;27.50元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26.80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约3,000股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触发后5日内冲&lt;40%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见正文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流动性受限，见后手</w:t>
            </w:r>
          </w:p>
        </w:tc>
      </w:tr>
    </w:tbl>
    <w:p>
      <w:r>
        <w:rPr>
          <w:rFonts w:ascii="黑体" w:hAnsi="黑体" w:eastAsia="黑体"/>
          <w:b/>
          <w:sz w:val="22"/>
        </w:rPr>
        <w:t>if→then 规则</w:t>
      </w:r>
    </w:p>
    <w:p>
      <w:pPr>
        <w:spacing w:after="40"/>
        <w:ind w:left="280"/>
      </w:pPr>
      <w:r>
        <w:rPr>
          <w:rFonts w:ascii="宋体" w:hAnsi="宋体" w:eastAsia="宋体"/>
          <w:b w:val="0"/>
          <w:sz w:val="21"/>
        </w:rPr>
        <w:t>· 规则R1(正常节奏)：若价格维持29.80–33.60元、且未到10/28兜底日，则按C→B→A顺序，每日限价挂单卖出不超过6,000股(当日可成交量不足则按可成交量)；第1笔卖C批6,000股，第2笔卖C批2,000+B批2,000，第3笔不晚于11/12卖A批2,600股。未成交部分次一交易日重新挂单，不得以未成交为由跳过当日节奏。</w:t>
      </w:r>
    </w:p>
    <w:p>
      <w:pPr>
        <w:spacing w:after="40"/>
        <w:ind w:left="280"/>
      </w:pPr>
      <w:r>
        <w:rPr>
          <w:rFonts w:ascii="宋体" w:hAnsi="宋体" w:eastAsia="宋体"/>
          <w:b w:val="0"/>
          <w:sz w:val="21"/>
        </w:rPr>
        <w:t>· 规则R2(回升优选)：若任一交易日收盘≥33.60元，则下一交易日起按S03节奏(每日仍以客户6,000股偏好为上限，如客户同意可临时放到8,000股)加快完成，卖出顺序仍为C→B→A；按34元测算累计约12,500股、动用A约2,500股，占比压至约59.8%。此情景最贴合客户“34元再卖”的偏好，但不得把“等34元”当作无限期推迟的理由。</w:t>
      </w:r>
    </w:p>
    <w:p>
      <w:pPr>
        <w:spacing w:after="40"/>
        <w:ind w:left="280"/>
      </w:pPr>
      <w:r>
        <w:rPr>
          <w:rFonts w:ascii="宋体" w:hAnsi="宋体" w:eastAsia="宋体"/>
          <w:b w:val="0"/>
          <w:sz w:val="21"/>
        </w:rPr>
        <w:t>· 规则R3(破位前置)：若收盘跌破29.80元，则不再等待34元，自下一交易日起按S02每日约4,000股的可成交量立即减持，并把全部完成日提前至11/12之前(约需4个交易日)；按29.20元累计约12,700股、动用A约2,700股。触发方向自检：下跌使市值与占比下降，但同时压缩未来卖价与流动性，且到期现金义务不变，故破位须前置而非等待反弹。</w:t>
      </w:r>
    </w:p>
    <w:p>
      <w:pPr>
        <w:spacing w:after="40"/>
        <w:ind w:left="280"/>
      </w:pPr>
      <w:r>
        <w:rPr>
          <w:rFonts w:ascii="宋体" w:hAnsi="宋体" w:eastAsia="宋体"/>
          <w:b w:val="0"/>
          <w:sz w:val="21"/>
        </w:rPr>
        <w:t>· 规则R4(极端触发)：若连续两个交易日收盘价低于27.50元，则自下一交易日起按S04每日约3,000股的最大可成交量立即减持，目标在五个交易日内把占比降到40%以下。若已按主方案减至约15,400股，按26.80元再卖约4,400股(约2个交易日)即可达标；若尚未减仓就触发，则5日×3,000股=15,000股仅能把占比降到约51%，40%目标在当前流动性下无法在5日内完成，应持续按3,000股/日继续卖到达标，并立即向客户说明流动性约束，不得假设质押6,000股可提前解除。</w:t>
      </w:r>
    </w:p>
    <w:p>
      <w:pPr>
        <w:spacing w:after="40"/>
        <w:ind w:left="280"/>
      </w:pPr>
      <w:r>
        <w:rPr>
          <w:rFonts w:ascii="宋体" w:hAnsi="宋体" w:eastAsia="宋体"/>
          <w:b w:val="0"/>
          <w:sz w:val="21"/>
        </w:rPr>
        <w:t>· 规则R5(兜底截止)：无论价格如何，10/28(周三)仍未完成前两笔(非A批10,000股)，则自下一交易日起按市价强制启动；11/12(周四)前必须完成全部减持并使占比≤60%，以保证11/15(周日)前资金到账。逾期不适用“再等等34元”。</w:t>
      </w:r>
    </w:p>
    <w:p>
      <w:pPr>
        <w:spacing w:after="40"/>
        <w:ind w:left="280"/>
      </w:pPr>
      <w:r>
        <w:rPr>
          <w:rFonts w:ascii="宋体" w:hAnsi="宋体" w:eastAsia="宋体"/>
          <w:b w:val="0"/>
          <w:sz w:val="21"/>
        </w:rPr>
        <w:t>· 规则R6(禁止动作)：在占比回到60%以内之前，禁止买入、回补、做T或任何扩大S01敞口的操作；B批质押部分不得在11月30日前作为可卖量安排计划。</w:t>
      </w:r>
    </w:p>
    <w:p>
      <w:r>
        <w:rPr>
          <w:rFonts w:ascii="黑体" w:hAnsi="黑体" w:eastAsia="黑体"/>
          <w:b/>
          <w:sz w:val="26"/>
        </w:rPr>
        <w:t>七、假设与缺失清单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条目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依据/说明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影响与补齐后重算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现价31.40元为盘中参考价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已确认事实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截点10:30盘中价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执行日按实际成交限价重算股数与净回笼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费用仅佣金0.03%+印花税0.05%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已确认事实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材料未列过户费与滑点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如有滑点/过户费，按题内费率追加并重算净回笼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可卖总量20,000股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已确认事实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材料明确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与台账逐项勾稽一致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B批质押6,000股不计入可卖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已确认约束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11/30仅为申请日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若后续确认解除，可减少对A批2,600股的动用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两笔教育款金额与日期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已确认事实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10/30付12万、11/15付10万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付款日落在周末已按交易日顺延处理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日可成交量估计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情景假设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S01–S04分别6000/4000/8000/3000股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实际以盘口为准，不足则按规则R1/R3减速或提前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交易整手100股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已确认事实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材料明确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所有股数已按100股向上取整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占比测算以交易后、资金仍在账内净资产为分母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合理推断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备妥未划出口径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若资金已划出，分母与占比另算</w:t>
            </w:r>
          </w:p>
        </w:tc>
      </w:tr>
    </w:tbl>
    <w:p>
      <w:r>
        <w:rPr>
          <w:rFonts w:ascii="黑体" w:hAnsi="黑体" w:eastAsia="黑体"/>
          <w:b/>
          <w:sz w:val="26"/>
        </w:rPr>
        <w:t>八、下单前复核与声明</w:t>
      </w:r>
    </w:p>
    <w:p>
      <w:pPr>
        <w:spacing w:after="40"/>
        <w:ind w:left="280"/>
      </w:pPr>
      <w:r>
        <w:rPr>
          <w:rFonts w:ascii="宋体" w:hAnsi="宋体" w:eastAsia="宋体"/>
          <w:b w:val="0"/>
          <w:sz w:val="21"/>
        </w:rPr>
        <w:t>· 下单前复核：当日报价仍有效；当日可卖数量(含T+1解冻与质押状态)与计划一致；当日买盘与涨跌停允许成交；教育款到账日与卖出结算日匹配；累计股数与占比达标后再停止。</w:t>
      </w:r>
    </w:p>
    <w:p>
      <w:pPr>
        <w:spacing w:after="40"/>
        <w:ind w:left="280"/>
      </w:pPr>
      <w:r>
        <w:rPr>
          <w:rFonts w:ascii="宋体" w:hAnsi="宋体" w:eastAsia="宋体"/>
          <w:b w:val="0"/>
          <w:sz w:val="21"/>
        </w:rPr>
        <w:t>· 本备忘录仅为持仓诊断与条件化交易纪律，不构成已发出或已成交的委托，不连接券商、不代客下单、不保证回本或收益；所列股数、净回笼与占比均为按材料价格与费用口径的测算，实际以成交回报与当时行情为准。情景价格均可能不出现，须按触发条件逐项核对后再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