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单一重仓持仓处理备忘录</w:t>
      </w:r>
    </w:p>
    <w:p>
      <w:r>
        <w:rPr>
          <w:b w:val="0"/>
          <w:sz w:val="21"/>
        </w:rPr>
        <w:t>记录截点：2026年8月26日（周三）10:30 北京时间，盘中参考价 31.40 元　|　用途：客户经理下一次沟通参考</w:t>
      </w:r>
    </w:p>
    <w:p>
      <w:r>
        <w:rPr>
          <w:b w:val="0"/>
          <w:sz w:val="21"/>
        </w:rPr>
        <w:t>非执行声明：本备忘录仅为持仓诊断与交易纪律建议，不连接券商、不代下单、不承诺任何成交价格或收益；所有条件单均需客户本人确认后执行。</w:t>
      </w:r>
    </w:p>
    <w:p>
      <w:pPr>
        <w:pStyle w:val="Heading1"/>
      </w:pPr>
      <w:r>
        <w:t>一、决策摘要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在11月15日两笔教育款支付完成前，按 C→B→A 顺序分批卖出累计 12,600 股（约占持仓45%），把期末单票占比压到60%以内；优先卖高成本批次C、B，仅在6,000股处动用低成本批次A。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最紧约束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单一证券集中度：当前 85.43%，阈值 ≤60%（11月15日支付后仍须满足）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首要动作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8月27日（C批次当日买入的2,000股解冻）起，第一个交易日卖出批次C中已可卖的6,000股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最迟行动日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2026年11月13日（周五）——11月15日为周日，第二笔10万元支付的最后一个可执行交易日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未决事项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①质押6,000股11月30日仅为申请日、当日能否解除未确认，不得预设；②国庆假期休市安排需以交易所日历复核；③实际成交价、成交量以执行当日为准</w:t>
            </w:r>
          </w:p>
        </w:tc>
      </w:tr>
    </w:tbl>
    <w:p>
      <w:pPr>
        <w:pStyle w:val="Heading1"/>
      </w:pPr>
      <w:r>
        <w:t>二、持仓勾稽、批次台账与盈亏</w:t>
      </w:r>
    </w:p>
    <w:p>
      <w:r>
        <w:rPr>
          <w:b w:val="0"/>
          <w:sz w:val="21"/>
        </w:rPr>
        <w:t>账户勾稽（截点）：S01 共28,000股 × 31.40元 = 证券市值 879,200元；现金 150,000元；账户资产合计 1,029,200元。勾稽残差为 0 元，与材料一致。账户无其他证券、融资或借款。</w:t>
      </w:r>
    </w:p>
    <w:p>
      <w:r>
        <w:rPr>
          <w:b w:val="0"/>
          <w:sz w:val="21"/>
        </w:rPr>
        <w:t>资产分解（分母=总资产1,029,200元）：S01 占 879,200/1,029,200 = 85.43%，现金占 14.57%，合计 100.00%。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批次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股数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单位成本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买入日/状态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可卖状态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2024-04-18，无质押无限售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全部可卖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客户希望尽量保留的低成本长仓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2025-11-06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仅2,000可卖；6,000已质押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质押解除最早2026-11-30后申请，当日能否完成登记未确认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6,000股2026-06-12买入；2,000股2026-08-26当日买入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6,000可卖；当日买入2,000股T+1，8/27(周四)起可卖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成本最高、当前浮亏的批次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当前可卖20,000股；8/27起22,000股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质押6,000股在11/30前不计入可卖</w:t>
            </w:r>
          </w:p>
        </w:tc>
      </w:tr>
    </w:tbl>
    <w:p>
      <w:r>
        <w:rPr>
          <w:b/>
          <w:sz w:val="21"/>
        </w:rPr>
        <w:t>盈亏（按现参考价31.40元、材料给定批次成本）：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批次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成本/股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现价/股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浮动盈亏(元)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31.40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+158,400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31.40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+30,400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31.40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-21,600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总成本712,000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市值879,200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浮动盈亏 +167,200（浮动收益率约23.5%）</w:t>
            </w:r>
          </w:p>
        </w:tc>
      </w:tr>
    </w:tbl>
    <w:p>
      <w:r>
        <w:rPr>
          <w:b w:val="0"/>
          <w:sz w:val="21"/>
        </w:rPr>
        <w:t>提示：批次C为浮亏批次（成本34.10元），按 C→B→A 顺序卖出，先了结浮亏批次、保留低成本A，符合客户偏好；但这会先实现约2.18万元扣费后亏损，再在B、A批次实现盈利，整体主方案扣费后净实现盈利约 +2.00 万元。</w:t>
      </w:r>
    </w:p>
    <w:p>
      <w:pPr>
        <w:pStyle w:val="Heading1"/>
      </w:pPr>
      <w:r>
        <w:t>三、集中度约束、现金缺口与二者关系</w:t>
      </w:r>
    </w:p>
    <w:p>
      <w:r>
        <w:rPr>
          <w:b w:val="0"/>
          <w:sz w:val="21"/>
        </w:rPr>
        <w:t>1) 现金缺口：两笔教育款合计 120,000 + 100,000 = 220,000 元；支付完成后账户至少留存 80,000 元。现有现金 150,000 元，且无追加资金计划。</w:t>
      </w:r>
    </w:p>
    <w:p>
      <w:r>
        <w:rPr>
          <w:b w:val="0"/>
          <w:sz w:val="21"/>
        </w:rPr>
        <w:t xml:space="preserve">   → 需通过卖出净回笼现金 = 220,000 + 80,000 − 150,000 = 150,000 元（税后扣费口径）。</w:t>
      </w:r>
    </w:p>
    <w:p>
      <w:r>
        <w:rPr>
          <w:b w:val="0"/>
          <w:sz w:val="21"/>
        </w:rPr>
        <w:t>2) 集中度约束（60%）：当前已达 85.43%，且两笔现金支出会使分母（账户总资产）减小、被动推高占比。若一笔不卖，10/30支付12万后现金仅余3万，根本无法覆盖11/15的第二笔10万元支付。</w:t>
      </w:r>
    </w:p>
    <w:p>
      <w:r>
        <w:rPr>
          <w:b/>
          <w:sz w:val="21"/>
        </w:rPr>
        <w:t>3) 反解结果（期末、两笔支付后、按31.40元、100股整手、含费用）：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满足≤60%的最小累计卖出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12,600股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相邻一手检验：卖12,500股期末占比60.17%（仍超限），卖12,600股59.78%（达标）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其中 卖C 8,000 + 卖B 2,000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10,000股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非A批次全部卖出，仍不足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其中 动用批次A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2,600股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为达标必须偏离“全保A”偏好；若坚持一股A不卖，期末占比约69.9%，仍超60%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总成交额 / 总费用 / 净回笼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395,640 / 316.51 / 395,323元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费用率0.08%（佣金0.03%+印花税0.05%，无过户费），单笔均超5元最低佣金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期末剩余持股 / 期末现金 / 期末总资产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15,400股 / 325,323元 / 808,883元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期末单票占比59.78%，现金高于8万下限</w:t>
            </w:r>
          </w:p>
        </w:tc>
      </w:tr>
    </w:tbl>
    <w:p>
      <w:r>
        <w:rPr>
          <w:b w:val="0"/>
          <w:sz w:val="21"/>
        </w:rPr>
        <w:t>关键关系：真正决定“卖多少股”的是60%集中度上限，而非15万元现金缺口——按31.40元卖12,600股净回笼约39.5万元，远超15万元缺口，多余现金约24.5万元会留在账上（这是重仓合规化的必然结果，可在约束稳定后再安排用途）。</w:t>
      </w:r>
    </w:p>
    <w:p>
      <w:pPr>
        <w:pStyle w:val="Heading1"/>
      </w:pPr>
      <w:r>
        <w:t>四、交易日历与关键时点（动作日只能取自本表）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日历日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星期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是否交易日/可执行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资金/支付说明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2026-08-26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是（截点当日10:30，盘中）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C批次当日买入2,000股当日不可卖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2026-08-27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C批次2,000股T+1解冻，可卖量升至22,000股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2026-09-18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中期业绩说明会，波动可能放大（事件C01）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2026-10-30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第一笔教育款支付120,000元（C02）；现金需足额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第二笔支付前最后一个可执行交易日（最迟行动日）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非交易日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第二笔教育款支付100,000元（C03），资金须在11/13备妥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质押6,000股仅为解除申请日（C04），当日能否完成登记未确认，不得预设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2026-12-08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周二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年度限售批次解禁（C05），解禁后仍按交易规则处理</w:t>
            </w:r>
          </w:p>
        </w:tc>
      </w:tr>
    </w:tbl>
    <w:p>
      <w:r>
        <w:rPr>
          <w:b w:val="0"/>
          <w:sz w:val="21"/>
        </w:rPr>
        <w:t>注：国庆假期（约10月1日前后）休市安排未在材料中给出，10月下旬的具体交易日须以交易所正式日历复核；本表按周一至周五为交易日列示。</w:t>
      </w:r>
    </w:p>
    <w:p>
      <w:pPr>
        <w:pStyle w:val="Heading1"/>
      </w:pPr>
      <w:r>
        <w:t>五、硬约束状态表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约束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阈值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当前值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达标所需反解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主方案后(11/15)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判定/绑定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规则号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单票集中度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≤60%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85.43%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累计卖12,600股@31.4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59.78%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最紧约束，绑定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R1/R2/R3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期末现金留存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≥80,000元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现现金150,000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净回笼≥150,000元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325,323元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R1/R2/R3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40%风险线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连续2日收盘&lt;27.50后5个交易日内&lt;40%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现价31.40未触发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触发后按S04加速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触发时另算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监控项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单日卖出量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客户不希望&gt;6,000股/日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每笔≤6,000股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各笔2,000–6,000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遵守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质押股处置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不得预设已解除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6,000股锁定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11/30前不计入可卖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不动用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遵守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整手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100股整数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全部按100股取整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12,600股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遵守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全部</w:t>
            </w:r>
          </w:p>
        </w:tc>
      </w:tr>
    </w:tbl>
    <w:p>
      <w:pPr>
        <w:pStyle w:val="Heading1"/>
      </w:pPr>
      <w:r>
        <w:t>六、价格情景与分情景处理（情景仅为条件分支，不保证出现）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情景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参考价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日均可成交量估计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所需累计卖出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期末占比/现金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S01 正常波动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价格维持29.80–33.60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31.40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6,000股/日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12,600股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59.78% / 325,323元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基准方案，按R1→R2→R3执行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S02 跌破支撑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收盘跌破29.80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29.20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4,000股/日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12,700股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59.78% / 300,543元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价格走低使所需股数略增1手、日成交假设下调，完成日顺延但不晚于11/13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S03 价格回升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收盘≥33.60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34.00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8,000股/日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约12,500股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59.77% / 354,660元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反弹反而推高集中度，应借反弹卖出而非等待；单笔仍守≤6,000股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S04 跌破风险线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连续2日收盘&lt;27.50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26.80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3,000股/日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5个交易日内降至&lt;40%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触发时算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5日×3,000=15,000股上限下约51.2%，流动性不足部分须在成交恢复后补足</w:t>
            </w:r>
          </w:p>
        </w:tc>
      </w:tr>
    </w:tbl>
    <w:p>
      <w:r>
        <w:rPr>
          <w:b w:val="0"/>
          <w:sz w:val="21"/>
        </w:rPr>
        <w:t>方向自检：60%占比在股价上涨或现金支出后会恶化、在股价下跌时反而机械性下降，因此不能用“等跌了再卖”处理集中度；真正需要主动防范的是“拖延到反弹后被推高占比”和“两笔付款后分母缩水”。40%线（27.50）是客户另设的下行保护，与60%上限是两条独立规则。</w:t>
      </w:r>
    </w:p>
    <w:p>
      <w:r>
        <w:rPr>
          <w:b w:val="0"/>
          <w:sz w:val="21"/>
        </w:rPr>
        <w:t>S04压力测算：在26.80元、5个交易日每日最多成交3,000股（合计15,000股）的极端假设下，只能把占比压到约51.2%，无法在5日内达到40%（需约17,900股）。此为“可交易前提下”的流动性约束缺口，应在条件单中写明：先按可成交量执行，成交恢复后立即补足至40%以下，期间禁止加仓、回补或做T。</w:t>
      </w:r>
    </w:p>
    <w:p>
      <w:pPr>
        <w:pStyle w:val="Heading1"/>
      </w:pPr>
      <w:r>
        <w:t>七、分阶段 if→then 交易纪律（规则表）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9"/>
              </w:rPr>
              <w:t>规则号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触发条件（阈值+时点）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动作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数量/口径(基准28,000股)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费用与净回笼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执行时点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未成交后手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交易后复核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8/27起，价格在29.80–33.60区间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卖出批次C中已可卖的6/12批次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累计卖6,000股（本阶段追加6,000）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费用约238元，净回笼约188,200元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8/27起首个交易日，单日≤6,000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限价单未成交则次日继续，不追价；不影响R2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占比降至约68%，核对可卖量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R1完成后至10/16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卖出C剩余2,000股+B的2,000股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累计卖10,000股（本阶段追加4,000）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费用约100元，净回笼约125,500元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分≤2个交易日，每日≤4,000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未成交顺延，10/30付款前现金仍须≥12万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占比降至约64%，备妥10/30的12万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10/19至11/13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动用批次A卖出2,600股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累计卖12,600股（本阶段追加2,600）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费用约65元，净回笼约81,600元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11/13前完成，单日≤3,000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未成交则11/13当日补单；仍不足则明示客户需在质押解除前接受占比略超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期末占比59.78%、现金325,323元，双达标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连续两个交易日收盘&lt;27.50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启动40%加速：按可成交量每日最多3,000股卖出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5个交易日内累计向17,900股推进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按当日价另算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触发次日起5个交易日内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5日只能成交15,000股（约51.2%），缺口在流动性恢复后立即补足；期间禁止加仓/回补/做T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每日收盘复核占比与剩余可卖量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任意时点收盘≥33.60（S03）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按既定节奏借反弹卖出，不停止、不等待更高价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单笔仍≤6,000股，总量按执行价重算至约12,500股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按当日价另算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出现后下一交易日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反弹推高占比，更须执行而非惜售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成交价重算期末占比</w:t>
            </w:r>
          </w:p>
        </w:tc>
      </w:tr>
    </w:tbl>
    <w:p>
      <w:r>
        <w:rPr>
          <w:b w:val="0"/>
          <w:sz w:val="21"/>
        </w:rPr>
        <w:t>偏好方案对照（附录，不进入主方案）：若客户坚持一股批次A都不卖、仅卖非A批次10,000股，则期末单票占比约69.9%，仍高于60%上限约9.9个百分点，不满足硬约束。故主方案按硬约束执行，R3中动用的2,600股批次A为必要偏离，需向客户明示。</w:t>
      </w:r>
    </w:p>
    <w:p>
      <w:pPr>
        <w:pStyle w:val="Heading1"/>
      </w:pPr>
      <w:r>
        <w:t>八、假设与缺失清单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条目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依据/影响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补齐后需重算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现价31.40为8/26盘中参考价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所有反解均以该价为锚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执行价不同则R1-R3数量与净回笼重算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佣金0.03%(最低5元)+印花税0.05%，无过户费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费用率0.08%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若有过户费则费用与净回笼微调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质押6,000股11/30后才申请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11/15前不可作为可卖来源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若实际提前解除可减少动用A的股数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国庆休市安排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仍缺证据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影响10月下旬交易日与R3最迟行动日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以交易所日历复核R3窗口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每日可成交量6,000/4,000/8,000/3,000股为材料估计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合理推断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决定R1-R4完成节奏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以实际盘口流动性为准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客户“34元前不卖”表述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偏好非限额例外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不能据此突破60%/现金硬约束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九、交付前自检回执表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自检项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填写值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交付清单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单一重仓持仓处理备忘录.docx；单一重仓持仓处理测算.xlsx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主工件位置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本备忘录正文（含全部五个区块）；测算工作簿含「核验」表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工作簿可复算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见测算.xlsx「核验」表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占比分母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现：账户总资产1,029,200元；期末：两笔支付后净资产约808,883元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最紧约束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单票集中度 / 当前85.43% / 阈值60% / 反解12,600股 / R1-R3；与“全保A”软偏好冲突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分解型占比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S01 85.43% + 现金14.57% = 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最不利情景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S04(26.80元)/5日15,000股上限下约51.2%，高于40%目标，存在流动性缺口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日期来源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全部动作日取自第四节交易日历表，无表外日期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数量口径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累计总卖出12,600股，基准持仓28,000股；各规则已标“本阶段追加量”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费用口径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隐含费率0.0800%=佣金0.03%+印花税0.05%，与题设费率表一致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跨文件一致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抽查：净回笼395,323元、期末占比59.78%、费用316.51元，正文/表格/工作簿一致</w:t>
            </w:r>
          </w:p>
        </w:tc>
      </w:tr>
    </w:tbl>
    <w:p>
      <w:pPr>
        <w:pStyle w:val="Heading1"/>
      </w:pPr>
      <w:r>
        <w:t>十、下单前复核清单与非执行声明</w:t>
      </w:r>
    </w:p>
    <w:p>
      <w:pPr>
        <w:pStyle w:val="ListBullet"/>
      </w:pPr>
      <w:r>
        <w:t>□ 确认当前为交易时段、报价未失效；非交易时段改写“下一交易日执行”。</w:t>
      </w:r>
    </w:p>
    <w:p>
      <w:pPr>
        <w:pStyle w:val="ListBullet"/>
      </w:pPr>
      <w:r>
        <w:t>□ 确认各批次可卖量：批次C当日买入的2,000股须T+1后再卖；质押6,000股不预设已解除。</w:t>
      </w:r>
    </w:p>
    <w:p>
      <w:pPr>
        <w:pStyle w:val="ListBullet"/>
      </w:pPr>
      <w:r>
        <w:t>□ 每笔均为限价挂单，是否成交取决于当时买盘与涨跌停状态；未成交转入后手规则，不得视为已完成。</w:t>
      </w:r>
    </w:p>
    <w:p>
      <w:pPr>
        <w:pStyle w:val="ListBullet"/>
      </w:pPr>
      <w:r>
        <w:t>□ 10/30前账上现金须≥12万元；11/13前备妥第二笔10万元并留足8万元。</w:t>
      </w:r>
    </w:p>
    <w:p>
      <w:pPr>
        <w:pStyle w:val="ListBullet"/>
      </w:pPr>
      <w:r>
        <w:t>□ 触发40%线后，5日内按可成交量执行，缺口在流动性恢复后补足，期间禁止加仓、回补、做T。</w:t>
      </w:r>
    </w:p>
    <w:p>
      <w:pPr>
        <w:pStyle w:val="ListBullet"/>
      </w:pPr>
      <w:r>
        <w:t>□ 本备忘录不承诺成交价格与收益，不替代客户本人决策。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