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单一重仓持仓处理备忘录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供客户经理下一次沟通使用　|　分析截点：2026年8月26日 10:30（北京时间）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1　决策摘要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结论：以2026年8月26日10:30盘中参考价31.40元计，该客户持有S01共28000股、市值879200元，单票占家庭可投资资产1029200元的85.43%，已远超60%的硬性上限。未来三个月需在10月30日前支付教育费120000元、11月15日前再付100000元，两笔付完后账户须保留至少80000元现金；现金侧须净回笼约150000元，但真正的紧约束不是现金，而是“11月15日第二笔款支付后单票占比仍须≤60%”这一条。按附件情景价反解，正常波动（31.40元）下累计须卖出约12600股（100股整数手），这一动作与客户“股价未回34元前不卖”的偏好直接冲突，须在沟通中说明：该偏好不是风险限额例外，硬约束优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</w:t>
            </w:r>
          </w:p>
        </w:tc>
        <w:tc>
          <w:tcPr>
            <w:tcW w:type="dxa" w:w="725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结论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正常波动下累计卖出约12600股，先卖C、再卖B自由部分、最后卖A残余，以在11月15日后把单票占比压到60%以内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最紧约束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单票占比≤60%；当前85.43%，11月15日付完款后仍须达标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首要动作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先卖出C批次8000股（约2个交易日，每日≤6000股）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最迟行动日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补足60%的卖出须在11月10日（周二）前完成，资金于11月13日（周五）前可用（11月15日为周日）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未决事项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质押6000股11月30日方为申请日、非确定可卖；客户对“不卖A/等34”的态度需沟通确认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表1　决策摘要（数据来源：两份附件及本备忘录计算）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2　持仓勾稽、盈亏与各批次可交易状态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账户勾稽平衡：证券市值879200元加人民币现金150000元等于账户资产合计1029200元，与附件记录一致；账户无其他证券、无融资或借款，勾稽无残差。按各批次买入成本重建，总成本712000元，按31.40元计浮动盈亏合计167200元，其中批次A大幅浮盈、批次B小幅浮盈、批次C浮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73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批次</w:t>
            </w:r>
          </w:p>
        </w:tc>
        <w:tc>
          <w:tcPr>
            <w:tcW w:type="dxa" w:w="85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股数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单位成本(元)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成本金额(元)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浮动盈亏(元)</w:t>
            </w:r>
          </w:p>
        </w:tc>
        <w:tc>
          <w:tcPr>
            <w:tcW w:type="dxa" w:w="385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可交易状态（截至截点）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18.20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218400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+158400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无质押/限售，全部可卖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27.60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220800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+30400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其中6000股已质押，11月30日后才可申请解除（是否当日完成未确认）；仅2000股可卖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34.10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272800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−21600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6000股（6/12买入）可卖；另2000股于8/26当日买入，当日不可卖，T+1后自8/27起可卖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85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28000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712000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+167200</w:t>
            </w:r>
          </w:p>
        </w:tc>
        <w:tc>
          <w:tcPr>
            <w:tcW w:type="dxa" w:w="385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当下可卖20000股；自8/27起可卖22000股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表2　批次台账与可卖状态（股数按100股整数手；成本与盈亏按31.40元计算）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关键提示：未质押不等于立即可卖。批次C中有2000股虽未质押，但为8月26日当日买入、受T+1限制，截点当日不可卖，须自8月27日起方可卖出；批次B中6000股为质押锁定，在11月30日仅为“申请解除日”、不能视为已解除，方案中不把这6000股计入可卖来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3　未来现金缺口与集中度约束的关系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资金安排：10月30日前须付教育费120000元，11月15日前再付100000元，两笔付完后账户至少保留80000元现金。合计需在账备妥300000元，现有现金150000元，即卖出后须净回笼约150000元。但现金并非最紧约束——仅为筹现金，按31.40元卖出约4800股（净回笼≥150000元）即可；真正约束来自集中度上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55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金额(元)</w:t>
            </w:r>
          </w:p>
        </w:tc>
        <w:tc>
          <w:tcPr>
            <w:tcW w:type="dxa" w:w="4932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现有现金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可覆盖第一笔120000元支付（付后余约30000元）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第一笔支付（10/30前）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金额已确认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第二笔支付（11/15前）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金额已确认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付后须保留现金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下限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合计须备妥现金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120000+100000+80000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须净回笼现金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约150000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300000−150000；对应仅筹现金约需卖4800股@31.4</w:t>
            </w:r>
          </w:p>
        </w:tc>
      </w:tr>
      <w:tr>
        <w:trPr>
          <w:cantSplit/>
        </w:trPr>
        <w:tc>
          <w:tcPr>
            <w:tcW w:type="dxa" w:w="255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集中度60%反解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约12600股@31.4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付完两笔款后单票占比仍须≤60%，此为最紧约束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表3　现金缺口与集中度反解（金额单位：元）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卖出规模由集中度而非现金决定：约12600股的卖出同时满足“筹够现金”和“压到60%”两个目标，卖出后现金将明显高于80000元下限（见第6节）。客户“不补仓、单日卖出不超过6000股”的限制已纳入：约12600股可在3个交易日内分笔完成，不触发单日上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4　交易日历与关键时点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以下日期按周一至周五为交易日列示（附件未提供法定节假日，已在假设中说明）。所有行动日只取自本表；11月15日为周日，第二笔款的实际资金备妥截止日为11月13日（周五）。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cantSplit/>
          <w:tblHeader w:val="true"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日历日</w:t>
            </w:r>
          </w:p>
        </w:tc>
        <w:tc>
          <w:tcPr>
            <w:tcW w:type="dxa" w:w="79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星期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是否交易日</w:t>
            </w:r>
          </w:p>
        </w:tc>
        <w:tc>
          <w:tcPr>
            <w:tcW w:type="dxa" w:w="238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可执行/资金说明</w:t>
            </w:r>
          </w:p>
        </w:tc>
        <w:tc>
          <w:tcPr>
            <w:tcW w:type="dxa" w:w="2948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2026-08-26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是（截点10:30）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当下可卖20000股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C批次当日买入2000股不可卖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2026-08-27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四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可卖增至22000股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C批次2000股T+1解冻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中期业绩说明会，波动可能放大，宜避开当日集中操作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2026-10-30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支付第一笔120000元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金额已确认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2026-11-10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补足60%卖出的建议完成日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留出结算/到账缓冲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2026-11-13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资金须已可划付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11/15为周日，顺延至此前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2026-11-15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否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第二笔100000元到期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非交易日，按11/13备妥执行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2026-11-30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质押解除仅为申请日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能否当日解除未确认，不计入可卖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2026-12-08</w:t>
            </w:r>
          </w:p>
        </w:tc>
        <w:tc>
          <w:tcPr>
            <w:tcW w:type="dxa" w:w="7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二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</w:t>
            </w:r>
          </w:p>
        </w:tc>
        <w:tc>
          <w:tcPr>
            <w:tcW w:type="dxa" w:w="238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年度限售批次解禁</w:t>
            </w:r>
          </w:p>
        </w:tc>
        <w:tc>
          <w:tcPr>
            <w:tcW w:type="dxa" w:w="2948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登记日已确认，在本规划期外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表4　交易日历与关键时点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5　硬约束状态逐条判定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按题面设过上限的每一层逐条反解。“达标所需反解值”为在该约束下反解出的可执行整手数量；主方案按正常波动31.40元取值，相邻一手已验证（少一手即回到超限）。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 w:val="true"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约束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阈值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当前值</w:t>
            </w:r>
          </w:p>
        </w:tc>
        <w:tc>
          <w:tcPr>
            <w:tcW w:type="dxa" w:w="158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达标反解值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主方案交易后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判定</w:t>
            </w:r>
          </w:p>
        </w:tc>
        <w:tc>
          <w:tcPr>
            <w:tcW w:type="dxa" w:w="68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动作规则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单票集中度（付完两笔款后）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≤60%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85.43%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卖12600股@31.4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约59.8%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超限→待达标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R1/R2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现金保留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付后≥80000元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150000元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净回笼150000元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约325000元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达标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R1/R2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单日卖出量（客户偏好）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≤6000股/日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分≤3日执行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单日≤6000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达标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全部规则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价格破线应急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两日收盘&lt;27.50→5日内&lt;40%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未触发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应急卖14600股@26.8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监控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质押股份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不得视为已解除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6000股锁定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不纳入可卖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锁定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全程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客户偏好（保A/等34）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偏好非限额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C→B→A顺序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A保留约9400股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部分满足</w:t>
            </w:r>
          </w:p>
        </w:tc>
        <w:tc>
          <w:tcPr>
            <w:tcW w:type="dxa" w:w="680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R1/R2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表5　硬约束状态与反解（主方案=正常波动情景；相邻一手验证见第6节）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6　价格情景与分阶段处理安排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以下情景均来自附件《价格情景》表，为条件触发安排、不是价格预测，也不保证成交。日均可成交量为附件估计值，实际成交取决于当时买盘与涨跌停状态；所有卖出数量为100股整数手，费用按佣金0.03%（单笔最低5元）+印花税0.05%、合计约成交额0.08%计算（本方案最小单笔约2000股、佣金已超5元下限）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6.1　正常波动（S01：29.80–33.60元，参考31.40元）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这是基准情景。按付完两笔款后≤60%反解，需累计卖出12600股。卖出顺序严格为C批次8000股→B自由2000股→A批次2600股，以尽量保留低成本的A。执行后剩余15400股、市值约483560元，付完两笔款后现金约325323元（高于80000元下限），总资产约808883元，单票占比约59.8%，达标。实现盈亏（扣费后）约+20003元；C批次按31.40元卖为实现亏损约21600元，B、A为实现盈利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批次/动作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数量(股)</w:t>
            </w:r>
          </w:p>
        </w:tc>
        <w:tc>
          <w:tcPr>
            <w:tcW w:type="dxa" w:w="1020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参考价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成交额(元)</w:t>
            </w:r>
          </w:p>
        </w:tc>
        <w:tc>
          <w:tcPr>
            <w:tcW w:type="dxa" w:w="124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费用(元)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净回笼(元)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卖C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8000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251200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约201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约250999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卖B自由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62800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约50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约62750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卖A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81640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约65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约81575</w:t>
            </w:r>
          </w:p>
        </w:tc>
      </w:tr>
      <w:tr>
        <w:trPr>
          <w:cantSplit/>
        </w:trPr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12600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31.40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395640</w:t>
            </w:r>
          </w:p>
        </w:tc>
        <w:tc>
          <w:tcPr>
            <w:tcW w:type="dxa" w:w="1247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约317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约395323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表6　S01正常波动下的分笔卖出与现金变化（相邻一手验证：12500股时占比约60.17%仍超限，12600股方达标）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6.2　跌破风险线（S02：收盘跌破29.80，参考29.20元）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29.80元为附件前期支撑位。若收盘跌破该位，说明向下风险上升，不宜再被动等待回升。此时按付完款后≤60%反解约需卖出12700股（C8000+B2000+A2700）；附件估计此情景日可成交量降至约4000股，故执行放慢至每日不超过4000股、多日完成。执行后剩余15300股、市值约446760元，付完款后现金约300543元，单票占比约59.8%。触发目的是在价格进一步逼近27.50元硬线之前提前降险，避免被迫转入R4的5日应急减仓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6.3　价格回升（S03：收盘达到或高于33.60元，参考34.00元）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33.60元为附件前期压力位，也接近客户“回到34元”的心理价位。回升时按60%反解约需卖出12500股（C8000+B2000+A2500），因价格更高、所需股数略少且每股净回笼更多；附件估计此情景日可放量至约8000股，但客户单日上限6000股，故按每日≤6000股、约3个交易日在回升中分笔卖出。执行后剩余15500股、市值约527000元，付完款后现金约354660元，单票占比约59.8%。该情景是兼顾客户“在相对高位卖”偏好的窗口，应优先把B及A残余放在回升中执行。</w:t>
      </w:r>
    </w:p>
    <w:p>
      <w:pPr>
        <w:pStyle w:val="Heading2"/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6.4　极端下行情景（S04：连续两个交易日收盘低于27.50元）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此情景触发题面硬性规则：在可交易前提下，于五个交易日内将单票占比降至40%以下。按26.80元、且教育款尚未支付（现金150000元）测算，需累计卖出约14600股。附件估计此情景日可成交量仅约3000股，五个交易日理论可成交约15000股，与所需14600股基本相当、余量很小；质押的6000股在11月30日前不可用。因此须逐日满额、优先卖C与B自由、再卖A；若实际流动性不足，五个交易日内可能无法一步到40%，应在规则允许范围内尽量多卖、满5个交易日后继续向40%靠拢，并向客户说明该结果取决于当时成交，不保证在5日内完全达标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7　分阶段 if→then 交易纪律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下列规则为条件触发安排，均未委托下单、不视为已成交；每笔以限价挂单、是否成交取决于当时买盘与涨跌停状态，未成交则转入后手。数量除特别注明外为“累计总卖出量”，基准持仓为28000股。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rPr>
          <w:cantSplit/>
          <w:tblHeader w:val="true"/>
        </w:trPr>
        <w:tc>
          <w:tcPr>
            <w:tcW w:type="dxa" w:w="62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规则</w:t>
            </w:r>
          </w:p>
        </w:tc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触发条件（阈值+时点）</w:t>
            </w:r>
          </w:p>
        </w:tc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动作与数量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执行时点/日上限</w:t>
            </w:r>
          </w:p>
        </w:tc>
        <w:tc>
          <w:tcPr>
            <w:tcW w:type="dxa" w:w="170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现金与交易后复核</w:t>
            </w:r>
          </w:p>
        </w:tc>
        <w:tc>
          <w:tcPr>
            <w:tcW w:type="dxa" w:w="147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未成交后手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无价格条件，截点后即执行；避开9/18业绩会当日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卖C批次8000股（6000旧+2000于8/27解冻后），累计卖出8000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分≤2日，每日≤6000股；建议9/17前或9/22后完成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现金增至约40万元；复核剩余股数与可卖余额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当日未成交部分次日改价重挂，不跨日追价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R1已成交，且最迟11/10前完成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卖B自由2000股+A残余（正常波动2600股），累计卖出12600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分≤2日，每日≤6000股；优先借回升执行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付完两笔款后现金约32.5万元、单票约59.8%；复核≤60%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11/10未完成则11/13前补足，仍未成交则如实记录缺口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任一收盘价跌破29.80元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提前启动R2：卖B2000+A2700，累计12700股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每日≤4000股（按S02流动性）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交易后单票约59.8%、现金约30万元；复核进度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连续多日无量则下调每日目标，延长至达标</w:t>
            </w:r>
          </w:p>
        </w:tc>
      </w:tr>
      <w:tr>
        <w:trPr>
          <w:cantSplit/>
        </w:trPr>
        <w:tc>
          <w:tcPr>
            <w:tcW w:type="dxa" w:w="62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连续两个交易日收盘价低于27.50元</w:t>
            </w:r>
          </w:p>
        </w:tc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五日内累计卖至14600股（C→B→A），向40%靠拢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每日≤3000股（按S04流动性），满额执行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第5个交易日复核占比；流动性不足则满额后继续</w:t>
            </w:r>
          </w:p>
        </w:tc>
        <w:tc>
          <w:tcPr>
            <w:tcW w:type="dxa" w:w="147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不保证5日内达40%；满5日后继续卖并报备客户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表7　if→then 规则表（方向自检：破线/下跌使绝对损失与应急规则触发，故为恶化量；回升情景则借流动性与价位主动降险）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上述任一条使单票占比回到60%以内并经复核确认前，不进行加仓、回补或做T等扩大该敞口的操作；客户本已明确不接受补仓。质押的6000股在11月30日仅为申请日，无论是否有解除消息，在登记确认前都不计入可卖来源。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8　假设与缺失清单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04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条目</w:t>
            </w:r>
          </w:p>
        </w:tc>
        <w:tc>
          <w:tcPr>
            <w:tcW w:type="dxa" w:w="113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3061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依据/影响</w:t>
            </w:r>
          </w:p>
        </w:tc>
        <w:tc>
          <w:tcPr>
            <w:tcW w:type="dxa" w:w="2835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补齐后需重算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交易日历按周一至周五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合理假设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附件未列法定节假日；10/1–10/7国庆等未单列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若有休市，顺延对应行动日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费用仅含佣金0.03%+印花0.05%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已确认口径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附件未给过户费与滑点，未计入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若另有费用率，重算净回笼与整手数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质押6000股不纳入可卖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已确认事实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11/30仅申请日、当日能否解除未确认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解除登记确认后可重算可卖余额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12/8限售解禁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已确认事实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在11/15规划期之后，本方案未使用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如需延后窗口再纳入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情景价为条件而非预测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题面要求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不假设价格必然到达任一情景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按实际触发情景动态重算整手数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结算与到账</w:t>
            </w:r>
          </w:p>
        </w:tc>
        <w:tc>
          <w:tcPr>
            <w:tcW w:type="dxa" w:w="113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合理推断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按卖出后数个交易日资金可用安排</w:t>
            </w:r>
          </w:p>
        </w:tc>
        <w:tc>
          <w:tcPr>
            <w:tcW w:type="dxa" w:w="2835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若到账延迟，提前R2完成日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表8　假设与缺失清单</w:t>
      </w:r>
    </w:p>
    <w:p>
      <w:pPr>
        <w:pStyle w:val="Heading1"/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9　交付自检回执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1814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自检项</w:t>
            </w:r>
          </w:p>
        </w:tc>
        <w:tc>
          <w:tcPr>
            <w:tcW w:type="dxa" w:w="7257"/>
            <w:shd w:val="clear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填写值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交付清单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声明1件/实际1件：单一重仓持仓处理备忘录.docx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最紧约束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单票集中度≤60%；当前85.43%；阈值60%；反解12600股@31.4；对应R1+R2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分解型占比加总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A+B+C股数=28000=可卖20000+质押6000+当日锁定2000，勾稽一致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最不利情景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S04连续两日&lt;27.50@26.8；需14600股；5日容量约15000，余量很小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日期来源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行动日均取自表4交易日历；11/15为周日，资金按11/13备妥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数量口径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R1/R2/R3/R4均为累计总卖出量，基准持仓28000股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费用口径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佣金0.03%(最低5)+印花0.05%≈成交额0.08%；S01总费用约317元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跨文件一致</w:t>
            </w:r>
          </w:p>
        </w:tc>
        <w:tc>
          <w:tcPr>
            <w:tcW w:type="dxa" w:w="7257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正文/表2/表6/表7的879200、85.43%、12600股、59.8%一致</w:t>
            </w:r>
          </w:p>
        </w:tc>
      </w:tr>
    </w:tbl>
    <w:p>
      <w:pPr>
        <w:spacing w:before="80" w:after="8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表9　交付自检回执</w:t>
      </w:r>
    </w:p>
    <w:p>
      <w:pPr>
        <w:spacing w:before="160"/>
      </w:pPr>
      <w:r>
        <w:rPr>
          <w:rFonts w:ascii="Times New Roman" w:hAnsi="Times New Roman" w:eastAsia="宋体"/>
          <w:b w:val="0"/>
          <w:color w:val="000000"/>
          <w:sz w:val="21"/>
        </w:rPr>
        <w:t>非执行声明：本备忘录为基于附件材料的分析与条件安排，未连接任何券商系统、未发出或完成任何委托，不承诺成交数量、价格或收益。所有情景价格与可成交量为附件给定的估计值，实际执行须以下单时行情、买盘、涨跌停及结算状态为准，并经客户确认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