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投资组合诊断与未来三个交易日执行计划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执行摘要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审阅时点 2026-09-10 14:20，组合总资产 1,009,200 元，与券商导出勾稽一致。当前组合</w:t>
            </w:r>
            <w:r>
              <w:rPr>
                <w:rFonts w:eastAsia="等线" w:ascii="Arial" w:cs="Arial" w:hAnsi="Arial"/>
                <w:b w:val="true"/>
                <w:sz w:val="22"/>
              </w:rPr>
              <w:t>违反四项硬约束</w:t>
            </w:r>
            <w:r>
              <w:rPr>
                <w:rFonts w:eastAsia="等线" w:ascii="Arial" w:cs="Arial" w:hAnsi="Arial"/>
                <w:sz w:val="22"/>
              </w:rPr>
              <w:t>：铜资源股A单一标的占比 39.24%（上限22%）、风险资产仓位 71.15%（上限70%）、资源主题集中度 39.24%（上限35%）、指定压力情景损失 9.07%（上限6%）。光模块股B占比 21.40% 接近上限且处于停牌状态。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核心建议</w:t>
            </w:r>
            <w:r>
              <w:rPr>
                <w:rFonts w:eastAsia="等线" w:ascii="Arial" w:cs="Arial" w:hAnsi="Arial"/>
                <w:sz w:val="22"/>
              </w:rPr>
              <w:t>：立即启动减仓，优先卖出铜资源股A 3,700 股、清仓新能源股C 1,000 股、清仓恒生科技ETF D 5,000 份；若新能源股C因跌停无法成交，则将铜A减仓量增至 4,700 股。执行后全部约束回归合规区间，组合年化波动率由 25.65% 降至约 16.7%。光模块股B因停牌暂无法操作，复牌后若价格超 123.30 元需追加减仓。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免责</w:t>
            </w:r>
            <w:r>
              <w:rPr>
                <w:rFonts w:eastAsia="等线" w:ascii="Arial" w:cs="Arial" w:hAnsi="Arial"/>
                <w:sz w:val="22"/>
              </w:rPr>
              <w:t>：本报告仅为分析与条件化交易计划，不代客户下单，不保证成交价格、收益或止损一定有效。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审阅基础与总资产勾稽核对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审阅时点为 2026-09-10 14:20（交易日尚未收盘），账户基础货币为人民币，全部金额折算为人民币后比较。即期汇率港币兑人民币为 0.9200。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25"/>
        <w:gridCol w:w="1560"/>
        <w:gridCol w:w="1290"/>
        <w:gridCol w:w="1815"/>
        <w:gridCol w:w="1290"/>
      </w:tblGrid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资产项目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原始数量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价格/汇率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人民币价值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人民币可用现金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220,000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220,000.00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未冻结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港币可用现金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60,000 HKD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0.9200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55,200.00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未冻结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冻结申购款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16,000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16,000.00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9/12解冻，不可自由使用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铜资源股A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8,000股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49.50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396,000.00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可卖6,000股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光模块股B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1,800股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120.00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216,000.00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9/9收盘价，9/10停牌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新能源股C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1,000股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60.00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60,000.00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当日跌停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恒生科技ETF 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5,000份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10.00 HKD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46,000.00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×0.92折算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计算总资产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1,009,200.00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券商显示总资产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1,009,200.00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勾稽差异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0.00 ✓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完全一致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券商总资产与各分项加总完全勾稽，无差异。冻结申购款 16,000 元计入总资产但审阅时点不可自由使用，预计 2026-09-12 解冻。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持仓重算与材料冲突处理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依据成交确认单（L01–L07）、公司行动记录（CA01）和成交日汇率，重新计算每项持仓的实际数量、调整后平均成本、人民币市值及未实现盈亏。低置信度OCR（D01）和投资者口述成本（D02）不采用。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铜资源股A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8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成交单号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成交价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2026-05-08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45.00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225.00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50.00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100.00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52.00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104.00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实际数量：8,000 股（三笔买入合计，无卖出记录）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总成本（含费用）：384,429.00 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调整后平均成本：48.0536 元/股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人民币市值：8,000 × 49.50 = 396,000.00 元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未实现盈亏：+11,571.00 元（浮盈）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可卖数量：6,000 股（L03 的 2,000 股为当日买入，受 T+1 限制，9/11 起可卖）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材料冲突处理</w:t>
            </w:r>
            <w:r>
              <w:rPr>
                <w:rFonts w:eastAsia="等线" w:ascii="Arial" w:cs="Arial" w:hAnsi="Arial"/>
                <w:sz w:val="22"/>
              </w:rPr>
              <w:t>：D02 投资者口述成本约 49.25 元/股，与成交确认单重算的 48.0536 元/股不符。采用成交确认单（L01–L03）及费用重新计算，口述成本不采用。当日买入价 52.00 元恰好等于技术压力位，存在短期追高风险。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光模块股B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8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价格/比率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费用/说明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L04 买入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2026-04-18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1,200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150.00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360.00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CA01 转增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除权日2026-08-25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+600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10转5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9/1起可交易，总成本不变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实际数量：1,800 股（原持仓 1,200 + 转增 600）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原总成本（含费用）：180,360.00 元（转增后总成本不变）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调整后平均成本：100.2000 元/股（180,360 ÷ 1,800）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人民币市值：1,800 × 120.00 = 216,000.00 元（9/9 收盘价，9/10 停牌无可成交实时价格）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未实现盈亏：+35,640.00 元（浮盈）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可卖数量：券商显示 1,800 股，但 9/10 停牌期间无法实际成交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材料冲突处理</w:t>
            </w:r>
            <w:r>
              <w:rPr>
                <w:rFonts w:eastAsia="等线" w:ascii="Arial" w:cs="Arial" w:hAnsi="Arial"/>
                <w:sz w:val="22"/>
              </w:rPr>
              <w:t>：D01 手机截图 OCR 识别为持仓 1,200 股、成本价 150.15 元，置信度仅 62%，且截图可能形成于转增股份到账前。该数据与 CA01 公司行动记录（10转5，转增后 1,800 股）及 L04 成交确认单矛盾。采用成交确认单 + 交易所公司行动记录，OCR 数据不采用。转增后平均成本由 150.30 元/股摊薄至 100.20 元/股。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新能源股C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成交记录：L05，2026-06-03 买入 1,000 股，成交价 68.00 元，费用 102.00 元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实际数量：1,000 股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总成本（含费用）：68,102.00 元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调整后平均成本：68.1020 元/股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人民币市值：1,000 × 60.00 = 60,000.00 元（当日跌停价）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未实现盈亏：-8,102.00 元（浮亏）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可卖数量：1,000 股，但当日跌停且 14:20 买一无有效挂单，提交卖出委托后不能保证成交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恒生科技ETF D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485"/>
        <w:gridCol w:w="1185"/>
        <w:gridCol w:w="1485"/>
        <w:gridCol w:w="1485"/>
        <w:gridCol w:w="14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单号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成交价(HKD)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费用(HKD)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成交日汇率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L06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2026-03-12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3,000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11.60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34.80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0.9400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L07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10.80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21.60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0.9300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实际数量：5,000 份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港币总成本（含费用）：56,456.40 HKD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人民币总成本（按成交日汇率）：52,852.80 元（L06: 34,834.80×0.94=32,744.71；L07: 21,621.60×0.93=20,108.09）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调整后平均成本：10.5706 元/份（人民币），11.2913 HKD/份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人民币市值：5,000 × 10.00 × 0.92 = 46,000.00 元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未实现盈亏：-6,852.80 元（浮亏）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可卖数量：5,000 份（T+0 可卖），卖出所得为港币，换汇完成前不能作为 A 股可用资金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风险指标诊断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约束合规总览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1605"/>
        <w:gridCol w:w="1335"/>
        <w:gridCol w:w="1335"/>
        <w:gridCol w:w="1605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风险指标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当前值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约束上限/下限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超出幅度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风险资产仓位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71.15%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≤70%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超限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+1.15pp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铜资源股A单一标的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39.24%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≤22%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严重超限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+17.24pp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光模块股B单一标的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21.40%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≤22%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接近上限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-0.60pp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新能源股C单一标的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5.95%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≤22%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恒生科技ETF D单一标的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4.56%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≤22%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资源周期主题(A)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39.24%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≤35%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超限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+4.24pp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科技成长主题(B+C+D)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31.91%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≤35%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未对冲外币敞口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10.03%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≤25%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可自由使用现金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27.27%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≥25%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合规但偏紧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+2.27pp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指定压力情景损失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9.07%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≤6%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严重超限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+3.07pp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组合年化波动率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基于各标的近一年估计年化波动率（A:42%、B:55%、C:48%、D:32%）及相关系数矩阵，以各标的占总资产权重计算：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组合方差：0.065787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组合年化波动率：25.65%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现金权重 28.85% 波动率为零，已自然稀释组合波动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注：恒生科技ETF D 的 32% 波动率不含港币汇率波动；港币兑人民币年化波动率为 4%，与 ETF 价格冲击分开处理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指定压力情景损失测算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客户指定一周压力情景（S01）：铜A跌12%、光模块B跌15%、新能源C跌10%、恒生科技ETF D跌8%、港币兑人民币跌2%。现金及冻结申购款面值不变。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1800"/>
        <w:gridCol w:w="1800"/>
        <w:gridCol w:w="210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资产项目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压力前价值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压力后价值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损失金额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人民币现金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220,000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220,000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港币现金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55,200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54,096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-1,104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冻结申购款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16,000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16,000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铜资源股A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396,000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348,480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-47,520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光模块股B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216,000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183,600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-32,400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新能源股C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60,000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54,000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-6,000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恒生科技ETF D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46,000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41,473.60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-4,526.40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1,009,200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917,649.60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-91,550.40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压力情景损失 91,550.40 元，占总资产 9.07%，远超客户 6% 的上限。其中铜A贡献 47,520 元（占总损失 51.9%），是最大风险来源。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技术状态与相关性聚集分析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各标的技术状态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1065"/>
        <w:gridCol w:w="1065"/>
        <w:gridCol w:w="1065"/>
        <w:gridCol w:w="1065"/>
        <w:gridCol w:w="795"/>
        <w:gridCol w:w="1875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标的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现价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MA20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MA60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RSI(14)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关键位与状态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铜A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49.50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48.00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44.00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偏多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支撑46.80，压力52.00；放量(1.3倍)；价格在均线之上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光模块B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120.00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126.00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110.00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中性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支撑112.00，压力135.00；9/10停牌(重组)，技术指标失效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新能源C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60.00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65.00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72.00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空头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支撑60.00(=跌停价)，压力66.00；连续第二日放量下跌；超卖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ETF 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10.00HKD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10.40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10.90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偏弱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支撑9.80，压力10.60；价格在均线之下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相关性聚集风险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近一年估计相关系数矩阵：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200"/>
        <w:gridCol w:w="1200"/>
        <w:gridCol w:w="1200"/>
        <w:gridCol w:w="12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铜A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光模块B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新能源C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ETF 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铜A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光模块B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新能源C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ETF 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科技成长集群（B、C、D）</w:t>
      </w:r>
      <w:r>
        <w:rPr>
          <w:rFonts w:eastAsia="等线" w:ascii="Arial" w:cs="Arial" w:hAnsi="Arial"/>
          <w:sz w:val="22"/>
        </w:rPr>
        <w:t>：三者两两相关系数 0.65–0.72，高度正相关，同涨同跌风险显著。合计权重 31.91%，分散效果差。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铜A相对独立</w:t>
      </w:r>
      <w:r>
        <w:rPr>
          <w:rFonts w:eastAsia="等线" w:ascii="Arial" w:cs="Arial" w:hAnsi="Arial"/>
          <w:sz w:val="22"/>
        </w:rPr>
        <w:t>：与B相关仅0.25，与C相关0.40，与D相关0.55。但因单一权重高达39.24%，其个体波动主导组合风险。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跨主题联动</w:t>
      </w:r>
      <w:r>
        <w:rPr>
          <w:rFonts w:eastAsia="等线" w:ascii="Arial" w:cs="Arial" w:hAnsi="Arial"/>
          <w:sz w:val="22"/>
        </w:rPr>
        <w:t>：铜A与ETF D相关0.55（资源与港股科技存在宏观周期联动），铜A与新能源C相关0.40（新能源用铜需求关联），在系统性下跌中分散效果可能进一步弱化。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风险分级与调整必要性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已确认的风险</w:t>
      </w:r>
      <w:bookmarkEnd w:id="1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铜资源股A单一标的占比 39.24%，远超 22% 上限，是组合最大集中度风险。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风险资产仓位 71.15%，超过 70% 上限。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指定压力情景损失 9.07%，超过 6% 上限 3.07 个百分点。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资源周期主题集中度 39.24%，超过 35% 上限。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光模块股B 9/10 停牌，无法成交；复牌时间和价格不确定。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新能源股C当日跌停，买一无有效挂单，卖出委托可能无法成交。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铜A有 2,000 股受 T+1 限制，当日仅可卖 6,000 股。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可自由使用现金 27.27%，仅高于下限 2.27 个百分点，缓冲不足。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合理推断</w:t>
      </w:r>
      <w:bookmarkEnd w:id="15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光模块股B因筹划重大资产重组停牌，复牌后可能因重组消息大幅波动，方向取决于交易方案，不得假设必然上涨。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新能源股C连续第二日放量下跌且跌停，RSI=27 超卖，短期弱势可能延续，但存在技术性反弹可能。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铜A当日以 52.00 元（=技术压力位）追高买入 2,000 股，短期面临回调风险；现价 49.50 已低于买入价。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科技成长集群（B、C、D）高相关，在市场系统性下跌中将同步承压，分散效果有限。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光模块股B当前占比 21.40%，若复牌后上涨超过 2.8%（价格超 123.30 元），将突破 22% 单一标的上限。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仍缺少证据的事项</w:t>
      </w:r>
      <w:bookmarkEnd w:id="1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光模块股B重组交易方案、复牌确切日期及复牌参考价格——公告仅称预计不超过 5 个交易日。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实时买卖盘深度——无法精确判断跌停板打开概率和大额卖出的市场冲击。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客户未来资金用途——影响现金保留比例的实际需求。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税费个性化规则——卖出实现盈亏的税务影响未纳入测算。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投资者其他账户负债——无法评估整体净资产和杠杆水平。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港币换汇的具体额度限制、买卖价差及到账时间——影响跨币种资金调度效率。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调整必要性与顺序</w:t>
      </w:r>
      <w:bookmarkEnd w:id="17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结论：当前组合必须立即调整。</w:t>
            </w:r>
            <w:r>
              <w:rPr>
                <w:rFonts w:eastAsia="等线" w:ascii="Arial" w:cs="Arial" w:hAnsi="Arial"/>
                <w:sz w:val="22"/>
              </w:rPr>
              <w:t>四项硬约束被违反，其中铜A单一标的超限和压力情景超限最为严重。调整顺序按"可执行性优先、风险约束优先"原则确定：</w:t>
            </w:r>
          </w:p>
        </w:tc>
      </w:tr>
    </w:tbl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第一优先（当日可立即执行）</w:t>
      </w:r>
      <w:r>
        <w:rPr>
          <w:rFonts w:eastAsia="等线" w:ascii="Arial" w:cs="Arial" w:hAnsi="Arial"/>
          <w:sz w:val="22"/>
        </w:rPr>
        <w:t>：卖出恒生科技ETF D 5,000 份（T+0，流动性好）+ 卖出铜资源股A 3,700 股（当日可卖 6,000 股额度内）。这两笔交易确定性最高。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第二优先（当日委托，可能不成交）</w:t>
      </w:r>
      <w:r>
        <w:rPr>
          <w:rFonts w:eastAsia="等线" w:ascii="Arial" w:cs="Arial" w:hAnsi="Arial"/>
          <w:sz w:val="22"/>
        </w:rPr>
        <w:t>：以跌停价委托卖出新能源股C 1,000 股。若当日未成交，启用替代路径（增加铜A减仓量至 4,700 股）。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第三优先（停牌无法操作，待复牌）</w:t>
      </w:r>
      <w:r>
        <w:rPr>
          <w:rFonts w:eastAsia="等线" w:ascii="Arial" w:cs="Arial" w:hAnsi="Arial"/>
          <w:sz w:val="22"/>
        </w:rPr>
        <w:t>：光模块股B暂不操作。复牌后若价格超 123.30 元（占比超22%），需追加减仓；若复牌下跌则占比自然下降，可观察。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客户偏好协调</w:t>
      </w:r>
      <w:r>
        <w:rPr>
          <w:rFonts w:eastAsia="等线" w:ascii="Arial" w:cs="Arial" w:hAnsi="Arial"/>
          <w:sz w:val="22"/>
        </w:rPr>
        <w:t>：客户最希望保留光模块B（已因停牌被动保留）、其次铜A（减仓后仍保留 4,300–4,400 股）；愿意减少新能源C和ETF D（均清仓）。风险约束优先于主观偏好，铜A虽为客户第二偏好但因严重超限必须大幅减仓。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未来三个交易日执行计划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Day 1（2026-09-10，当日剩余交易时间）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6.1.1 </w:t>
      </w:r>
      <w:r>
        <w:rPr>
          <w:rFonts w:eastAsia="等线" w:ascii="Arial" w:cs="Arial" w:hAnsi="Arial"/>
          <w:b w:val="true"/>
          <w:sz w:val="30"/>
        </w:rPr>
        <w:t>交易1：卖出恒生科技ETF D</w:t>
      </w:r>
      <w:bookmarkEnd w:id="20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9/10 14:20 后 ETF D 买一价 ≥ 9.95 港币 且 当日未收盘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以限价 9.95–10.00 港币申报卖出 5,000 份（50手，每手100份），申报有效期为当日。预计成交额 49,750–50,000 港币，费用约 30 港币，净回笼约 49,970 港币。卖出所得为港币，</w:t>
            </w:r>
            <w:r>
              <w:rPr>
                <w:rFonts w:eastAsia="等线" w:ascii="Arial" w:cs="Arial" w:hAnsi="Arial"/>
                <w:b w:val="true"/>
                <w:sz w:val="22"/>
              </w:rPr>
              <w:t>不可直接用于买入A股</w:t>
            </w:r>
            <w:r>
              <w:rPr>
                <w:rFonts w:eastAsia="等线" w:ascii="Arial" w:cs="Arial" w:hAnsi="Arial"/>
                <w:sz w:val="22"/>
              </w:rPr>
              <w:t>，需单独发起换汇。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止损/止盈</w:t>
            </w:r>
            <w:r>
              <w:rPr>
                <w:rFonts w:eastAsia="等线" w:ascii="Arial" w:cs="Arial" w:hAnsi="Arial"/>
                <w:sz w:val="22"/>
              </w:rPr>
              <w:t>：本笔为风险约束驱动的清仓，不设止盈；若 ETF D 价格跌破 9.80 港币（近端支撑）且卖盘涌出，仍坚持卖出，不因短期价格波动撤销。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撤销条件</w:t>
            </w:r>
            <w:r>
              <w:rPr>
                <w:rFonts w:eastAsia="等线" w:ascii="Arial" w:cs="Arial" w:hAnsi="Arial"/>
                <w:sz w:val="22"/>
              </w:rPr>
              <w:t>：仅当客户书面通知取消减仓计划时撤销；否则在 14:55 前若未成交，改为以市价（或当日可成交最优价）申报确保成交。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6.1.2 </w:t>
      </w:r>
      <w:r>
        <w:rPr>
          <w:rFonts w:eastAsia="等线" w:ascii="Arial" w:cs="Arial" w:hAnsi="Arial"/>
          <w:b w:val="true"/>
          <w:sz w:val="30"/>
        </w:rPr>
        <w:t>交易2：卖出铜资源股A</w:t>
      </w:r>
      <w:bookmarkEnd w:id="21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9/10 14:20 后 铜A 卖一价 ≤ 49.60 元 且 当日可卖余额 ≥ 3,700 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以限价 49.30–49.60 元申报卖出 3,700 股（37手，每手100股），申报有效期为当日。预计成交额 182,410–183,520 元，费用（佣金+印花税+规费，估0.15%）约 274 元，净回笼约 183,000 元。卖出后铜A剩余 4,300 股，市值约 212,850 元，占比约 21.1%。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目标仓位</w:t>
            </w:r>
            <w:r>
              <w:rPr>
                <w:rFonts w:eastAsia="等线" w:ascii="Arial" w:cs="Arial" w:hAnsi="Arial"/>
                <w:sz w:val="22"/>
              </w:rPr>
              <w:t>：铜A占总资产 ≤ 22%，资源主题 ≤ 35%。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止损</w:t>
            </w:r>
            <w:r>
              <w:rPr>
                <w:rFonts w:eastAsia="等线" w:ascii="Arial" w:cs="Arial" w:hAnsi="Arial"/>
                <w:sz w:val="22"/>
              </w:rPr>
              <w:t>：若铜A跌破 46.80 元（近端支撑），将卖出限价下调至 46.50–46.80 元确保成交，不因价格下跌而持有等待反弹。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撤销条件</w:t>
            </w:r>
            <w:r>
              <w:rPr>
                <w:rFonts w:eastAsia="等线" w:ascii="Arial" w:cs="Arial" w:hAnsi="Arial"/>
                <w:sz w:val="22"/>
              </w:rPr>
              <w:t>：仅当客户书面通知取消；若 14:50 前未全部成交，将未成交部分改为以买一价（或更低限价）申报直至成交。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T+1 注意</w:t>
            </w:r>
            <w:r>
              <w:rPr>
                <w:rFonts w:eastAsia="等线" w:ascii="Arial" w:cs="Arial" w:hAnsi="Arial"/>
                <w:sz w:val="22"/>
              </w:rPr>
              <w:t>：本笔卖出使用的是 L01+L02 批次的 6,000 股可卖额度，不涉及 L03 当日买入的 2,000 股。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6.1.3 </w:t>
      </w:r>
      <w:r>
        <w:rPr>
          <w:rFonts w:eastAsia="等线" w:ascii="Arial" w:cs="Arial" w:hAnsi="Arial"/>
          <w:b w:val="true"/>
          <w:sz w:val="30"/>
        </w:rPr>
        <w:t>交易3：委托卖出新能源股C</w:t>
      </w:r>
      <w:bookmarkEnd w:id="22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9/10 14:20 后 新能源C 处于跌停状态（买一无有效挂单）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以跌停价 60.00 元申报卖出 1,000 股（10手），排队等待成交。</w:t>
            </w:r>
            <w:r>
              <w:rPr>
                <w:rFonts w:eastAsia="等线" w:ascii="Arial" w:cs="Arial" w:hAnsi="Arial"/>
                <w:b w:val="true"/>
                <w:sz w:val="22"/>
              </w:rPr>
              <w:t>不保证成交</w:t>
            </w:r>
            <w:r>
              <w:rPr>
                <w:rFonts w:eastAsia="等线" w:ascii="Arial" w:cs="Arial" w:hAnsi="Arial"/>
                <w:sz w:val="22"/>
              </w:rPr>
              <w:t>——若跌停板未打开，该委托将在收盘后自动失效。若盘中打开跌停且买一价 ≥ 59.50 元，立即以买一价或限价 59.50–60.00 元成交。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替代路径（若当日未成交）</w:t>
            </w:r>
            <w:r>
              <w:rPr>
                <w:rFonts w:eastAsia="等线" w:ascii="Arial" w:cs="Arial" w:hAnsi="Arial"/>
                <w:sz w:val="22"/>
              </w:rPr>
              <w:t>：启用</w:t>
            </w:r>
            <w:r>
              <w:rPr>
                <w:rFonts w:eastAsia="等线" w:ascii="Arial" w:cs="Arial" w:hAnsi="Arial"/>
                <w:b w:val="true"/>
                <w:sz w:val="22"/>
              </w:rPr>
              <w:t>备选方案</w:t>
            </w:r>
            <w:r>
              <w:rPr>
                <w:rFonts w:eastAsia="等线" w:ascii="Arial" w:cs="Arial" w:hAnsi="Arial"/>
                <w:sz w:val="22"/>
              </w:rPr>
              <w:t>——将铜A减仓量由 3,700 股增至 4,700 股（仍在当日 6,000 股可卖额度内），以弥补新能源C无法减仓带来的压力缺口。铜A多卖 1,000 股可额外减少压力损失约 5,940 元，使压力情景损失降至约 5.95%。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撤销条件</w:t>
            </w:r>
            <w:r>
              <w:rPr>
                <w:rFonts w:eastAsia="等线" w:ascii="Arial" w:cs="Arial" w:hAnsi="Arial"/>
                <w:sz w:val="22"/>
              </w:rPr>
              <w:t>：若客户书面通知取消，或备选方案已执行（铜A已卖 4,700 股），则撤销本笔委托。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6.1.4 </w:t>
      </w:r>
      <w:r>
        <w:rPr>
          <w:rFonts w:eastAsia="等线" w:ascii="Arial" w:cs="Arial" w:hAnsi="Arial"/>
          <w:b w:val="true"/>
          <w:sz w:val="30"/>
        </w:rPr>
        <w:t>交易4：港币换汇</w:t>
      </w:r>
      <w:bookmarkEnd w:id="23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ETF D 卖出成交且港币资金已到账（T+0 成交后通常即时可用）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发起港币兑人民币换汇，金额为原有港币现金 60,000 + ETF D 卖出净回笼约 49,970 = 约 109,970 港币，按即期汇率 0.9200 兑换，预计获得约 101,172 元人民币。换汇完成后该资金可用于 A 股交易。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：换汇存在买卖价差（实际汇率可能略低于 0.9200），且可能有额度限制或到账延迟。若换汇未能当日完成，港币资金仍计入外币敞口，但不影响减仓决策。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Day 2（2026-09-11）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6.2.1 </w:t>
      </w:r>
      <w:r>
        <w:rPr>
          <w:rFonts w:eastAsia="等线" w:ascii="Arial" w:cs="Arial" w:hAnsi="Arial"/>
          <w:b w:val="true"/>
          <w:sz w:val="30"/>
        </w:rPr>
        <w:t>动作1：铜A T+1 股份解冻确认</w:t>
      </w:r>
      <w:bookmarkEnd w:id="25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9/11 开盘后 铜A L03 批次的 2,000 股已解冻可卖 且 Day 1 铜A已按计划卖出 3,700 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无需额外操作。铜A剩余 4,300 股全部可卖，占比约 21.1%，已合规。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Day 1 铜A因价格原因未全部成交（仅成交部分）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9/11 开盘后以限价 49.00–49.50 元继续申报未成交部分，确保 3,700 股总目标在 9/11 上午完成。若已启用备选方案（目标 4,700 股），则继续补足至 4,700 股。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6.2.2 </w:t>
      </w:r>
      <w:r>
        <w:rPr>
          <w:rFonts w:eastAsia="等线" w:ascii="Arial" w:cs="Arial" w:hAnsi="Arial"/>
          <w:b w:val="true"/>
          <w:sz w:val="30"/>
        </w:rPr>
        <w:t>动作2：新能源股C 后续处理</w:t>
      </w:r>
      <w:bookmarkEnd w:id="26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Day 1 新能源C 卖出委托未成交 且 9/11 未继续跌停（买一有有效挂单）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以限价 59.00–60.00 元申报卖出 1,000 股，确保成交。成交后实现亏损约 8,192 元（含费用），但释放风险敞口。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9/11 新能源C 继续跌停且无法成交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确认备选方案已执行（铜A已卖 4,700 股），压力情景已合规。继续以跌停价委托新能源C卖出，等待打开跌停。若连续 3 日跌停无法成交，在 Day 3 评估是否需要进一步减仓铜A或等待。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止损</w:t>
            </w:r>
            <w:r>
              <w:rPr>
                <w:rFonts w:eastAsia="等线" w:ascii="Arial" w:cs="Arial" w:hAnsi="Arial"/>
                <w:sz w:val="22"/>
              </w:rPr>
              <w:t>：新能源C成本 68.10 元，当前已浮亏 11.9%。若反弹至 63.00 元以上（压力位 66.00 元下方），仍坚持卖出计划，不因短期反弹而改变清仓决策。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6.2.3 </w:t>
      </w:r>
      <w:r>
        <w:rPr>
          <w:rFonts w:eastAsia="等线" w:ascii="Arial" w:cs="Arial" w:hAnsi="Arial"/>
          <w:b w:val="true"/>
          <w:sz w:val="30"/>
        </w:rPr>
        <w:t>动作3：光模块股B 复牌监控</w:t>
      </w:r>
      <w:bookmarkEnd w:id="27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9/11 光模块股B 复牌 且 开盘价 ≥ 123.30 元（占比将超 22%）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以限价 123.00–125.00 元申报卖出至少 100 股（1手），使占比回落至 22% 以下。精确计算：需卖出股数 = ceil((1800×price - 0.22×总资产) / price / 100) × 100。若 price=125，则需卖约 200 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9/11 光模块股B 复牌 且 开盘价 &lt; 123.30 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暂不卖出，占比自然在 22% 以下。但需密切监控，若盘中上涨突破 123.30 元则立即触发上述减仓。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9/11 光模块股B 继续停牌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无法操作，继续等待。停牌期间以 9/9 收盘价 120.00 元估值，占比 21.4% 暂合规。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：光模块股B为客户最希望保留的标的，仅在占比突破 22% 硬约束时才强制减仓，减仓量以刚好满足约束为限，不多卖。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Day 3（2026-09-12）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6.3.1 </w:t>
      </w:r>
      <w:r>
        <w:rPr>
          <w:rFonts w:eastAsia="等线" w:ascii="Arial" w:cs="Arial" w:hAnsi="Arial"/>
          <w:b w:val="true"/>
          <w:sz w:val="30"/>
        </w:rPr>
        <w:t>动作1：冻结申购款解冻</w:t>
      </w:r>
      <w:bookmarkEnd w:id="29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9/12 冻结申购款 16,000 元按期解冻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该资金转入可用现金，可自由使用现金比例进一步提升约 1.6 个百分点。无需交易操作。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解冻延迟（新股申购中签需缴款等）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继续冻结，不影响已执行的减仓计划。在最终复核中注明。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6.3.2 </w:t>
      </w:r>
      <w:r>
        <w:rPr>
          <w:rFonts w:eastAsia="等线" w:ascii="Arial" w:cs="Arial" w:hAnsi="Arial"/>
          <w:b w:val="true"/>
          <w:sz w:val="30"/>
        </w:rPr>
        <w:t>动作2：最终约束复核</w:t>
      </w:r>
      <w:bookmarkEnd w:id="30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Day 1–2 所有计划交易已按主方案执行（铜A卖3,700股、C清仓、D清仓）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执行最终复核，预期结果：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铜A持仓 4,300 股，市值约 212,850 元，占比约 21.1% ✓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光模块B 1,800 股（停牌或复牌），占比约 21.4% ✓（若复牌未超123.30元）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新能源C 0 股 ✓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恒生科技ETF D 0 份 ✓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风险资产仓位约 42.5% ✓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可自由使用现金约 55.9% ✓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外币敞口约 10.0%（港币现金）✓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压力情景损失约 5.94% ✓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组合年化波动率约 16.7%（较原 25.65% 大幅下降）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因新能源C未成交而执行了备选方案（铜A卖4,700股）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铜A持仓 3,300 股，占比约 16.2%，压力损失约 5.95%，全部约束合规。新能源C仍持仓 1,000 股（占比约5.95%），继续委托卖出直至清仓。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6.3.3 </w:t>
      </w:r>
      <w:r>
        <w:rPr>
          <w:rFonts w:eastAsia="等线" w:ascii="Arial" w:cs="Arial" w:hAnsi="Arial"/>
          <w:b w:val="true"/>
          <w:sz w:val="30"/>
        </w:rPr>
        <w:t>动作3：光模块股B 复牌后最终处理</w:t>
      </w:r>
      <w:bookmarkEnd w:id="31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9/12 光模块股B 已复牌 且 占比 ≤ 22%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保留持仓，设置移动止盈基准：以复牌后历史最高完整收盘价为基准，仅上移不下调。若收盘价从基准回落超过 8%，减仓 300 股（锁定部分利润）；若回落超过 15%，再减仓 500 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If</w:t>
            </w:r>
            <w:r>
              <w:rPr>
                <w:rFonts w:eastAsia="等线" w:ascii="Arial" w:cs="Arial" w:hAnsi="Arial"/>
                <w:sz w:val="22"/>
              </w:rPr>
              <w:t xml:space="preserve"> 9/12 光模块股B 仍停牌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→ Then</w:t>
            </w:r>
            <w:r>
              <w:rPr>
                <w:rFonts w:eastAsia="等线" w:ascii="Arial" w:cs="Arial" w:hAnsi="Arial"/>
                <w:sz w:val="22"/>
              </w:rPr>
              <w:t xml:space="preserve"> 无法操作。在报告中注明停牌风险持续，复牌后需立即按 Day 2 动作3的规则处理。公告称预计不超过 5 个交易日，9/10 为第 1 日，9/12 为第 3 日，仍在预计范围内。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执行限制、替代路径与撤销条件汇总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交易规则限制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3885"/>
        <w:gridCol w:w="259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限制类型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具体规则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影响标的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T+1 限制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当日买入股票下一交易日方可卖出；正常卖出以100股为交易单位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铜A（2,000股9/11解冻）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停牌限制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停牌期间不能成交；券商显示可卖数量不代表可实际卖出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光模块B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跌停限制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可提交卖出委托，但买盘不足时不能保证成交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新能源C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ETF T+0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允许当日卖出，申报单位100份；卖出所得为港币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恒生科技ETF D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跨币种换汇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港币资金换汇完成前不能作为A股可用资金；存在买卖价差和到账延迟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港币现金 + ETF D卖出所得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整手交易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A股股票和ETF均以100股/份为交易单位，零股需特殊处理（本题不考虑）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全部标的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替代路径汇总</w:t>
      </w:r>
      <w:bookmarkEnd w:id="34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新能源C跌停无法成交</w:t>
      </w:r>
      <w:r>
        <w:rPr>
          <w:rFonts w:eastAsia="等线" w:ascii="Arial" w:cs="Arial" w:hAnsi="Arial"/>
          <w:sz w:val="22"/>
        </w:rPr>
        <w:t xml:space="preserve"> → 铜A减仓量由 3,700 股增至 4,700 股（当日可卖 6,000 股额度内），压力损失降至 5.95%。新能源C继续委托，待打开跌停后清仓。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铜A当日未全部成交</w:t>
      </w:r>
      <w:r>
        <w:rPr>
          <w:rFonts w:eastAsia="等线" w:ascii="Arial" w:cs="Arial" w:hAnsi="Arial"/>
          <w:sz w:val="22"/>
        </w:rPr>
        <w:t xml:space="preserve"> → 9/11 继续以更低限价申报，利用 T+1 解冻后的全额可卖额度（8,000 股）确保完成。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ETF D 卖出后换汇延迟</w:t>
      </w:r>
      <w:r>
        <w:rPr>
          <w:rFonts w:eastAsia="等线" w:ascii="Arial" w:cs="Arial" w:hAnsi="Arial"/>
          <w:sz w:val="22"/>
        </w:rPr>
        <w:t xml:space="preserve"> → 港币资金暂存港币账户，不影响减仓效果；外币敞口仍为 10% 左右，合规。换汇完成后人民币可用资金增加。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光模块B复牌后大涨超限</w:t>
      </w:r>
      <w:r>
        <w:rPr>
          <w:rFonts w:eastAsia="等线" w:ascii="Arial" w:cs="Arial" w:hAnsi="Arial"/>
          <w:sz w:val="22"/>
        </w:rPr>
        <w:t xml:space="preserve"> → 仅卖出刚好满足 22% 约束的最小数量（通常 100–300 股），不多卖，保留客户偏好标的。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光模块B复牌后大跌</w:t>
      </w:r>
      <w:r>
        <w:rPr>
          <w:rFonts w:eastAsia="等线" w:ascii="Arial" w:cs="Arial" w:hAnsi="Arial"/>
          <w:sz w:val="22"/>
        </w:rPr>
        <w:t xml:space="preserve"> → 占比自然下降，无需强制减仓；但需评估是否触发移动止损，保护已有浮盈（成本 100.20 元，当前浮盈 19.8%）。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7.3 </w:t>
      </w:r>
      <w:r>
        <w:rPr>
          <w:rFonts w:eastAsia="等线" w:ascii="Arial" w:cs="Arial" w:hAnsi="Arial"/>
          <w:b w:val="true"/>
          <w:sz w:val="32"/>
        </w:rPr>
        <w:t>统一撤销条件</w:t>
      </w:r>
      <w:bookmarkEnd w:id="35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所有交易计划仅在客户书面确认后执行，客户可随时书面通知撤销全部或部分计划。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若市场出现极端情况（如全部标的停牌、交易所休市、系统故障），当日计划自动顺延至下一可执行交易日。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若客户追加资金或转入新资产，需重新计算总资产和各项比例，本计划中基于 1,009,200 元总资产的目标数量需相应调整。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信息缺口与免责声明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未提供信息及其影响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0"/>
        <w:gridCol w:w="5250"/>
      </w:tblGrid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缺失信息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对判断的影响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光模块B重组方案与复牌价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无法判断复牌方向，仅能设置条件化规则；不得假设必然上涨或按120元成交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实时买卖盘深度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无法精确判断跌停打开概率和大额卖出冲击成本，委托成交存在不确定性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未来资金用途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无法判断25%现金下限是否足够，当前计划后现金约55%有较大缓冲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税费个性化规则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卖出实现盈亏的税务影响未纳入，实际净回笼可能因税费而略有差异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其他账户负债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无法评估整体净资产和杠杆水平，本分析仅基于本券商账户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港币换汇额度与价差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换汇实际汇率可能低于0.9200，到账时间可能延迟，影响人民币可用资金时点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>费用估算说明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本报告中卖出费用为估算值：A股卖出按佣金+规费+印花税合计约 0.15% 估算，ETF 卖出按约 0.06% 估算。实际费用以券商结算为准。买入成本均使用成交确认单中的实际费用。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sz w:val="32"/>
        </w:rPr>
        <w:t>免责声明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2f3f5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本报告由组合风险分析师基于客户提供的附件材料编制，审阅时点为 2026-09-10 14:20。所有分析和建议仅基于附件中的脱敏仿真数据，不对应真实公司或真实行情。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本报告不构成投资建议，不代客户下单，不保证成交价格、收益或止损一定有效。</w:t>
            </w:r>
            <w:r>
              <w:rPr>
                <w:rFonts w:eastAsia="等线" w:ascii="Arial" w:cs="Arial" w:hAnsi="Arial"/>
                <w:sz w:val="22"/>
              </w:rPr>
              <w:t>市场有风险，投资需谨慎。所有交易计划均为条件化（if→then）建议，实际执行需客户确认并以市场实时情况为准。停牌、跌停、流动性不足等情况可能导致委托无法成交，替代路径已在报告中说明，但不保证替代路径一定能完成目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移动止盈基准使用方案开始后的历史最高完整收盘价，只上移不下调，触发减仓后也不重置。该机制不能保证在跳空下跌时以基准价成交。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37178">
    <w:lvl>
      <w:numFmt w:val="bullet"/>
      <w:suff w:val="tab"/>
      <w:lvlText w:val="•"/>
      <w:rPr>
        <w:color w:val="3370ff"/>
      </w:rPr>
    </w:lvl>
  </w:abstractNum>
  <w:abstractNum w:abstractNumId="737179">
    <w:lvl>
      <w:numFmt w:val="bullet"/>
      <w:suff w:val="tab"/>
      <w:lvlText w:val="•"/>
      <w:rPr>
        <w:color w:val="3370ff"/>
      </w:rPr>
    </w:lvl>
  </w:abstractNum>
  <w:abstractNum w:abstractNumId="737180">
    <w:lvl>
      <w:numFmt w:val="bullet"/>
      <w:suff w:val="tab"/>
      <w:lvlText w:val="•"/>
      <w:rPr>
        <w:color w:val="3370ff"/>
      </w:rPr>
    </w:lvl>
  </w:abstractNum>
  <w:abstractNum w:abstractNumId="737181">
    <w:lvl>
      <w:numFmt w:val="bullet"/>
      <w:suff w:val="tab"/>
      <w:lvlText w:val="•"/>
      <w:rPr>
        <w:color w:val="3370ff"/>
      </w:rPr>
    </w:lvl>
  </w:abstractNum>
  <w:abstractNum w:abstractNumId="737182">
    <w:lvl>
      <w:numFmt w:val="bullet"/>
      <w:suff w:val="tab"/>
      <w:lvlText w:val="•"/>
      <w:rPr>
        <w:color w:val="3370ff"/>
      </w:rPr>
    </w:lvl>
  </w:abstractNum>
  <w:abstractNum w:abstractNumId="737183">
    <w:lvl>
      <w:numFmt w:val="bullet"/>
      <w:suff w:val="tab"/>
      <w:lvlText w:val="•"/>
      <w:rPr>
        <w:color w:val="3370ff"/>
      </w:rPr>
    </w:lvl>
  </w:abstractNum>
  <w:abstractNum w:abstractNumId="737184">
    <w:lvl>
      <w:numFmt w:val="bullet"/>
      <w:suff w:val="tab"/>
      <w:lvlText w:val="•"/>
      <w:rPr>
        <w:color w:val="3370ff"/>
      </w:rPr>
    </w:lvl>
  </w:abstractNum>
  <w:abstractNum w:abstractNumId="737185">
    <w:lvl>
      <w:numFmt w:val="bullet"/>
      <w:suff w:val="tab"/>
      <w:lvlText w:val="•"/>
      <w:rPr>
        <w:color w:val="3370ff"/>
      </w:rPr>
    </w:lvl>
  </w:abstractNum>
  <w:abstractNum w:abstractNumId="737186">
    <w:lvl>
      <w:numFmt w:val="bullet"/>
      <w:suff w:val="tab"/>
      <w:lvlText w:val="•"/>
      <w:rPr>
        <w:color w:val="3370ff"/>
      </w:rPr>
    </w:lvl>
  </w:abstractNum>
  <w:abstractNum w:abstractNumId="737187">
    <w:lvl>
      <w:numFmt w:val="bullet"/>
      <w:suff w:val="tab"/>
      <w:lvlText w:val="•"/>
      <w:rPr>
        <w:color w:val="3370ff"/>
      </w:rPr>
    </w:lvl>
  </w:abstractNum>
  <w:abstractNum w:abstractNumId="737188">
    <w:lvl>
      <w:numFmt w:val="bullet"/>
      <w:suff w:val="tab"/>
      <w:lvlText w:val="•"/>
      <w:rPr>
        <w:color w:val="3370ff"/>
      </w:rPr>
    </w:lvl>
  </w:abstractNum>
  <w:abstractNum w:abstractNumId="737189">
    <w:lvl>
      <w:numFmt w:val="bullet"/>
      <w:suff w:val="tab"/>
      <w:lvlText w:val="•"/>
      <w:rPr>
        <w:color w:val="3370ff"/>
      </w:rPr>
    </w:lvl>
  </w:abstractNum>
  <w:abstractNum w:abstractNumId="737190">
    <w:lvl>
      <w:numFmt w:val="bullet"/>
      <w:suff w:val="tab"/>
      <w:lvlText w:val="•"/>
      <w:rPr>
        <w:color w:val="3370ff"/>
      </w:rPr>
    </w:lvl>
  </w:abstractNum>
  <w:abstractNum w:abstractNumId="737191">
    <w:lvl>
      <w:numFmt w:val="bullet"/>
      <w:suff w:val="tab"/>
      <w:lvlText w:val="•"/>
      <w:rPr>
        <w:color w:val="3370ff"/>
      </w:rPr>
    </w:lvl>
  </w:abstractNum>
  <w:abstractNum w:abstractNumId="737192">
    <w:lvl>
      <w:numFmt w:val="bullet"/>
      <w:suff w:val="tab"/>
      <w:lvlText w:val="•"/>
      <w:rPr>
        <w:color w:val="3370ff"/>
      </w:rPr>
    </w:lvl>
  </w:abstractNum>
  <w:abstractNum w:abstractNumId="737193">
    <w:lvl>
      <w:numFmt w:val="bullet"/>
      <w:suff w:val="tab"/>
      <w:lvlText w:val="•"/>
      <w:rPr>
        <w:color w:val="3370ff"/>
      </w:rPr>
    </w:lvl>
  </w:abstractNum>
  <w:abstractNum w:abstractNumId="737194">
    <w:lvl>
      <w:numFmt w:val="bullet"/>
      <w:suff w:val="tab"/>
      <w:lvlText w:val="•"/>
      <w:rPr>
        <w:color w:val="3370ff"/>
      </w:rPr>
    </w:lvl>
  </w:abstractNum>
  <w:abstractNum w:abstractNumId="737195">
    <w:lvl>
      <w:numFmt w:val="bullet"/>
      <w:suff w:val="tab"/>
      <w:lvlText w:val="•"/>
      <w:rPr>
        <w:color w:val="3370ff"/>
      </w:rPr>
    </w:lvl>
  </w:abstractNum>
  <w:abstractNum w:abstractNumId="737196">
    <w:lvl>
      <w:numFmt w:val="bullet"/>
      <w:suff w:val="tab"/>
      <w:lvlText w:val="•"/>
      <w:rPr>
        <w:color w:val="3370ff"/>
      </w:rPr>
    </w:lvl>
  </w:abstractNum>
  <w:abstractNum w:abstractNumId="737197">
    <w:lvl>
      <w:numFmt w:val="bullet"/>
      <w:suff w:val="tab"/>
      <w:lvlText w:val="•"/>
      <w:rPr>
        <w:color w:val="3370ff"/>
      </w:rPr>
    </w:lvl>
  </w:abstractNum>
  <w:abstractNum w:abstractNumId="737198">
    <w:lvl>
      <w:numFmt w:val="bullet"/>
      <w:suff w:val="tab"/>
      <w:lvlText w:val="•"/>
      <w:rPr>
        <w:color w:val="3370ff"/>
      </w:rPr>
    </w:lvl>
  </w:abstractNum>
  <w:abstractNum w:abstractNumId="737199">
    <w:lvl>
      <w:numFmt w:val="bullet"/>
      <w:suff w:val="tab"/>
      <w:lvlText w:val="•"/>
      <w:rPr>
        <w:color w:val="3370ff"/>
      </w:rPr>
    </w:lvl>
  </w:abstractNum>
  <w:abstractNum w:abstractNumId="737200">
    <w:lvl>
      <w:numFmt w:val="bullet"/>
      <w:suff w:val="tab"/>
      <w:lvlText w:val="•"/>
      <w:rPr>
        <w:color w:val="3370ff"/>
      </w:rPr>
    </w:lvl>
  </w:abstractNum>
  <w:abstractNum w:abstractNumId="737201">
    <w:lvl>
      <w:numFmt w:val="bullet"/>
      <w:suff w:val="tab"/>
      <w:lvlText w:val="•"/>
      <w:rPr>
        <w:color w:val="3370ff"/>
      </w:rPr>
    </w:lvl>
  </w:abstractNum>
  <w:abstractNum w:abstractNumId="737202">
    <w:lvl>
      <w:numFmt w:val="bullet"/>
      <w:suff w:val="tab"/>
      <w:lvlText w:val="•"/>
      <w:rPr>
        <w:color w:val="3370ff"/>
      </w:rPr>
    </w:lvl>
  </w:abstractNum>
  <w:abstractNum w:abstractNumId="737203">
    <w:lvl>
      <w:numFmt w:val="bullet"/>
      <w:suff w:val="tab"/>
      <w:lvlText w:val="•"/>
      <w:rPr>
        <w:color w:val="3370ff"/>
      </w:rPr>
    </w:lvl>
  </w:abstractNum>
  <w:abstractNum w:abstractNumId="737204">
    <w:lvl>
      <w:numFmt w:val="bullet"/>
      <w:suff w:val="tab"/>
      <w:lvlText w:val="•"/>
      <w:rPr>
        <w:color w:val="3370ff"/>
      </w:rPr>
    </w:lvl>
  </w:abstractNum>
  <w:abstractNum w:abstractNumId="737205">
    <w:lvl>
      <w:numFmt w:val="bullet"/>
      <w:suff w:val="tab"/>
      <w:lvlText w:val="•"/>
      <w:rPr>
        <w:color w:val="3370ff"/>
      </w:rPr>
    </w:lvl>
  </w:abstractNum>
  <w:abstractNum w:abstractNumId="737206">
    <w:lvl>
      <w:numFmt w:val="bullet"/>
      <w:suff w:val="tab"/>
      <w:lvlText w:val="•"/>
      <w:rPr>
        <w:color w:val="3370ff"/>
      </w:rPr>
    </w:lvl>
  </w:abstractNum>
  <w:abstractNum w:abstractNumId="737207">
    <w:lvl>
      <w:numFmt w:val="bullet"/>
      <w:suff w:val="tab"/>
      <w:lvlText w:val="•"/>
      <w:rPr>
        <w:color w:val="3370ff"/>
      </w:rPr>
    </w:lvl>
  </w:abstractNum>
  <w:abstractNum w:abstractNumId="737208">
    <w:lvl>
      <w:numFmt w:val="bullet"/>
      <w:suff w:val="tab"/>
      <w:lvlText w:val="•"/>
      <w:rPr>
        <w:color w:val="3370ff"/>
      </w:rPr>
    </w:lvl>
  </w:abstractNum>
  <w:abstractNum w:abstractNumId="737209">
    <w:lvl>
      <w:numFmt w:val="bullet"/>
      <w:suff w:val="tab"/>
      <w:lvlText w:val="•"/>
      <w:rPr>
        <w:color w:val="3370ff"/>
      </w:rPr>
    </w:lvl>
  </w:abstractNum>
  <w:abstractNum w:abstractNumId="737210">
    <w:lvl>
      <w:numFmt w:val="bullet"/>
      <w:suff w:val="tab"/>
      <w:lvlText w:val="•"/>
      <w:rPr>
        <w:color w:val="3370ff"/>
      </w:rPr>
    </w:lvl>
  </w:abstractNum>
  <w:abstractNum w:abstractNumId="737211">
    <w:lvl>
      <w:start w:val="1"/>
      <w:numFmt w:val="decimal"/>
      <w:suff w:val="tab"/>
      <w:lvlText w:val="%1."/>
      <w:rPr>
        <w:color w:val="3370ff"/>
      </w:rPr>
    </w:lvl>
  </w:abstractNum>
  <w:abstractNum w:abstractNumId="737212">
    <w:lvl>
      <w:start w:val="2"/>
      <w:numFmt w:val="decimal"/>
      <w:suff w:val="tab"/>
      <w:lvlText w:val="%1."/>
      <w:rPr>
        <w:color w:val="3370ff"/>
      </w:rPr>
    </w:lvl>
  </w:abstractNum>
  <w:abstractNum w:abstractNumId="737213">
    <w:lvl>
      <w:start w:val="3"/>
      <w:numFmt w:val="decimal"/>
      <w:suff w:val="tab"/>
      <w:lvlText w:val="%1."/>
      <w:rPr>
        <w:color w:val="3370ff"/>
      </w:rPr>
    </w:lvl>
  </w:abstractNum>
  <w:abstractNum w:abstractNumId="737214">
    <w:lvl>
      <w:start w:val="4"/>
      <w:numFmt w:val="decimal"/>
      <w:suff w:val="tab"/>
      <w:lvlText w:val="%1."/>
      <w:rPr>
        <w:color w:val="3370ff"/>
      </w:rPr>
    </w:lvl>
  </w:abstractNum>
  <w:abstractNum w:abstractNumId="737215">
    <w:lvl>
      <w:start w:val="5"/>
      <w:numFmt w:val="decimal"/>
      <w:suff w:val="tab"/>
      <w:lvlText w:val="%1."/>
      <w:rPr>
        <w:color w:val="3370ff"/>
      </w:rPr>
    </w:lvl>
  </w:abstractNum>
  <w:abstractNum w:abstractNumId="737216">
    <w:lvl>
      <w:start w:val="6"/>
      <w:numFmt w:val="decimal"/>
      <w:suff w:val="tab"/>
      <w:lvlText w:val="%1."/>
      <w:rPr>
        <w:color w:val="3370ff"/>
      </w:rPr>
    </w:lvl>
  </w:abstractNum>
  <w:abstractNum w:abstractNumId="737217">
    <w:lvl>
      <w:start w:val="7"/>
      <w:numFmt w:val="decimal"/>
      <w:suff w:val="tab"/>
      <w:lvlText w:val="%1."/>
      <w:rPr>
        <w:color w:val="3370ff"/>
      </w:rPr>
    </w:lvl>
  </w:abstractNum>
  <w:abstractNum w:abstractNumId="737218">
    <w:lvl>
      <w:start w:val="8"/>
      <w:numFmt w:val="decimal"/>
      <w:suff w:val="tab"/>
      <w:lvlText w:val="%1."/>
      <w:rPr>
        <w:color w:val="3370ff"/>
      </w:rPr>
    </w:lvl>
  </w:abstractNum>
  <w:abstractNum w:abstractNumId="737219">
    <w:lvl>
      <w:start w:val="1"/>
      <w:numFmt w:val="decimal"/>
      <w:suff w:val="tab"/>
      <w:lvlText w:val="%1."/>
      <w:rPr>
        <w:color w:val="3370ff"/>
      </w:rPr>
    </w:lvl>
  </w:abstractNum>
  <w:abstractNum w:abstractNumId="737220">
    <w:lvl>
      <w:start w:val="2"/>
      <w:numFmt w:val="decimal"/>
      <w:suff w:val="tab"/>
      <w:lvlText w:val="%1."/>
      <w:rPr>
        <w:color w:val="3370ff"/>
      </w:rPr>
    </w:lvl>
  </w:abstractNum>
  <w:abstractNum w:abstractNumId="737221">
    <w:lvl>
      <w:start w:val="3"/>
      <w:numFmt w:val="decimal"/>
      <w:suff w:val="tab"/>
      <w:lvlText w:val="%1."/>
      <w:rPr>
        <w:color w:val="3370ff"/>
      </w:rPr>
    </w:lvl>
  </w:abstractNum>
  <w:abstractNum w:abstractNumId="737222">
    <w:lvl>
      <w:start w:val="4"/>
      <w:numFmt w:val="decimal"/>
      <w:suff w:val="tab"/>
      <w:lvlText w:val="%1."/>
      <w:rPr>
        <w:color w:val="3370ff"/>
      </w:rPr>
    </w:lvl>
  </w:abstractNum>
  <w:abstractNum w:abstractNumId="737223">
    <w:lvl>
      <w:start w:val="5"/>
      <w:numFmt w:val="decimal"/>
      <w:suff w:val="tab"/>
      <w:lvlText w:val="%1."/>
      <w:rPr>
        <w:color w:val="3370ff"/>
      </w:rPr>
    </w:lvl>
  </w:abstractNum>
  <w:abstractNum w:abstractNumId="737224">
    <w:lvl>
      <w:start w:val="1"/>
      <w:numFmt w:val="decimal"/>
      <w:suff w:val="tab"/>
      <w:lvlText w:val="%1."/>
      <w:rPr>
        <w:color w:val="3370ff"/>
      </w:rPr>
    </w:lvl>
  </w:abstractNum>
  <w:abstractNum w:abstractNumId="737225">
    <w:lvl>
      <w:start w:val="2"/>
      <w:numFmt w:val="decimal"/>
      <w:suff w:val="tab"/>
      <w:lvlText w:val="%1."/>
      <w:rPr>
        <w:color w:val="3370ff"/>
      </w:rPr>
    </w:lvl>
  </w:abstractNum>
  <w:abstractNum w:abstractNumId="737226">
    <w:lvl>
      <w:start w:val="3"/>
      <w:numFmt w:val="decimal"/>
      <w:suff w:val="tab"/>
      <w:lvlText w:val="%1."/>
      <w:rPr>
        <w:color w:val="3370ff"/>
      </w:rPr>
    </w:lvl>
  </w:abstractNum>
  <w:abstractNum w:abstractNumId="737227">
    <w:lvl>
      <w:start w:val="4"/>
      <w:numFmt w:val="decimal"/>
      <w:suff w:val="tab"/>
      <w:lvlText w:val="%1."/>
      <w:rPr>
        <w:color w:val="3370ff"/>
      </w:rPr>
    </w:lvl>
  </w:abstractNum>
  <w:abstractNum w:abstractNumId="737228">
    <w:lvl>
      <w:start w:val="5"/>
      <w:numFmt w:val="decimal"/>
      <w:suff w:val="tab"/>
      <w:lvlText w:val="%1."/>
      <w:rPr>
        <w:color w:val="3370ff"/>
      </w:rPr>
    </w:lvl>
  </w:abstractNum>
  <w:abstractNum w:abstractNumId="737229">
    <w:lvl>
      <w:start w:val="6"/>
      <w:numFmt w:val="decimal"/>
      <w:suff w:val="tab"/>
      <w:lvlText w:val="%1."/>
      <w:rPr>
        <w:color w:val="3370ff"/>
      </w:rPr>
    </w:lvl>
  </w:abstractNum>
  <w:abstractNum w:abstractNumId="737230">
    <w:lvl>
      <w:start w:val="1"/>
      <w:numFmt w:val="decimal"/>
      <w:suff w:val="tab"/>
      <w:lvlText w:val="%1."/>
      <w:rPr>
        <w:color w:val="3370ff"/>
      </w:rPr>
    </w:lvl>
  </w:abstractNum>
  <w:abstractNum w:abstractNumId="737231">
    <w:lvl>
      <w:start w:val="2"/>
      <w:numFmt w:val="decimal"/>
      <w:suff w:val="tab"/>
      <w:lvlText w:val="%1."/>
      <w:rPr>
        <w:color w:val="3370ff"/>
      </w:rPr>
    </w:lvl>
  </w:abstractNum>
  <w:abstractNum w:abstractNumId="737232">
    <w:lvl>
      <w:start w:val="3"/>
      <w:numFmt w:val="decimal"/>
      <w:suff w:val="tab"/>
      <w:lvlText w:val="%1."/>
      <w:rPr>
        <w:color w:val="3370ff"/>
      </w:rPr>
    </w:lvl>
  </w:abstractNum>
  <w:abstractNum w:abstractNumId="737233">
    <w:lvl>
      <w:start w:val="4"/>
      <w:numFmt w:val="decimal"/>
      <w:suff w:val="tab"/>
      <w:lvlText w:val="%1."/>
      <w:rPr>
        <w:color w:val="3370ff"/>
      </w:rPr>
    </w:lvl>
  </w:abstractNum>
  <w:abstractNum w:abstractNumId="737234">
    <w:lvl>
      <w:numFmt w:val="bullet"/>
      <w:suff w:val="tab"/>
      <w:lvlText w:val="•"/>
      <w:rPr>
        <w:color w:val="3370ff"/>
      </w:rPr>
    </w:lvl>
  </w:abstractNum>
  <w:abstractNum w:abstractNumId="737235">
    <w:lvl>
      <w:numFmt w:val="bullet"/>
      <w:suff w:val="tab"/>
      <w:lvlText w:val="•"/>
      <w:rPr>
        <w:color w:val="3370ff"/>
      </w:rPr>
    </w:lvl>
  </w:abstractNum>
  <w:abstractNum w:abstractNumId="737236">
    <w:lvl>
      <w:numFmt w:val="bullet"/>
      <w:suff w:val="tab"/>
      <w:lvlText w:val="•"/>
      <w:rPr>
        <w:color w:val="3370ff"/>
      </w:rPr>
    </w:lvl>
  </w:abstractNum>
  <w:abstractNum w:abstractNumId="737237">
    <w:lvl>
      <w:numFmt w:val="bullet"/>
      <w:suff w:val="tab"/>
      <w:lvlText w:val="•"/>
      <w:rPr>
        <w:color w:val="3370ff"/>
      </w:rPr>
    </w:lvl>
  </w:abstractNum>
  <w:abstractNum w:abstractNumId="737238">
    <w:lvl>
      <w:numFmt w:val="bullet"/>
      <w:suff w:val="tab"/>
      <w:lvlText w:val="•"/>
      <w:rPr>
        <w:color w:val="3370ff"/>
      </w:rPr>
    </w:lvl>
  </w:abstractNum>
  <w:abstractNum w:abstractNumId="737239">
    <w:lvl>
      <w:numFmt w:val="bullet"/>
      <w:suff w:val="tab"/>
      <w:lvlText w:val="•"/>
      <w:rPr>
        <w:color w:val="3370ff"/>
      </w:rPr>
    </w:lvl>
  </w:abstractNum>
  <w:abstractNum w:abstractNumId="737240">
    <w:lvl>
      <w:numFmt w:val="bullet"/>
      <w:suff w:val="tab"/>
      <w:lvlText w:val="•"/>
      <w:rPr>
        <w:color w:val="3370ff"/>
      </w:rPr>
    </w:lvl>
  </w:abstractNum>
  <w:abstractNum w:abstractNumId="737241">
    <w:lvl>
      <w:numFmt w:val="bullet"/>
      <w:suff w:val="tab"/>
      <w:lvlText w:val="•"/>
      <w:rPr>
        <w:color w:val="3370ff"/>
      </w:rPr>
    </w:lvl>
  </w:abstractNum>
  <w:abstractNum w:abstractNumId="737242">
    <w:lvl>
      <w:numFmt w:val="bullet"/>
      <w:suff w:val="tab"/>
      <w:lvlText w:val="•"/>
      <w:rPr>
        <w:color w:val="3370ff"/>
      </w:rPr>
    </w:lvl>
  </w:abstractNum>
  <w:abstractNum w:abstractNumId="737243">
    <w:lvl>
      <w:start w:val="1"/>
      <w:numFmt w:val="decimal"/>
      <w:suff w:val="tab"/>
      <w:lvlText w:val="%1."/>
      <w:rPr>
        <w:color w:val="3370ff"/>
      </w:rPr>
    </w:lvl>
  </w:abstractNum>
  <w:abstractNum w:abstractNumId="737244">
    <w:lvl>
      <w:start w:val="2"/>
      <w:numFmt w:val="decimal"/>
      <w:suff w:val="tab"/>
      <w:lvlText w:val="%1."/>
      <w:rPr>
        <w:color w:val="3370ff"/>
      </w:rPr>
    </w:lvl>
  </w:abstractNum>
  <w:abstractNum w:abstractNumId="737245">
    <w:lvl>
      <w:start w:val="3"/>
      <w:numFmt w:val="decimal"/>
      <w:suff w:val="tab"/>
      <w:lvlText w:val="%1."/>
      <w:rPr>
        <w:color w:val="3370ff"/>
      </w:rPr>
    </w:lvl>
  </w:abstractNum>
  <w:abstractNum w:abstractNumId="737246">
    <w:lvl>
      <w:start w:val="4"/>
      <w:numFmt w:val="decimal"/>
      <w:suff w:val="tab"/>
      <w:lvlText w:val="%1."/>
      <w:rPr>
        <w:color w:val="3370ff"/>
      </w:rPr>
    </w:lvl>
  </w:abstractNum>
  <w:abstractNum w:abstractNumId="737247">
    <w:lvl>
      <w:start w:val="5"/>
      <w:numFmt w:val="decimal"/>
      <w:suff w:val="tab"/>
      <w:lvlText w:val="%1."/>
      <w:rPr>
        <w:color w:val="3370ff"/>
      </w:rPr>
    </w:lvl>
  </w:abstractNum>
  <w:abstractNum w:abstractNumId="737248">
    <w:lvl>
      <w:numFmt w:val="bullet"/>
      <w:suff w:val="tab"/>
      <w:lvlText w:val="•"/>
      <w:rPr>
        <w:color w:val="3370ff"/>
      </w:rPr>
    </w:lvl>
  </w:abstractNum>
  <w:abstractNum w:abstractNumId="737249">
    <w:lvl>
      <w:numFmt w:val="bullet"/>
      <w:suff w:val="tab"/>
      <w:lvlText w:val="•"/>
      <w:rPr>
        <w:color w:val="3370ff"/>
      </w:rPr>
    </w:lvl>
  </w:abstractNum>
  <w:abstractNum w:abstractNumId="737250">
    <w:lvl>
      <w:numFmt w:val="bullet"/>
      <w:suff w:val="tab"/>
      <w:lvlText w:val="•"/>
      <w:rPr>
        <w:color w:val="3370ff"/>
      </w:rPr>
    </w:lvl>
  </w:abstractNum>
  <w:num w:numId="1">
    <w:abstractNumId w:val="737178"/>
  </w:num>
  <w:num w:numId="2">
    <w:abstractNumId w:val="737179"/>
  </w:num>
  <w:num w:numId="3">
    <w:abstractNumId w:val="737180"/>
  </w:num>
  <w:num w:numId="4">
    <w:abstractNumId w:val="737181"/>
  </w:num>
  <w:num w:numId="5">
    <w:abstractNumId w:val="737182"/>
  </w:num>
  <w:num w:numId="6">
    <w:abstractNumId w:val="737183"/>
  </w:num>
  <w:num w:numId="7">
    <w:abstractNumId w:val="737184"/>
  </w:num>
  <w:num w:numId="8">
    <w:abstractNumId w:val="737185"/>
  </w:num>
  <w:num w:numId="9">
    <w:abstractNumId w:val="737186"/>
  </w:num>
  <w:num w:numId="10">
    <w:abstractNumId w:val="737187"/>
  </w:num>
  <w:num w:numId="11">
    <w:abstractNumId w:val="737188"/>
  </w:num>
  <w:num w:numId="12">
    <w:abstractNumId w:val="737189"/>
  </w:num>
  <w:num w:numId="13">
    <w:abstractNumId w:val="737190"/>
  </w:num>
  <w:num w:numId="14">
    <w:abstractNumId w:val="737191"/>
  </w:num>
  <w:num w:numId="15">
    <w:abstractNumId w:val="737192"/>
  </w:num>
  <w:num w:numId="16">
    <w:abstractNumId w:val="737193"/>
  </w:num>
  <w:num w:numId="17">
    <w:abstractNumId w:val="737194"/>
  </w:num>
  <w:num w:numId="18">
    <w:abstractNumId w:val="737195"/>
  </w:num>
  <w:num w:numId="19">
    <w:abstractNumId w:val="737196"/>
  </w:num>
  <w:num w:numId="20">
    <w:abstractNumId w:val="737197"/>
  </w:num>
  <w:num w:numId="21">
    <w:abstractNumId w:val="737198"/>
  </w:num>
  <w:num w:numId="22">
    <w:abstractNumId w:val="737199"/>
  </w:num>
  <w:num w:numId="23">
    <w:abstractNumId w:val="737200"/>
  </w:num>
  <w:num w:numId="24">
    <w:abstractNumId w:val="737201"/>
  </w:num>
  <w:num w:numId="25">
    <w:abstractNumId w:val="737202"/>
  </w:num>
  <w:num w:numId="26">
    <w:abstractNumId w:val="737203"/>
  </w:num>
  <w:num w:numId="27">
    <w:abstractNumId w:val="737204"/>
  </w:num>
  <w:num w:numId="28">
    <w:abstractNumId w:val="737205"/>
  </w:num>
  <w:num w:numId="29">
    <w:abstractNumId w:val="737206"/>
  </w:num>
  <w:num w:numId="30">
    <w:abstractNumId w:val="737207"/>
  </w:num>
  <w:num w:numId="31">
    <w:abstractNumId w:val="737208"/>
  </w:num>
  <w:num w:numId="32">
    <w:abstractNumId w:val="737209"/>
  </w:num>
  <w:num w:numId="33">
    <w:abstractNumId w:val="737210"/>
  </w:num>
  <w:num w:numId="34">
    <w:abstractNumId w:val="737211"/>
  </w:num>
  <w:num w:numId="35">
    <w:abstractNumId w:val="737212"/>
  </w:num>
  <w:num w:numId="36">
    <w:abstractNumId w:val="737213"/>
  </w:num>
  <w:num w:numId="37">
    <w:abstractNumId w:val="737214"/>
  </w:num>
  <w:num w:numId="38">
    <w:abstractNumId w:val="737215"/>
  </w:num>
  <w:num w:numId="39">
    <w:abstractNumId w:val="737216"/>
  </w:num>
  <w:num w:numId="40">
    <w:abstractNumId w:val="737217"/>
  </w:num>
  <w:num w:numId="41">
    <w:abstractNumId w:val="737218"/>
  </w:num>
  <w:num w:numId="42">
    <w:abstractNumId w:val="737219"/>
  </w:num>
  <w:num w:numId="43">
    <w:abstractNumId w:val="737220"/>
  </w:num>
  <w:num w:numId="44">
    <w:abstractNumId w:val="737221"/>
  </w:num>
  <w:num w:numId="45">
    <w:abstractNumId w:val="737222"/>
  </w:num>
  <w:num w:numId="46">
    <w:abstractNumId w:val="737223"/>
  </w:num>
  <w:num w:numId="47">
    <w:abstractNumId w:val="737224"/>
  </w:num>
  <w:num w:numId="48">
    <w:abstractNumId w:val="737225"/>
  </w:num>
  <w:num w:numId="49">
    <w:abstractNumId w:val="737226"/>
  </w:num>
  <w:num w:numId="50">
    <w:abstractNumId w:val="737227"/>
  </w:num>
  <w:num w:numId="51">
    <w:abstractNumId w:val="737228"/>
  </w:num>
  <w:num w:numId="52">
    <w:abstractNumId w:val="737229"/>
  </w:num>
  <w:num w:numId="53">
    <w:abstractNumId w:val="737230"/>
  </w:num>
  <w:num w:numId="54">
    <w:abstractNumId w:val="737231"/>
  </w:num>
  <w:num w:numId="55">
    <w:abstractNumId w:val="737232"/>
  </w:num>
  <w:num w:numId="56">
    <w:abstractNumId w:val="737233"/>
  </w:num>
  <w:num w:numId="57">
    <w:abstractNumId w:val="737234"/>
  </w:num>
  <w:num w:numId="58">
    <w:abstractNumId w:val="737235"/>
  </w:num>
  <w:num w:numId="59">
    <w:abstractNumId w:val="737236"/>
  </w:num>
  <w:num w:numId="60">
    <w:abstractNumId w:val="737237"/>
  </w:num>
  <w:num w:numId="61">
    <w:abstractNumId w:val="737238"/>
  </w:num>
  <w:num w:numId="62">
    <w:abstractNumId w:val="737239"/>
  </w:num>
  <w:num w:numId="63">
    <w:abstractNumId w:val="737240"/>
  </w:num>
  <w:num w:numId="64">
    <w:abstractNumId w:val="737241"/>
  </w:num>
  <w:num w:numId="65">
    <w:abstractNumId w:val="737242"/>
  </w:num>
  <w:num w:numId="66">
    <w:abstractNumId w:val="737243"/>
  </w:num>
  <w:num w:numId="67">
    <w:abstractNumId w:val="737244"/>
  </w:num>
  <w:num w:numId="68">
    <w:abstractNumId w:val="737245"/>
  </w:num>
  <w:num w:numId="69">
    <w:abstractNumId w:val="737246"/>
  </w:num>
  <w:num w:numId="70">
    <w:abstractNumId w:val="737247"/>
  </w:num>
  <w:num w:numId="71">
    <w:abstractNumId w:val="737248"/>
  </w:num>
  <w:num w:numId="72">
    <w:abstractNumId w:val="737249"/>
  </w:num>
  <w:num w:numId="73">
    <w:abstractNumId w:val="7372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2026-09-12T05:53:28Z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{"Label":"1","ContentProducer":"001191110102MACQD9K64010000","ProduceID":"7684522831640366292","ReservedCode1":"","ContentPropagator":"","PropagateID":"","ReservedCode2":""}</vt:lpwstr>
  </property>
</Properties>
</file>